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8719a665b6046ba9255ec583c923923"/>
        <w:lock w:val="sdtLocked"/>
        <w:richText/>
      </w:sdtPr>
      <w:sdtContent>
        <w:p>
          <w:pPr>
            <w:jc w:val="both"/>
            <w:rPr>
              <w:rFonts w:ascii="Times New Roman" w:hAnsi="Times New Roman"/>
            </w:rPr>
          </w:pPr>
          <w:r>
            <w:rPr>
              <w:rFonts w:ascii="Times New Roman" w:hAnsi="Times New Roman"/>
              <w:b/>
              <w:i/>
            </w:rPr>
            <w:t>Suvestinė redakcija nuo 2021-10-19 iki 2021-11-14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DĖL PIRMINIO PROFESINIO MOKYMO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fb5031d09ad344519b8b564550787c55"/>
            <w:lock w:val="sdtLocked"/>
            <w:richText/>
          </w:sdtPr>
          <w:sdtContent>
            <w:p>
              <w:pPr>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5e6b3373ea6641d5861c76a7e7a665d1"/>
            <w:lock w:val="sdtLocked"/>
            <w:richText/>
          </w:sdtPr>
          <w:sdtContent>
            <w:p>
              <w:pPr>
                <w:ind w:firstLine="720"/>
                <w:jc w:val="both"/>
                <w:rPr>
                  <w:szCs w:val="24"/>
                </w:rPr>
              </w:pPr>
              <w:sdt>
                <w:sdtPr>
                  <w:alias w:val="Numeris"/>
                  <w:tag w:val="nr_5e6b3373ea6641d5861c76a7e7a665d1"/>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0ec8e8247f83455eb5d1fca6b9b78e9f"/>
                <w:lock w:val="sdtLocked"/>
                <w:richText/>
              </w:sdtPr>
              <w:sdtContent>
                <w:p>
                  <w:pPr>
                    <w:ind w:firstLine="720"/>
                    <w:jc w:val="both"/>
                    <w:rPr>
                      <w:szCs w:val="24"/>
                    </w:rPr>
                  </w:pPr>
                  <w:sdt>
                    <w:sdtPr>
                      <w:alias w:val="Numeris"/>
                      <w:tag w:val="nr_0ec8e8247f83455eb5d1fca6b9b78e9f"/>
                      <w:lock w:val="sdtLocked"/>
                      <w:richText/>
                    </w:sdtPr>
                    <w:sdtContent>
                      <w:r>
                        <w:rPr>
                          <w:color w:val="000000"/>
                          <w:szCs w:val="24"/>
                          <w:shd w:val="clear" w:color="auto" w:fill="FFFFFF"/>
                        </w:rPr>
                        <w:t>1.1</w:t>
                      </w:r>
                    </w:sdtContent>
                  </w:sdt>
                  <w:r>
                    <w:rPr>
                      <w:color w:val="000000"/>
                      <w:szCs w:val="24"/>
                      <w:shd w:val="clear" w:color="auto" w:fill="FFFFFF"/>
                    </w:rPr>
                    <w:t xml:space="preserve">. Užtikrinti, kad asmenys </w:t>
                  </w:r>
                  <w:r>
                    <w:rPr>
                      <w:color w:val="000000"/>
                      <w:szCs w:val="24"/>
                    </w:rPr>
                    <w:t>mokymo vykdymo vietose uždarose patalpose</w:t>
                  </w:r>
                  <w:r>
                    <w:rPr>
                      <w:color w:val="000000"/>
                      <w:szCs w:val="24"/>
                      <w:shd w:val="clear" w:color="auto" w:fill="FFFFFF"/>
                    </w:rPr>
                    <w:t xml:space="preserve"> dėvėtų nosį ir burną dengiančias apsaugos priemones (veido kaukes, respiratorius ar kitas priemones)</w:t>
                  </w:r>
                  <w:r>
                    <w:rPr>
                      <w:szCs w:val="24"/>
                    </w:rPr>
                    <w:t>, kurios priglunda prie veido ir visiškai dengia nosį ir burną</w:t>
                  </w:r>
                  <w:r>
                    <w:rPr>
                      <w:color w:val="000000"/>
                      <w:szCs w:val="24"/>
                      <w:shd w:val="clear" w:color="auto" w:fill="FFFFFF"/>
                    </w:rPr>
                    <w:t xml:space="preserve"> (toliau – kaukė).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 Jei darbuotojas negali dėvėti kaukės dėl vykdomos veiklos pobūdžio (pvz. darbas su klausos negalią turinčiais asmenimis), gali būti naudojamos kitos riziką mažinančios priemonės (pvz., veido skydeliai).</w:t>
                  </w:r>
                </w:p>
              </w:sdtContent>
            </w:sdt>
            <w:sdt>
              <w:sdtPr>
                <w:alias w:val="1.2 pp."/>
                <w:tag w:val="part_9c5c65bc372b4a08a4361c2d2d6876c8"/>
                <w:lock w:val="sdtLocked"/>
                <w:richText/>
              </w:sdtPr>
              <w:sdtContent>
                <w:p>
                  <w:pPr>
                    <w:ind w:firstLine="720"/>
                    <w:jc w:val="both"/>
                    <w:rPr>
                      <w:color w:val="000000"/>
                      <w:szCs w:val="24"/>
                      <w:shd w:val="clear" w:color="auto" w:fill="FFFFFF"/>
                      <w:lang w:eastAsia="lt-LT"/>
                    </w:rPr>
                  </w:pPr>
                  <w:sdt>
                    <w:sdtPr>
                      <w:alias w:val="Numeris"/>
                      <w:tag w:val="nr_9c5c65bc372b4a08a4361c2d2d6876c8"/>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(maksimaliai ribojamas skirtingose grupėse, klasėse, srautuose esančių mokinių kontaktas). Viename grupių, klasių sraute gali būti ne daugiau kaip 150 mokinių. Rekomenduojama rinktis kuo mažesnius atskiriamų grupių, klasių, srautų dydžius.</w:t>
                  </w:r>
                </w:p>
              </w:sdtContent>
            </w:sdt>
            <w:sdt>
              <w:sdtPr>
                <w:alias w:val="1.3 pp."/>
                <w:tag w:val="part_f08f359b4e344414a11e9b17df05ef05"/>
                <w:lock w:val="sdtLocked"/>
                <w:richText/>
              </w:sdtPr>
              <w:sdtContent>
                <w:p>
                  <w:pPr>
                    <w:ind w:firstLine="720"/>
                    <w:jc w:val="both"/>
                    <w:rPr>
                      <w:color w:val="000000"/>
                      <w:szCs w:val="24"/>
                    </w:rPr>
                  </w:pPr>
                  <w:sdt>
                    <w:sdtPr>
                      <w:alias w:val="Numeris"/>
                      <w:tag w:val="nr_f08f359b4e344414a11e9b17df05ef05"/>
                      <w:lock w:val="sdtLocked"/>
                      <w:richText/>
                    </w:sdtPr>
                    <w:sdtContent>
                      <w:r>
                        <w:rPr>
                          <w:color w:val="000000"/>
                          <w:szCs w:val="24"/>
                        </w:rPr>
                        <w:t>1.3</w:t>
                      </w:r>
                    </w:sdtContent>
                  </w:sdt>
                  <w:r>
                    <w:rPr>
                      <w:color w:val="000000"/>
                      <w:szCs w:val="24"/>
                    </w:rPr>
                    <w:t>. Užtikrinti, kad asmenys, dalyvaujantys mokymo veiklose, neturėtų tiesioginio kontakto su darbuotojais, į kurių pareigas neįeina mokymo veiklų vykdymas, ar kitais pašaliniais asmenimis.</w:t>
                  </w:r>
                </w:p>
              </w:sdtContent>
            </w:sdt>
            <w:sdt>
              <w:sdtPr>
                <w:alias w:val="1.4 pp."/>
                <w:tag w:val="part_fb75178c6d0d4a989af5d56c029990ea"/>
                <w:lock w:val="sdtLocked"/>
                <w:richText/>
              </w:sdtPr>
              <w:sdtContent>
                <w:p>
                  <w:pPr>
                    <w:ind w:firstLine="720"/>
                    <w:jc w:val="both"/>
                    <w:rPr>
                      <w:szCs w:val="24"/>
                      <w:lang w:eastAsia="lt-LT"/>
                    </w:rPr>
                  </w:pPr>
                  <w:sdt>
                    <w:sdtPr>
                      <w:alias w:val="Numeris"/>
                      <w:tag w:val="nr_fb75178c6d0d4a989af5d56c029990ea"/>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f30eafed086e49d896a066789c450734"/>
                <w:lock w:val="sdtLocked"/>
                <w:richText/>
              </w:sdtPr>
              <w:sdtContent>
                <w:p>
                  <w:pPr>
                    <w:ind w:firstLine="720"/>
                    <w:jc w:val="both"/>
                    <w:rPr>
                      <w:szCs w:val="24"/>
                    </w:rPr>
                  </w:pPr>
                  <w:sdt>
                    <w:sdtPr>
                      <w:alias w:val="Numeris"/>
                      <w:tag w:val="nr_f30eafed086e49d896a066789c450734"/>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bd3ca408091c4b67a005a704b23f00f9"/>
                    <w:lock w:val="sdtLocked"/>
                    <w:richText/>
                  </w:sdtPr>
                  <w:sdtContent>
                    <w:p>
                      <w:pPr>
                        <w:ind w:firstLine="720"/>
                        <w:jc w:val="both"/>
                        <w:rPr>
                          <w:szCs w:val="24"/>
                        </w:rPr>
                      </w:pPr>
                      <w:sdt>
                        <w:sdtPr>
                          <w:alias w:val="Numeris"/>
                          <w:tag w:val="nr_bd3ca408091c4b67a005a704b23f00f9"/>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520a41c33a13404b963816c56ea4d169"/>
                    <w:lock w:val="sdtLocked"/>
                    <w:richText/>
                  </w:sdtPr>
                  <w:sdtContent>
                    <w:p>
                      <w:pPr>
                        <w:ind w:firstLine="720"/>
                        <w:jc w:val="both"/>
                        <w:rPr>
                          <w:szCs w:val="24"/>
                        </w:rPr>
                      </w:pPr>
                      <w:sdt>
                        <w:sdtPr>
                          <w:alias w:val="Numeris"/>
                          <w:tag w:val="nr_520a41c33a13404b963816c56ea4d169"/>
                          <w:lock w:val="sdtLocked"/>
                          <w:richText/>
                        </w:sdtPr>
                        <w:sdtContent>
                          <w:r>
                            <w:rPr>
                              <w:color w:val="000000"/>
                              <w:szCs w:val="24"/>
                              <w:shd w:val="clear" w:color="auto" w:fill="FFFFFF"/>
                            </w:rPr>
                            <w:t>1.5.2</w:t>
                          </w:r>
                        </w:sdtContent>
                      </w:sdt>
                      <w:r>
                        <w:rPr>
                          <w:color w:val="000000"/>
                          <w:szCs w:val="24"/>
                          <w:shd w:val="clear" w:color="auto" w:fill="FFFFFF"/>
                        </w:rPr>
                        <w:t>. apie reikalavimus dėl kaukių dėvėjimo uždarose patalpose;</w:t>
                      </w:r>
                    </w:p>
                  </w:sdtContent>
                </w:sdt>
                <w:sdt>
                  <w:sdtPr>
                    <w:alias w:val="1.5.3 pp."/>
                    <w:tag w:val="part_8159cb10b11d4cec8e14eef27fb56b95"/>
                    <w:lock w:val="sdtLocked"/>
                    <w:richText/>
                  </w:sdtPr>
                  <w:sdtContent>
                    <w:p>
                      <w:pPr>
                        <w:ind w:firstLine="720"/>
                        <w:jc w:val="both"/>
                        <w:rPr>
                          <w:szCs w:val="24"/>
                        </w:rPr>
                      </w:pPr>
                      <w:sdt>
                        <w:sdtPr>
                          <w:alias w:val="Numeris"/>
                          <w:tag w:val="nr_8159cb10b11d4cec8e14eef27fb56b9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d3c2d67edf094cb5a3bcff4956b092f2"/>
                <w:lock w:val="sdtLocked"/>
                <w:richText/>
              </w:sdtPr>
              <w:sdtContent>
                <w:p>
                  <w:pPr>
                    <w:ind w:firstLine="720"/>
                    <w:jc w:val="both"/>
                    <w:rPr>
                      <w:szCs w:val="24"/>
                    </w:rPr>
                  </w:pPr>
                  <w:sdt>
                    <w:sdtPr>
                      <w:alias w:val="Numeris"/>
                      <w:tag w:val="nr_d3c2d67edf094cb5a3bcff4956b092f2"/>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ebd663dd1be347debd6454cf0c9edd8f"/>
                    <w:lock w:val="sdtLocked"/>
                    <w:richText/>
                  </w:sdtPr>
                  <w:sdtContent>
                    <w:p>
                      <w:pPr>
                        <w:ind w:firstLine="720"/>
                        <w:jc w:val="both"/>
                        <w:rPr>
                          <w:szCs w:val="24"/>
                        </w:rPr>
                      </w:pPr>
                      <w:sdt>
                        <w:sdtPr>
                          <w:alias w:val="Numeris"/>
                          <w:tag w:val="nr_ebd663dd1be347debd6454cf0c9edd8f"/>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809ba998429540a28b1f49910681422e"/>
                    <w:lock w:val="sdtLocked"/>
                    <w:richText/>
                  </w:sdtPr>
                  <w:sdtContent>
                    <w:p>
                      <w:pPr>
                        <w:ind w:firstLine="720"/>
                        <w:jc w:val="both"/>
                        <w:rPr>
                          <w:szCs w:val="24"/>
                        </w:rPr>
                      </w:pPr>
                      <w:sdt>
                        <w:sdtPr>
                          <w:alias w:val="Numeris"/>
                          <w:tag w:val="nr_809ba998429540a28b1f49910681422e"/>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99f8b195e7a648f5ac7d2f87491c54d6"/>
                    <w:lock w:val="sdtLocked"/>
                    <w:richText/>
                  </w:sdtPr>
                  <w:sdtContent>
                    <w:p>
                      <w:pPr>
                        <w:ind w:firstLine="720"/>
                        <w:jc w:val="both"/>
                        <w:rPr>
                          <w:szCs w:val="24"/>
                        </w:rPr>
                      </w:pPr>
                      <w:sdt>
                        <w:sdtPr>
                          <w:alias w:val="Numeris"/>
                          <w:tag w:val="nr_99f8b195e7a648f5ac7d2f87491c54d6"/>
                          <w:lock w:val="sdtLocked"/>
                          <w:richText/>
                        </w:sdtPr>
                        <w:sdtContent>
                          <w:r>
                            <w:rPr>
                              <w:color w:val="000000"/>
                              <w:szCs w:val="24"/>
                              <w:shd w:val="clear" w:color="auto" w:fill="FFFFFF"/>
                              <w:lang w:eastAsia="lt-LT"/>
                            </w:rPr>
                            <w:t>1.6.3</w:t>
                          </w:r>
                        </w:sdtContent>
                      </w:sdt>
                      <w:r>
                        <w:rPr>
                          <w:color w:val="000000"/>
                          <w:szCs w:val="24"/>
                          <w:shd w:val="clear" w:color="auto" w:fill="FFFFFF"/>
                          <w:lang w:eastAsia="lt-LT"/>
                        </w:rPr>
                        <w:t xml:space="preserve">. jeigu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szCs w:val="24"/>
                        </w:rPr>
                        <w:t>atsakingą už atvejų ir protrūkių epidemiologinės diagnostikos vykdymą švietimo įstaigoje (toliau – VSB specialistas)</w:t>
                      </w:r>
                      <w:r>
                        <w:rPr>
                          <w:color w:val="000000"/>
                          <w:szCs w:val="24"/>
                          <w:shd w:val="clear" w:color="auto" w:fill="FFFFFF"/>
                          <w:lang w:eastAsia="lt-LT"/>
                        </w:rPr>
                        <w:t>, bendradarbiauti su VSB specialistu nustatant sąlytį turėjusius asmenis ir jiems taikant izoliaciją;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sdtContent>
                </w:sdt>
                <w:sdt>
                  <w:sdtPr>
                    <w:alias w:val="1.6.4 pp."/>
                    <w:tag w:val="part_7e7d0e8a57f846f19e28346ddfe6e5f7"/>
                    <w:lock w:val="sdtLocked"/>
                    <w:richText/>
                  </w:sdtPr>
                  <w:sdtContent>
                    <w:p>
                      <w:pPr>
                        <w:ind w:firstLine="720"/>
                        <w:jc w:val="both"/>
                        <w:rPr>
                          <w:szCs w:val="24"/>
                        </w:rPr>
                      </w:pPr>
                      <w:sdt>
                        <w:sdtPr>
                          <w:alias w:val="Numeris"/>
                          <w:tag w:val="nr_7e7d0e8a57f846f19e28346ddfe6e5f7"/>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271308208db14088bc2e22cbcecf87e6"/>
                <w:lock w:val="sdtLocked"/>
                <w:richText/>
              </w:sdtPr>
              <w:sdtContent>
                <w:p>
                  <w:pPr>
                    <w:ind w:firstLine="720"/>
                    <w:jc w:val="both"/>
                    <w:rPr>
                      <w:szCs w:val="24"/>
                    </w:rPr>
                  </w:pPr>
                  <w:sdt>
                    <w:sdtPr>
                      <w:alias w:val="Numeris"/>
                      <w:tag w:val="nr_271308208db14088bc2e22cbcecf87e6"/>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a41af37be9d34a39abd46c4bad992d1a"/>
                <w:lock w:val="sdtLocked"/>
                <w:richText/>
              </w:sdtPr>
              <w:sdtContent>
                <w:p>
                  <w:pPr>
                    <w:ind w:firstLine="720"/>
                    <w:jc w:val="both"/>
                    <w:rPr>
                      <w:color w:val="000000"/>
                      <w:szCs w:val="24"/>
                      <w:shd w:val="clear" w:color="auto" w:fill="FFFFFF"/>
                    </w:rPr>
                  </w:pPr>
                  <w:sdt>
                    <w:sdtPr>
                      <w:alias w:val="Numeris"/>
                      <w:tag w:val="nr_a41af37be9d34a39abd46c4bad992d1a"/>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ca5baa3a23c54dfba3f8bc0c586189be"/>
                <w:lock w:val="sdtLocked"/>
                <w:richText/>
              </w:sdtPr>
              <w:sdtContent>
                <w:p>
                  <w:pPr>
                    <w:ind w:firstLine="720"/>
                    <w:jc w:val="both"/>
                    <w:rPr>
                      <w:szCs w:val="24"/>
                    </w:rPr>
                  </w:pPr>
                  <w:sdt>
                    <w:sdtPr>
                      <w:alias w:val="Numeris"/>
                      <w:tag w:val="nr_ca5baa3a23c54dfba3f8bc0c586189be"/>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0a1e6d2bbac64c9f97147dbc8a887c68"/>
            <w:lock w:val="sdtLocked"/>
            <w:richText/>
          </w:sdtPr>
          <w:sdtContent>
            <w:p>
              <w:pPr>
                <w:ind w:firstLine="720"/>
                <w:jc w:val="both"/>
                <w:rPr>
                  <w:szCs w:val="24"/>
                </w:rPr>
              </w:pPr>
              <w:sdt>
                <w:sdtPr>
                  <w:alias w:val="Numeris"/>
                  <w:tag w:val="nr_0a1e6d2bbac64c9f97147dbc8a887c68"/>
                  <w:lock w:val="sdtLocked"/>
                  <w:richText/>
                </w:sdtPr>
                <w:sdtContent>
                  <w:r>
                    <w:rPr>
                      <w:color w:val="000000"/>
                      <w:szCs w:val="24"/>
                      <w:shd w:val="clear" w:color="auto" w:fill="FFFFFF"/>
                    </w:rPr>
                    <w:t>2</w:t>
                  </w:r>
                </w:sdtContent>
              </w:sdt>
              <w:r>
                <w:rPr>
                  <w:color w:val="000000"/>
                  <w:szCs w:val="24"/>
                  <w:shd w:val="clear" w:color="auto" w:fill="FFFFFF"/>
                </w:rPr>
                <w:t xml:space="preserve">. Įpareigoti asmenis </w:t>
              </w:r>
              <w:r>
                <w:rPr>
                  <w:color w:val="000000"/>
                  <w:szCs w:val="24"/>
                </w:rPr>
                <w:t>mokymo veiklų vykdymo vietose</w:t>
              </w:r>
              <w:r>
                <w:rPr>
                  <w:color w:val="000000"/>
                  <w:szCs w:val="24"/>
                  <w:shd w:val="clear" w:color="auto" w:fill="FFFFFF"/>
                </w:rPr>
                <w:t xml:space="preserve"> uždarose patalpose dėvėti kaukes. </w:t>
              </w:r>
              <w:r>
                <w:rPr>
                  <w:szCs w:val="24"/>
                </w:rPr>
                <w:t xml:space="preserve">Kaukių leidžiama nedėvėti </w:t>
              </w:r>
              <w:r>
                <w:rPr>
                  <w:color w:val="000000"/>
                  <w:szCs w:val="24"/>
                </w:rPr>
                <w:t xml:space="preserve">asmenims, kai jie sportuoja, </w:t>
              </w:r>
              <w:r>
                <w:rPr>
                  <w:color w:val="000000"/>
                  <w:szCs w:val="24"/>
                  <w:shd w:val="clear" w:color="auto" w:fill="FFFFFF"/>
                  <w:lang w:eastAsia="lt-LT"/>
                </w:rPr>
                <w:t xml:space="preserve">veiklų, kurių negalima atlikti būnant su kauke, vykdymo metu. Taip pat </w:t>
              </w:r>
              <w:r>
                <w:rPr>
                  <w:szCs w:val="24"/>
                </w:rPr>
                <w:t>neįgalumą turintiems asmenims, kurie dėl savo sveikatos būklės kaukių dėvėti negali ar jų dėvėjimas gali pakenkti asmens sveikatos būklei (rekomenduojama dėvėti veido skydelį).</w:t>
              </w:r>
            </w:p>
          </w:sdtContent>
        </w:sdt>
        <w:sdt>
          <w:sdtPr>
            <w:alias w:val="3 p."/>
            <w:tag w:val="part_8a0aa88ca15942b4ab2c4c8dfbfc6871"/>
            <w:lock w:val="sdtLocked"/>
            <w:richText/>
          </w:sdtPr>
          <w:sdtContent>
            <w:p>
              <w:pPr>
                <w:ind w:firstLine="720"/>
                <w:jc w:val="both"/>
                <w:rPr>
                  <w:szCs w:val="24"/>
                </w:rPr>
              </w:pPr>
              <w:sdt>
                <w:sdtPr>
                  <w:alias w:val="Numeris"/>
                  <w:tag w:val="nr_8a0aa88ca15942b4ab2c4c8dfbfc6871"/>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 xml:space="preserve">infekcijų plitimą ribojantis režimas </w:t>
              </w:r>
              <w:r>
                <w:rPr>
                  <w:color w:val="000000"/>
                </w:rPr>
                <w:t>(toliau – IPRR)</w:t>
              </w:r>
              <w:r>
                <w:rPr>
                  <w:color w:val="000000"/>
                  <w:szCs w:val="24"/>
                  <w:shd w:val="clear" w:color="auto" w:fill="FFFFFF"/>
                </w:rPr>
                <w:t>:</w:t>
              </w:r>
            </w:p>
            <w:sdt>
              <w:sdtPr>
                <w:alias w:val="3.1 pp."/>
                <w:tag w:val="part_1ff0dc9ffbdb44d99fc1b3474ca08882"/>
                <w:lock w:val="sdtLocked"/>
                <w:richText/>
              </w:sdtPr>
              <w:sdtContent>
                <w:p>
                  <w:pPr>
                    <w:ind w:firstLine="720"/>
                    <w:jc w:val="both"/>
                  </w:pPr>
                  <w:sdt>
                    <w:sdtPr>
                      <w:alias w:val="Numeris"/>
                      <w:tag w:val="nr_1ff0dc9ffbdb44d99fc1b3474ca08882"/>
                      <w:lock w:val="sdtLocked"/>
                      <w:richText/>
                    </w:sdtPr>
                    <w:sdtContent>
                      <w:r>
                        <w:rPr>
                          <w:color w:val="000000"/>
                          <w:szCs w:val="24"/>
                          <w:shd w:val="clear" w:color="auto" w:fill="FFFFFF"/>
                        </w:rPr>
                        <w:t>3.1</w:t>
                      </w:r>
                    </w:sdtContent>
                  </w:sdt>
                  <w:r>
                    <w:rPr>
                      <w:color w:val="000000"/>
                      <w:szCs w:val="24"/>
                      <w:shd w:val="clear" w:color="auto" w:fill="FFFFFF"/>
                    </w:rPr>
                    <w:t xml:space="preserve">. </w:t>
                  </w:r>
                  <w:r>
                    <w:t xml:space="preserve">jei pirminis profesinis mokymas vykdomas kartu su bendrojo ugdymo programa – esant COVID-19 ligos (koronaviruso infekcijos) išplitimo pavojui, IPRR skelbiamas </w:t>
                  </w:r>
                  <w:r>
                    <w:rPr>
                      <w:szCs w:val="24"/>
                    </w:rPr>
                    <w:t>Lietuvos Respublikos sveikatos apsaugos ministro, valstybės lygio ekstremaliosios situacijos valstybės operacijų vadovo 2021 m. spalio 12 d. sprendime Nr. V-2273 „</w:t>
                  </w:r>
                  <w:r>
                    <w:rPr>
                      <w:szCs w:val="24"/>
                      <w:lang w:eastAsia="lt-LT"/>
                    </w:rPr>
                    <w:t xml:space="preserve">Dėl </w:t>
                  </w:r>
                  <w:r>
                    <w:t>infekcijų plitimą ribojančio režimo švietimo teikėjuose, įgyvendinančiuose priešmokyklinio ir bendrojo ugdymo programas, skelbimo tvarkos“ nustatyta tvarka;</w:t>
                  </w:r>
                </w:p>
              </w:sdtContent>
            </w:sdt>
            <w:sdt>
              <w:sdtPr>
                <w:alias w:val="3.2 pp."/>
                <w:tag w:val="part_03c51901941b4af8a9bd46362d79cf10"/>
                <w:lock w:val="sdtLocked"/>
                <w:richText/>
              </w:sdtPr>
              <w:sdtContent>
                <w:p>
                  <w:pPr>
                    <w:ind w:firstLine="720"/>
                    <w:jc w:val="both"/>
                    <w:rPr>
                      <w:szCs w:val="24"/>
                    </w:rPr>
                  </w:pPr>
                  <w:sdt>
                    <w:sdtPr>
                      <w:alias w:val="Numeris"/>
                      <w:tag w:val="nr_03c51901941b4af8a9bd46362d79cf10"/>
                      <w:lock w:val="sdtLocked"/>
                      <w:richText/>
                    </w:sdtPr>
                    <w:sdtContent>
                      <w:r>
                        <w:t>3.2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COVID-19 liga (koronaviruso infekcija) nustatoma ar dėl turėto artimo sąlyčio su sergančiuoju COVID-19 liga (koronaviruso infekcija)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3.3 pp."/>
                <w:tag w:val="part_043e46009e694e1aba4165d37567d6fa"/>
                <w:lock w:val="sdtLocked"/>
                <w:richText/>
              </w:sdtPr>
              <w:sdtContent>
                <w:p>
                  <w:pPr>
                    <w:ind w:firstLine="720"/>
                    <w:jc w:val="both"/>
                  </w:pPr>
                  <w:sdt>
                    <w:sdtPr>
                      <w:alias w:val="Numeris"/>
                      <w:tag w:val="nr_043e46009e694e1aba4165d37567d6fa"/>
                      <w:lock w:val="sdtLocked"/>
                      <w:richText/>
                    </w:sdtPr>
                    <w:sdtContent>
                      <w:r>
                        <w:rPr>
                          <w:szCs w:val="24"/>
                        </w:rPr>
                        <w:t>3.3</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85eb0303d11ec992fe4cdfceb5666">
                <w:r w:rsidRPr="00532B9F">
                  <w:rPr>
                    <w:rFonts w:ascii="Times New Roman" w:eastAsia="MS Mincho" w:hAnsi="Times New Roman"/>
                    <w:sz w:val="20"/>
                    <w:i/>
                    <w:iCs/>
                    <w:color w:val="0000FF" w:themeColor="hyperlink"/>
                    <w:u w:val="single"/>
                  </w:rPr>
                  <w:t>V-2344</w:t>
                </w:r>
              </w:fldSimple>
              <w:r>
                <w:rPr>
                  <w:rFonts w:ascii="Times New Roman" w:eastAsia="MS Mincho" w:hAnsi="Times New Roman"/>
                  <w:sz w:val="20"/>
                  <w:i/>
                  <w:iCs/>
                </w:rPr>
                <w:t>,
2021-10-18,
paskelbta TAR 2021-10-18, i. k. 2021-21776            </w:t>
              </w:r>
            </w:p>
            <w:p/>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0185eb0303d11ec992fe4cdfceb5666">
            <w:r w:rsidRPr="00532B9F">
              <w:rPr>
                <w:rFonts w:ascii="Times New Roman" w:eastAsia="MS Mincho" w:hAnsi="Times New Roman"/>
                <w:sz w:val="20"/>
                <w:iCs/>
                <w:color w:val="0000FF" w:themeColor="hyperlink"/>
                <w:u w:val="single"/>
              </w:rPr>
              <w:t>V-2344</w:t>
            </w:r>
          </w:fldSimple>
          <w:r>
            <w:rPr>
              <w:rFonts w:ascii="Times New Roman" w:eastAsia="MS Mincho" w:hAnsi="Times New Roman"/>
              <w:sz w:val="20"/>
              <w:iCs/>
            </w:rPr>
            <w:t>,
2021-10-18,
paskelbta TAR 2021-10-18, i. k. 2021-21776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08719a665b6046ba9255ec583c923923">
    <Part Type="preambule" DocPartId="85bea5e0be464bc4b66f09b14ce2277d" PartId="fb5031d09ad344519b8b564550787c55"/>
    <Part Type="punktas" Nr="1" Abbr="1 p." DocPartId="1f1d274085914ba79123e77ec64e87e3" PartId="5e6b3373ea6641d5861c76a7e7a665d1">
      <Part Type="papunktis" Nr="1.1" Abbr="1.1 pp." DocPartId="edaac956f03e4982bbef6f9a460a9be5" PartId="0ec8e8247f83455eb5d1fca6b9b78e9f"/>
      <Part Type="papunktis" Nr="1.2" Abbr="1.2 pp." DocPartId="e9a589b701d84db88d229b73bcdd4945" PartId="9c5c65bc372b4a08a4361c2d2d6876c8"/>
      <Part Type="papunktis" Nr="1.3" Abbr="1.3 pp." DocPartId="85ce814f9a664e5087cb95de685e6279" PartId="f08f359b4e344414a11e9b17df05ef05"/>
      <Part Type="papunktis" Nr="1.4" Abbr="1.4 pp." DocPartId="c912eff83f2845f69d6a43dcda4aa8d4" PartId="fb75178c6d0d4a989af5d56c029990ea"/>
      <Part Type="papunktis" Nr="1.5" Abbr="1.5 pp." DocPartId="0826a4eb31a44230be02a2deef28ad87" PartId="f30eafed086e49d896a066789c450734">
        <Part Type="papunktis" Nr="1.5.1" Abbr="1.5.1 pp." DocPartId="e2da92dc2ef84099a82b2c2d2ec05ba0" PartId="bd3ca408091c4b67a005a704b23f00f9"/>
        <Part Type="papunktis" Nr="1.5.2" Abbr="1.5.2 pp." DocPartId="28e18ada242b4c06bab01a4ea237fe4e" PartId="520a41c33a13404b963816c56ea4d169"/>
        <Part Type="papunktis" Nr="1.5.3" Abbr="1.5.3 pp." DocPartId="47fd776b1f404f32878be7b83201fa79" PartId="8159cb10b11d4cec8e14eef27fb56b95"/>
      </Part>
      <Part Type="papunktis" Nr="1.6" Abbr="1.6 pp." DocPartId="5386fd05a2a240a98258781a40dfe4b8" PartId="d3c2d67edf094cb5a3bcff4956b092f2">
        <Part Type="papunktis" Nr="1.6.1" Abbr="1.6.1 pp." DocPartId="7bc5c2cfe21446e0a4a1bd7708302e2f" PartId="ebd663dd1be347debd6454cf0c9edd8f"/>
        <Part Type="papunktis" Nr="1.6.2" Abbr="1.6.2 pp." DocPartId="04026b51870e468fbb97ec87b36bef22" PartId="809ba998429540a28b1f49910681422e"/>
        <Part Type="papunktis" Nr="1.6.3" Abbr="1.6.3 pp." DocPartId="80b1cded0c1a4552a312fd29b7034b00" PartId="99f8b195e7a648f5ac7d2f87491c54d6"/>
        <Part Type="papunktis" Nr="1.6.4" Abbr="1.6.4 pp." DocPartId="e07fb8a44d154cc8aeb427f8a79c45e2" PartId="7e7d0e8a57f846f19e28346ddfe6e5f7"/>
      </Part>
      <Part Type="papunktis" Nr="1.7" Abbr="1.7 pp." DocPartId="a2e48a8328c24b8cbd5d4f50f6f2e65b" PartId="271308208db14088bc2e22cbcecf87e6"/>
      <Part Type="papunktis" Nr="1.8" Abbr="1.8 pp." DocPartId="e40cb0878da94160a99276f9fa89739c" PartId="a41af37be9d34a39abd46c4bad992d1a"/>
      <Part Type="papunktis" Nr="1.9" Abbr="1.9 pp." DocPartId="c536f4bb91e249bda7b2fff043ac742f" PartId="ca5baa3a23c54dfba3f8bc0c586189be"/>
    </Part>
    <Part Type="punktas" Nr="2" Abbr="2 p." DocPartId="4c086408105c4369b18a04eae12acdf0" PartId="0a1e6d2bbac64c9f97147dbc8a887c68"/>
    <Part Type="punktas" Nr="3" Abbr="3 p." DocPartId="cfec57c25f1e414088fc927da2b65b30" PartId="8a0aa88ca15942b4ab2c4c8dfbfc6871">
      <Part Type="papunktis" Nr="3.1" Abbr="3.1 pp." DocPartId="b95959b89e944ca9bf6f42966e95ed22" PartId="1ff0dc9ffbdb44d99fc1b3474ca08882"/>
      <Part Type="papunktis" Nr="3.2" Abbr="3.2 pp." DocPartId="7c27a1ec2c3d44eb8bb090043108491c" PartId="03c51901941b4af8a9bd46362d79cf10"/>
      <Part Type="papunktis" Nr="3.3" Abbr="3.3 pp." DocPartId="ec8be91220b842f49b421649096933e3" PartId="043e46009e694e1aba4165d37567d6fa"/>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848764D-BA39-4DDD-A539-EFC49B5B64C5}">
  <ds:schemaRefs>
    <ds:schemaRef ds:uri="http://lrs.lt/TAIS/DocParts"/>
  </ds:schemaRefs>
</ds:datastoreItem>
</file>

<file path=customXml/itemProps6.xml><?xml version="1.0" encoding="utf-8"?>
<ds:datastoreItem xmlns:ds="http://schemas.openxmlformats.org/officeDocument/2006/customXml" ds:itemID="{EFA27790-3E2A-43F6-9D06-C144738DCB4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3</Pages>
  <Words>5940</Words>
  <Characters>3386</Characters>
  <Application>Microsoft Office Word</Application>
  <DocSecurity>0</DocSecurity>
  <Lines>28</Lines>
  <Paragraphs>18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9308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2021-10-19T07:39:00Z</dcterms:modified>
  <revision>13</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