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2021-09-21 iki 2021-10-18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0ec8e8247f83455eb5d1fca6b9b78e9f"/>
                <w:lock w:val="sdtLocked"/>
                <w:richText/>
              </w:sdtPr>
              <w:sdtContent>
                <w:p>
                  <w:pPr>
                    <w:ind w:firstLine="720"/>
                    <w:jc w:val="both"/>
                    <w:rPr>
                      <w:szCs w:val="24"/>
                    </w:rPr>
                  </w:pPr>
                  <w:sdt>
                    <w:sdtPr>
                      <w:alias w:val="Numeris"/>
                      <w:tag w:val="nr_0ec8e8247f83455eb5d1fca6b9b78e9f"/>
                      <w:lock w:val="sdtLocked"/>
                      <w:richText/>
                    </w:sdtPr>
                    <w:sdtContent>
                      <w:r>
                        <w:rPr>
                          <w:color w:val="000000"/>
                          <w:szCs w:val="24"/>
                          <w:shd w:val="clear" w:color="auto" w:fill="FFFFFF"/>
                        </w:rPr>
                        <w:t>1.1</w:t>
                      </w:r>
                    </w:sdtContent>
                  </w:sdt>
                  <w:r>
                    <w:rPr>
                      <w:color w:val="000000"/>
                      <w:szCs w:val="24"/>
                      <w:shd w:val="clear" w:color="auto" w:fill="FFFFFF"/>
                    </w:rPr>
                    <w:t xml:space="preserve">. Užtikrinti, kad asmenys </w:t>
                  </w:r>
                  <w:r>
                    <w:rPr>
                      <w:color w:val="000000"/>
                      <w:szCs w:val="24"/>
                    </w:rPr>
                    <w:t>mokymo vykdymo vietose uždarose patalpose</w:t>
                  </w:r>
                  <w:r>
                    <w:rPr>
                      <w:color w:val="000000"/>
                      <w:szCs w:val="24"/>
                      <w:shd w:val="clear" w:color="auto" w:fill="FFFFFF"/>
                    </w:rPr>
                    <w:t xml:space="preserve"> dėvėtų nosį ir burną dengiančias apsaugos priemones (veido kaukes, respiratorius ar kitas priemones)</w:t>
                  </w:r>
                  <w:r>
                    <w:rPr>
                      <w:szCs w:val="24"/>
                    </w:rPr>
                    <w:t>, kurios priglunda prie veido ir visiškai dengia nosį ir burną</w:t>
                  </w:r>
                  <w:r>
                    <w:rPr>
                      <w:color w:val="000000"/>
                      <w:szCs w:val="24"/>
                      <w:shd w:val="clear" w:color="auto" w:fill="FFFFFF"/>
                    </w:rPr>
                    <w:t xml:space="preserve"> (toliau – kaukė).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p>
              </w:sdtContent>
            </w:sdt>
            <w:sdt>
              <w:sdtPr>
                <w:alias w:val="1.2 pp."/>
                <w:tag w:val="part_9c5c65bc372b4a08a4361c2d2d6876c8"/>
                <w:lock w:val="sdtLocked"/>
                <w:richText/>
              </w:sdtPr>
              <w:sdtContent>
                <w:p>
                  <w:pPr>
                    <w:ind w:firstLine="720"/>
                    <w:jc w:val="both"/>
                    <w:rPr>
                      <w:color w:val="000000"/>
                      <w:szCs w:val="24"/>
                      <w:shd w:val="clear" w:color="auto" w:fill="FFFFFF"/>
                      <w:lang w:eastAsia="lt-LT"/>
                    </w:rPr>
                  </w:pPr>
                  <w:sdt>
                    <w:sdtPr>
                      <w:alias w:val="Numeris"/>
                      <w:tag w:val="nr_9c5c65bc372b4a08a4361c2d2d6876c8"/>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(maksimaliai ribojamas skirtingose grupėse, klasėse, srautuose esančių mokinių kontaktas). Viename grupių, klasių sraute gali būti ne daugiau kaip 150 mokinių. Rekomenduojama rinktis kuo mažesnius atskiriamų grupių, klasių, srautų dydžius.</w:t>
                  </w:r>
                </w:p>
              </w:sdtContent>
            </w:sdt>
            <w:sdt>
              <w:sdtPr>
                <w:alias w:val="1.3 pp."/>
                <w:tag w:val="part_f08f359b4e344414a11e9b17df05ef05"/>
                <w:lock w:val="sdtLocked"/>
                <w:richText/>
              </w:sdtPr>
              <w:sdtContent>
                <w:p>
                  <w:pPr>
                    <w:ind w:firstLine="720"/>
                    <w:jc w:val="both"/>
                    <w:rPr>
                      <w:color w:val="000000"/>
                      <w:szCs w:val="24"/>
                    </w:rPr>
                  </w:pPr>
                  <w:sdt>
                    <w:sdtPr>
                      <w:alias w:val="Numeris"/>
                      <w:tag w:val="nr_f08f359b4e344414a11e9b17df05ef05"/>
                      <w:lock w:val="sdtLocked"/>
                      <w:richText/>
                    </w:sdtPr>
                    <w:sdtContent>
                      <w:r>
                        <w:rPr>
                          <w:color w:val="000000"/>
                          <w:szCs w:val="24"/>
                        </w:rPr>
                        <w:t>1.3</w:t>
                      </w:r>
                    </w:sdtContent>
                  </w:sdt>
                  <w:r>
                    <w:rPr>
                      <w:color w:val="000000"/>
                      <w:szCs w:val="24"/>
                    </w:rPr>
                    <w:t>. Užtikrinti, kad asmenys, dalyvaujantys mokymo veiklose, neturėtų tiesioginio kontakto su darbuotojais, į kurių pareigas neįeina mokymo veiklų vykdymas, ar kitais pašaliniais asmenimis.</w:t>
                  </w:r>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20a41c33a13404b963816c56ea4d169"/>
                    <w:lock w:val="sdtLocked"/>
                    <w:richText/>
                  </w:sdtPr>
                  <w:sdtContent>
                    <w:p>
                      <w:pPr>
                        <w:ind w:firstLine="720"/>
                        <w:jc w:val="both"/>
                        <w:rPr>
                          <w:szCs w:val="24"/>
                        </w:rPr>
                      </w:pPr>
                      <w:sdt>
                        <w:sdtPr>
                          <w:alias w:val="Numeris"/>
                          <w:tag w:val="nr_520a41c33a13404b963816c56ea4d169"/>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99f8b195e7a648f5ac7d2f87491c54d6"/>
                    <w:lock w:val="sdtLocked"/>
                    <w:richText/>
                  </w:sdtPr>
                  <w:sdtContent>
                    <w:p>
                      <w:pPr>
                        <w:ind w:firstLine="720"/>
                        <w:jc w:val="both"/>
                        <w:rPr>
                          <w:szCs w:val="24"/>
                        </w:rPr>
                      </w:pPr>
                      <w:sdt>
                        <w:sdtPr>
                          <w:alias w:val="Numeris"/>
                          <w:tag w:val="nr_99f8b195e7a648f5ac7d2f87491c54d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szCs w:val="24"/>
                        </w:rPr>
                        <w:t>atsakingą už atvejų ir protrūkių epidemiologinės diagnostikos vykdymą švietimo įstaigoje (toliau – VSB specialistas)</w:t>
                      </w:r>
                      <w:r>
                        <w:rPr>
                          <w:color w:val="000000"/>
                          <w:szCs w:val="24"/>
                          <w:shd w:val="clear" w:color="auto" w:fill="FFFFFF"/>
                          <w:lang w:eastAsia="lt-LT"/>
                        </w:rPr>
                        <w:t>, bendradarbiauti su VSB specialistu nustatant sąlytį turėjusius asmenis ir jiems taikant izoliaciją;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0a1e6d2bbac64c9f97147dbc8a887c68"/>
            <w:lock w:val="sdtLocked"/>
            <w:richText/>
          </w:sdtPr>
          <w:sdtContent>
            <w:p>
              <w:pPr>
                <w:ind w:firstLine="720"/>
                <w:jc w:val="both"/>
                <w:rPr>
                  <w:szCs w:val="24"/>
                </w:rPr>
              </w:pPr>
              <w:sdt>
                <w:sdtPr>
                  <w:alias w:val="Numeris"/>
                  <w:tag w:val="nr_0a1e6d2bbac64c9f97147dbc8a887c68"/>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ebe8c4059e4d427a8dacfd77b7506be6"/>
            <w:lock w:val="sdtLocked"/>
            <w:richText/>
          </w:sdtPr>
          <w:sdtContent>
            <w:p>
              <w:pPr>
                <w:ind w:firstLine="720"/>
                <w:jc w:val="both"/>
                <w:rPr>
                  <w:szCs w:val="24"/>
                </w:rPr>
              </w:pPr>
              <w:sdt>
                <w:sdtPr>
                  <w:alias w:val="Numeris"/>
                  <w:tag w:val="nr_ebe8c4059e4d427a8dacfd77b7506be6"/>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ec92e57ef3634ead9431db386aede9cb"/>
                <w:lock w:val="sdtLocked"/>
                <w:richText/>
              </w:sdtPr>
              <w:sdtContent>
                <w:p>
                  <w:pPr>
                    <w:ind w:firstLine="720"/>
                    <w:jc w:val="both"/>
                    <w:rPr>
                      <w:szCs w:val="24"/>
                    </w:rPr>
                  </w:pPr>
                  <w:sdt>
                    <w:sdtPr>
                      <w:alias w:val="Numeris"/>
                      <w:tag w:val="nr_ec92e57ef3634ead9431db386aede9cb"/>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xml:space="preserve">. </w:t>
                  </w:r>
                  <w:r>
                    <w:rPr>
                      <w:szCs w:val="24"/>
                      <w:lang w:eastAsia="lt-LT"/>
                    </w:rPr>
                    <w:t xml:space="preserve">kai vadovaujantis Lietuvos Respublikos žmonių užkrečiamųjų ligų profilaktikos ir kontrolės įstatymo 26 straipsnio 3 dalimi, esant COVID-19 ligos (koronaviruso infekcijos) išplitimo pavojui, atsižvelgiant į </w:t>
                  </w:r>
                  <w:r>
                    <w:rPr>
                      <w:color w:val="000000"/>
                      <w:szCs w:val="24"/>
                      <w:shd w:val="clear" w:color="auto" w:fill="FFFFFF"/>
                      <w:lang w:eastAsia="lt-LT"/>
                    </w:rPr>
                    <w:t>Nacionalinio visuomenės sveikatos centro prie Sveikatos apsaugos ministerijos</w:t>
                  </w:r>
                  <w:r>
                    <w:rPr>
                      <w:szCs w:val="24"/>
                      <w:lang w:eastAsia="lt-LT"/>
                    </w:rPr>
                    <w:t xml:space="preserve"> teikimą raštu,</w:t>
                  </w:r>
                  <w:r>
                    <w:rPr>
                      <w:color w:val="000000"/>
                      <w:szCs w:val="24"/>
                      <w:shd w:val="clear" w:color="auto" w:fill="FFFFFF"/>
                      <w:lang w:eastAsia="lt-LT"/>
                    </w:rPr>
                    <w:t xml:space="preserve"> </w:t>
                  </w:r>
                  <w:r>
                    <w:rPr>
                      <w:szCs w:val="24"/>
                      <w:lang w:eastAsia="lt-LT"/>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sdtContent>
            </w:sdt>
            <w:sdt>
              <w:sdtPr>
                <w:alias w:val="3.2 pp."/>
                <w:tag w:val="part_9a071e79207542d5ad7797ca1bfdb8bd"/>
                <w:lock w:val="sdtLocked"/>
                <w:richText/>
              </w:sdtPr>
              <w:sdtContent>
                <w:p>
                  <w:pPr>
                    <w:ind w:firstLine="720"/>
                    <w:jc w:val="both"/>
                  </w:pPr>
                  <w:sdt>
                    <w:sdtPr>
                      <w:alias w:val="Numeris"/>
                      <w:tag w:val="nr_9a071e79207542d5ad7797ca1bfdb8bd"/>
                      <w:lock w:val="sdtLocked"/>
                      <w:richText/>
                    </w:sdtPr>
                    <w:sdtContent>
                      <w:r>
                        <w:rPr>
                          <w:szCs w:val="24"/>
                        </w:rPr>
                        <w:t>3.2</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0ec8e8247f83455eb5d1fca6b9b78e9f"/>
      <Part Type="papunktis" Nr="1.2" Abbr="1.2 pp." DocPartId="e9a589b701d84db88d229b73bcdd4945" PartId="9c5c65bc372b4a08a4361c2d2d6876c8"/>
      <Part Type="papunktis" Nr="1.3" Abbr="1.3 pp." DocPartId="85ce814f9a664e5087cb95de685e6279" PartId="f08f359b4e344414a11e9b17df05ef05"/>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20a41c33a13404b963816c56ea4d169"/>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99f8b195e7a648f5ac7d2f87491c54d6"/>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0a1e6d2bbac64c9f97147dbc8a887c68"/>
    <Part Type="punktas" Nr="3" Abbr="3 p." DocPartId="cfec57c25f1e414088fc927da2b65b30" PartId="ebe8c4059e4d427a8dacfd77b7506be6">
      <Part Type="papunktis" Nr="3.1" Abbr="3.1 pp." DocPartId="e839949596f7402aacabe3f071150cc0" PartId="ec92e57ef3634ead9431db386aede9cb"/>
      <Part Type="papunktis" Nr="3.2" Abbr="3.2 pp." DocPartId="e55f85a59c124c63a8d95d6481a310be" PartId="9a071e79207542d5ad7797ca1bfdb8bd"/>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F86418-DE96-44D0-A509-F73F52C5153D}">
  <ds:schemaRefs>
    <ds:schemaRef ds:uri="http://lrs.lt/TAIS/DocParts"/>
  </ds:schemaRefs>
</ds:datastoreItem>
</file>

<file path=customXml/itemProps6.xml><?xml version="1.0" encoding="utf-8"?>
<ds:datastoreItem xmlns:ds="http://schemas.openxmlformats.org/officeDocument/2006/customXml" ds:itemID="{5309D9C6-D920-4189-89A6-1EBD2F0B72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3</Pages>
  <Words>5419</Words>
  <Characters>3090</Characters>
  <Application>Microsoft Office Word</Application>
  <DocSecurity>0</DocSecurity>
  <Lines>25</Lines>
  <Paragraphs>16</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8493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2021-09-21T07:57:00Z</dcterms:modified>
  <revision>12</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