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533c0a32ed64d02846a224380836b69"/>
        <w:lock w:val="sdtLocked"/>
        <w:richText/>
      </w:sdtPr>
      <w:sdtContent>
        <w:p>
          <w:pPr>
            <w:jc w:val="both"/>
            <w:rPr>
              <w:rFonts w:ascii="Times New Roman" w:hAnsi="Times New Roman"/>
            </w:rPr>
          </w:pPr>
          <w:r>
            <w:rPr>
              <w:rFonts w:ascii="Times New Roman" w:hAnsi="Times New Roman"/>
              <w:b/>
              <w:i/>
            </w:rPr>
            <w:t>Suvestinė redakcija nuo 2024-03-08 iki 2024-10-31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2020-12-30, i. k. 2020-29178</w:t>
          </w:r>
        </w:p>
        <w:p>
          <w:pPr>
            <w:jc w:val="both"/>
            <w:rPr>
              <w:rFonts w:ascii="Times New Roman" w:hAnsi="Times New Roman"/>
              <w:sz w:val="20"/>
            </w:rPr>
          </w:pPr>
        </w:p>
        <w:p>
          <w:pPr>
            <w:jc w:val="center"/>
          </w:pPr>
          <w:r>
            <w:rPr>
              <w:rFonts w:ascii="Arial" w:hAnsi="Arial" w:cs="Arial"/>
              <w:lang w:eastAsia="lt-LT"/>
            </w:rPr>
            <w:drawing>
              <wp:inline distT="0" distB="0" distL="0" distR="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lang w:eastAsia="lt-LT"/>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olor w:val="201F1E"/>
              <w:szCs w:val="24"/>
              <w:bdr w:val="none" w:sz="0" w:space="0" w:color="auto" w:frame="1"/>
              <w:lang w:eastAsia="lt-LT"/>
            </w:rPr>
          </w:pPr>
          <w:r>
            <w:rPr>
              <w:b/>
              <w:caps/>
              <w:szCs w:val="24"/>
              <w:lang w:eastAsia="lt-LT"/>
            </w:rPr>
            <w:t xml:space="preserve">DĖL </w:t>
          </w:r>
          <w:r>
            <w:rPr>
              <w:b/>
              <w:color w:val="000000"/>
              <w:szCs w:val="24"/>
              <w:shd w:val="clear" w:color="auto" w:fill="FFFFFF"/>
              <w:lang w:eastAsia="lt-LT"/>
            </w:rPr>
            <w:t>K</w:t>
          </w:r>
          <w:r>
            <w:rPr>
              <w:rFonts w:eastAsia="Calibri"/>
              <w:b/>
              <w:bCs/>
              <w:szCs w:val="24"/>
              <w:lang w:eastAsia="lt-LT"/>
            </w:rPr>
            <w:t xml:space="preserve">OMPENSACIJOS SAVIVALDYBIŲ INFRASTRUKTŪROS PLĖTROS INICIATORIAMS UŽ JŲ PATIRTAS IŠLAIDAS APSKAIČIAVIMO IR IŠMOKĖJIMO </w:t>
          </w:r>
          <w:r>
            <w:rPr>
              <w:b/>
              <w:color w:val="000000"/>
              <w:szCs w:val="24"/>
              <w:bdr w:val="none" w:sz="0" w:space="0" w:color="auto" w:frame="1"/>
              <w:lang w:eastAsia="lt-LT"/>
            </w:rPr>
            <w:t>TVARKOS APRAŠO</w:t>
          </w:r>
          <w:r>
            <w:rPr>
              <w:b/>
              <w:color w:val="201F1E"/>
              <w:szCs w:val="24"/>
              <w:bdr w:val="none" w:sz="0" w:space="0" w:color="auto" w:frame="1"/>
              <w:lang w:eastAsia="lt-LT"/>
            </w:rPr>
            <w:t> </w:t>
          </w:r>
          <w:r>
            <w:rPr>
              <w:b/>
              <w:szCs w:val="24"/>
              <w:lang w:eastAsia="lt-LT"/>
            </w:rPr>
            <w:t xml:space="preserve">IR </w:t>
          </w:r>
          <w:r>
            <w:rPr>
              <w:b/>
              <w:caps/>
              <w:szCs w:val="24"/>
              <w:lang w:eastAsia="lt-LT"/>
            </w:rPr>
            <w:t>S</w:t>
          </w:r>
          <w:r>
            <w:rPr>
              <w:rFonts w:eastAsia="Calibri"/>
              <w:b/>
              <w:szCs w:val="24"/>
              <w:lang w:eastAsia="lt-LT"/>
            </w:rPr>
            <w:t xml:space="preserve">AVIVALDYBĖS INFRASTRUKTŪROS PLĖTROS ĮMOKOS NUSTATYMO METODIKOS </w:t>
          </w:r>
          <w:r>
            <w:rPr>
              <w:b/>
              <w:color w:val="201F1E"/>
              <w:szCs w:val="24"/>
              <w:bdr w:val="none" w:sz="0" w:space="0" w:color="auto" w:frame="1"/>
              <w:lang w:eastAsia="lt-LT"/>
            </w:rPr>
            <w:t>PATVIRTINIMO</w:t>
          </w:r>
        </w:p>
        <w:p>
          <w:pPr>
            <w:widowControl w:val="0"/>
            <w:jc w:val="center"/>
            <w:rPr>
              <w:b/>
              <w:caps/>
              <w:szCs w:val="24"/>
              <w:lang w:eastAsia="lt-LT"/>
            </w:rPr>
          </w:pPr>
        </w:p>
        <w:p>
          <w:pPr>
            <w:tabs>
              <w:tab w:val="center" w:pos="4153"/>
              <w:tab w:val="right" w:pos="8306"/>
            </w:tabs>
            <w:jc w:val="center"/>
            <w:rPr>
              <w:szCs w:val="24"/>
              <w:lang w:eastAsia="lt-LT"/>
            </w:rPr>
          </w:pPr>
          <w:r>
            <w:rPr>
              <w:szCs w:val="24"/>
              <w:lang w:eastAsia="lt-LT"/>
            </w:rPr>
            <w:t>2020 m. gruodžio 30 d. Nr. 1475</w:t>
          </w:r>
        </w:p>
        <w:p>
          <w:pPr>
            <w:jc w:val="center"/>
            <w:rPr>
              <w:szCs w:val="24"/>
              <w:lang w:eastAsia="lt-LT"/>
            </w:rPr>
          </w:pPr>
          <w:r>
            <w:rPr>
              <w:szCs w:val="24"/>
              <w:lang w:eastAsia="lt-LT"/>
            </w:rPr>
            <w:t>Vilnius</w:t>
          </w:r>
        </w:p>
        <w:p>
          <w:pPr>
            <w:jc w:val="center"/>
            <w:rPr>
              <w:szCs w:val="24"/>
              <w:lang w:eastAsia="lt-LT"/>
            </w:rPr>
          </w:pPr>
        </w:p>
        <w:sdt>
          <w:sdtPr>
            <w:alias w:val="preambule"/>
            <w:tag w:val="part_11a79a336d25499c816074ac1c7fca18"/>
            <w:lock w:val="sdtLocked"/>
            <w:richText/>
          </w:sdtPr>
          <w:sdtContent>
            <w:p>
              <w:pPr>
                <w:spacing w:line="276" w:lineRule="auto"/>
                <w:ind w:firstLine="567"/>
                <w:jc w:val="both"/>
                <w:rPr>
                  <w:szCs w:val="24"/>
                  <w:lang w:eastAsia="lt-LT"/>
                </w:rPr>
              </w:pPr>
              <w:r>
                <w:rPr>
                  <w:szCs w:val="24"/>
                  <w:lang w:eastAsia="lt-LT"/>
                </w:rPr>
                <w:t xml:space="preserve">Vadovaudamasi Lietuvos Respublikos </w:t>
              </w:r>
              <w:r>
                <w:rPr>
                  <w:rFonts w:eastAsia="Calibri"/>
                  <w:szCs w:val="24"/>
                  <w:lang w:eastAsia="lt-LT"/>
                </w:rPr>
                <w:t xml:space="preserve">savivaldybių infrastruktūros plėtros įstatymo 13 straipsnio 1 dalimi ir 14 straipsnio 4 dalimi, </w:t>
              </w:r>
              <w:r>
                <w:rPr>
                  <w:szCs w:val="24"/>
                  <w:lang w:eastAsia="lt-LT"/>
                </w:rPr>
                <w:t>Lietuvos Respublikos Vyriausybė</w:t>
              </w:r>
              <w:r>
                <w:rPr>
                  <w:spacing w:val="100"/>
                  <w:szCs w:val="24"/>
                  <w:lang w:eastAsia="lt-LT"/>
                </w:rPr>
                <w:t xml:space="preserve"> nutari</w:t>
              </w:r>
              <w:r>
                <w:rPr>
                  <w:szCs w:val="24"/>
                  <w:lang w:eastAsia="lt-LT"/>
                </w:rPr>
                <w:t xml:space="preserve">a:           </w:t>
              </w:r>
            </w:p>
          </w:sdtContent>
        </w:sdt>
        <w:sdt>
          <w:sdtPr>
            <w:alias w:val="1 p."/>
            <w:tag w:val="part_db217e8d3b7c41b7a4a03a9c5ba19e7e"/>
            <w:lock w:val="sdtLocked"/>
            <w:richText/>
          </w:sdtPr>
          <w:sdtContent>
            <w:p>
              <w:pPr>
                <w:spacing w:line="276" w:lineRule="auto"/>
                <w:ind w:firstLine="567"/>
                <w:jc w:val="both"/>
                <w:rPr>
                  <w:szCs w:val="24"/>
                  <w:lang w:eastAsia="lt-LT"/>
                </w:rPr>
              </w:pPr>
              <w:sdt>
                <w:sdtPr>
                  <w:alias w:val="Numeris"/>
                  <w:tag w:val="nr_db217e8d3b7c41b7a4a03a9c5ba19e7e"/>
                  <w:lock w:val="sdtLocked"/>
                  <w:richText/>
                </w:sdtPr>
                <w:sdtContent>
                  <w:r>
                    <w:rPr>
                      <w:szCs w:val="24"/>
                      <w:lang w:eastAsia="lt-LT"/>
                    </w:rPr>
                    <w:t>1</w:t>
                  </w:r>
                </w:sdtContent>
              </w:sdt>
              <w:r>
                <w:rPr>
                  <w:szCs w:val="24"/>
                  <w:lang w:eastAsia="lt-LT"/>
                </w:rPr>
                <w:t xml:space="preserve">. </w:t>
              </w:r>
              <w:r>
                <w:rPr>
                  <w:color w:val="000000"/>
                  <w:lang w:eastAsia="lt-LT"/>
                </w:rPr>
                <w:t>Patvirtinti pridedamus:</w:t>
              </w:r>
            </w:p>
            <w:sdt>
              <w:sdtPr>
                <w:alias w:val="1.1 pp."/>
                <w:tag w:val="part_94f961cf8c564399a421e538716f4302"/>
                <w:lock w:val="sdtLocked"/>
                <w:richText/>
              </w:sdtPr>
              <w:sdtContent>
                <w:p>
                  <w:pPr>
                    <w:spacing w:line="276" w:lineRule="auto"/>
                    <w:ind w:firstLine="567"/>
                    <w:jc w:val="both"/>
                    <w:rPr>
                      <w:szCs w:val="24"/>
                      <w:lang w:eastAsia="lt-LT"/>
                    </w:rPr>
                  </w:pPr>
                  <w:sdt>
                    <w:sdtPr>
                      <w:alias w:val="Numeris"/>
                      <w:tag w:val="nr_94f961cf8c564399a421e538716f4302"/>
                      <w:lock w:val="sdtLocked"/>
                      <w:richText/>
                    </w:sdtPr>
                    <w:sdtContent>
                      <w:r>
                        <w:rPr>
                          <w:szCs w:val="24"/>
                          <w:lang w:eastAsia="lt-LT"/>
                        </w:rPr>
                        <w:t>1.1</w:t>
                      </w:r>
                    </w:sdtContent>
                  </w:sdt>
                  <w:r>
                    <w:rPr>
                      <w:szCs w:val="24"/>
                      <w:lang w:eastAsia="lt-LT"/>
                    </w:rPr>
                    <w:t xml:space="preserve">. </w:t>
                  </w:r>
                  <w:r>
                    <w:rPr>
                      <w:color w:val="000000"/>
                      <w:szCs w:val="24"/>
                      <w:shd w:val="clear" w:color="auto" w:fill="FFFFFF"/>
                      <w:lang w:eastAsia="lt-LT"/>
                    </w:rPr>
                    <w:t>K</w:t>
                  </w:r>
                  <w:r>
                    <w:rPr>
                      <w:rFonts w:eastAsia="Calibri"/>
                      <w:bCs/>
                      <w:szCs w:val="24"/>
                      <w:lang w:eastAsia="lt-LT"/>
                    </w:rPr>
                    <w:t>ompensacijos savivaldybių infrastruktūros plėtros iniciatoriams už jų patirtas išlaidas apskaičiavimo ir išmokėjimo tvarkos aprašą.</w:t>
                  </w:r>
                </w:p>
              </w:sdtContent>
            </w:sdt>
            <w:sdt>
              <w:sdtPr>
                <w:alias w:val="1.2 pp."/>
                <w:tag w:val="part_ef31e477775a4ca88e6f96319cdd1246"/>
                <w:lock w:val="sdtLocked"/>
                <w:richText/>
              </w:sdtPr>
              <w:sdtContent>
                <w:p>
                  <w:pPr>
                    <w:tabs>
                      <w:tab w:val="center" w:pos="4153"/>
                      <w:tab w:val="right" w:pos="8306"/>
                    </w:tabs>
                    <w:spacing w:line="276" w:lineRule="auto"/>
                    <w:ind w:firstLine="567"/>
                    <w:jc w:val="both"/>
                    <w:rPr>
                      <w:color w:val="000000"/>
                      <w:szCs w:val="24"/>
                      <w:lang w:eastAsia="lt-LT"/>
                    </w:rPr>
                  </w:pPr>
                  <w:sdt>
                    <w:sdtPr>
                      <w:alias w:val="Numeris"/>
                      <w:tag w:val="nr_ef31e477775a4ca88e6f96319cdd1246"/>
                      <w:lock w:val="sdtLocked"/>
                      <w:richText/>
                    </w:sdtPr>
                    <w:sdtContent>
                      <w:r>
                        <w:rPr>
                          <w:color w:val="000000"/>
                          <w:szCs w:val="24"/>
                          <w:lang w:eastAsia="lt-LT"/>
                        </w:rPr>
                        <w:t>1.2</w:t>
                      </w:r>
                    </w:sdtContent>
                  </w:sdt>
                  <w:r>
                    <w:rPr>
                      <w:color w:val="000000"/>
                      <w:szCs w:val="24"/>
                      <w:lang w:eastAsia="lt-LT"/>
                    </w:rPr>
                    <w:t>. Savivaldybės infrastruktūros plėtros įmokos nustatymo metodiką.</w:t>
                  </w:r>
                </w:p>
              </w:sdtContent>
            </w:sdt>
          </w:sdtContent>
        </w:sdt>
        <w:sdt>
          <w:sdtPr>
            <w:alias w:val="2 p."/>
            <w:tag w:val="part_2bd68048d9b74b71a88ad2e1217a5d9f"/>
            <w:lock w:val="sdtLocked"/>
            <w:richText/>
          </w:sdtPr>
          <w:sdtContent>
            <w:p>
              <w:pPr>
                <w:tabs>
                  <w:tab w:val="left" w:pos="993"/>
                </w:tabs>
                <w:spacing w:line="276" w:lineRule="auto"/>
                <w:ind w:firstLine="567"/>
                <w:jc w:val="both"/>
                <w:rPr>
                  <w:color w:val="000000"/>
                  <w:szCs w:val="24"/>
                  <w:lang w:eastAsia="lt-LT"/>
                </w:rPr>
              </w:pPr>
              <w:sdt>
                <w:sdtPr>
                  <w:alias w:val="Numeris"/>
                  <w:tag w:val="nr_2bd68048d9b74b71a88ad2e1217a5d9f"/>
                  <w:lock w:val="sdtLocked"/>
                  <w:richText/>
                </w:sdtPr>
                <w:sdtContent>
                  <w:r>
                    <w:rPr>
                      <w:color w:val="000000"/>
                      <w:szCs w:val="24"/>
                      <w:lang w:eastAsia="lt-LT"/>
                    </w:rPr>
                    <w:t>2</w:t>
                  </w:r>
                </w:sdtContent>
              </w:sdt>
              <w:r>
                <w:rPr>
                  <w:color w:val="000000"/>
                  <w:szCs w:val="24"/>
                  <w:lang w:eastAsia="lt-LT"/>
                </w:rPr>
                <w:t xml:space="preserve">. </w:t>
              </w:r>
              <w:r>
                <w:rPr>
                  <w:color w:val="000000"/>
                  <w:szCs w:val="24"/>
                  <w:shd w:val="clear" w:color="auto" w:fill="FFFFFF"/>
                  <w:lang w:eastAsia="lt-LT"/>
                </w:rPr>
                <w:t>K</w:t>
              </w:r>
              <w:r>
                <w:rPr>
                  <w:rFonts w:eastAsia="Calibri"/>
                  <w:bCs/>
                  <w:color w:val="000000"/>
                  <w:szCs w:val="24"/>
                  <w:lang w:eastAsia="lt-LT"/>
                </w:rPr>
                <w:t>ompensacijos savivaldybių infrastruktūros plėtros iniciatoriams už jų patirtas išlaidas apskaičiavimo ir išmokėjimo tvarkos</w:t>
              </w:r>
              <w:r>
                <w:rPr>
                  <w:rFonts w:eastAsia="Calibri"/>
                  <w:color w:val="000000"/>
                  <w:szCs w:val="24"/>
                  <w:lang w:eastAsia="lt-LT"/>
                </w:rPr>
                <w:t xml:space="preserve"> aprašo</w:t>
              </w:r>
              <w:r>
                <w:rPr>
                  <w:color w:val="000000"/>
                  <w:szCs w:val="24"/>
                  <w:lang w:eastAsia="lt-LT"/>
                </w:rPr>
                <w:t xml:space="preserve"> nuostatos netaikomos sutartims, kurios sudarytos iki 2021 m. sausio 1 d., jei </w:t>
              </w:r>
              <w:r>
                <w:rPr>
                  <w:rFonts w:eastAsia="Calibri"/>
                  <w:iCs/>
                  <w:color w:val="000000"/>
                  <w:szCs w:val="24"/>
                  <w:lang w:eastAsia="lt-LT"/>
                </w:rPr>
                <w:t>sutarties šalys nesusitaria kitaip</w:t>
              </w:r>
              <w:r>
                <w:rPr>
                  <w:color w:val="000000"/>
                  <w:szCs w:val="24"/>
                  <w:lang w:eastAsia="lt-LT"/>
                </w:rPr>
                <w:t xml:space="preserve">. </w:t>
              </w:r>
            </w:p>
          </w:sdtContent>
        </w:sdt>
        <w:sdt>
          <w:sdtPr>
            <w:alias w:val="3 p."/>
            <w:tag w:val="part_38cba7cce1dc472c9b32930d21a7dd37"/>
            <w:lock w:val="sdtLocked"/>
            <w:richText/>
          </w:sdtPr>
          <w:sdtContent>
            <w:p>
              <w:pPr>
                <w:spacing w:line="276" w:lineRule="auto"/>
                <w:ind w:firstLine="567"/>
                <w:jc w:val="both"/>
                <w:rPr>
                  <w:szCs w:val="24"/>
                  <w:lang w:eastAsia="lt-LT"/>
                </w:rPr>
              </w:pPr>
              <w:sdt>
                <w:sdtPr>
                  <w:alias w:val="Numeris"/>
                  <w:tag w:val="nr_38cba7cce1dc472c9b32930d21a7dd37"/>
                  <w:lock w:val="sdtLocked"/>
                  <w:richText/>
                </w:sdtPr>
                <w:sdtContent>
                  <w:r>
                    <w:rPr>
                      <w:color w:val="000000"/>
                      <w:szCs w:val="24"/>
                      <w:lang w:eastAsia="lt-LT"/>
                    </w:rPr>
                    <w:t>3</w:t>
                  </w:r>
                </w:sdtContent>
              </w:sdt>
              <w:r>
                <w:rPr>
                  <w:color w:val="000000"/>
                  <w:szCs w:val="24"/>
                  <w:lang w:eastAsia="lt-LT"/>
                </w:rPr>
                <w:t xml:space="preserve">. </w:t>
              </w:r>
              <w:r>
                <w:rPr>
                  <w:color w:val="000000"/>
                  <w:lang w:eastAsia="lt-LT"/>
                </w:rPr>
                <w:t>Šis nutarimas įsigalioja 2021 m. sausio 1 d.</w:t>
              </w:r>
            </w:p>
          </w:sdtContent>
        </w:sdt>
        <w:sdt>
          <w:sdtPr>
            <w:alias w:val="signatura"/>
            <w:tag w:val="part_6519ebcfa54f45d384b5a49c2b596110"/>
            <w:lock w:val="sdtLocked"/>
            <w:richText/>
          </w:sdtPr>
          <w:sdtContent>
            <w:p>
              <w:pPr>
                <w:keepNext/>
                <w:shd w:val="clear" w:color="auto" w:fill="FFFFFF"/>
                <w:outlineLvl w:val="1"/>
              </w:pPr>
            </w:p>
            <w:p>
              <w:pPr>
                <w:keepNext/>
                <w:shd w:val="clear" w:color="auto" w:fill="FFFFFF"/>
                <w:outlineLvl w:val="1"/>
              </w:pPr>
            </w:p>
            <w:p>
              <w:pPr>
                <w:keepNext/>
                <w:shd w:val="clear" w:color="auto" w:fill="FFFFFF"/>
                <w:outlineLvl w:val="1"/>
              </w:pPr>
            </w:p>
            <w:p>
              <w:pPr>
                <w:keepNext/>
                <w:shd w:val="clear" w:color="auto" w:fill="FFFFFF"/>
                <w:outlineLvl w:val="1"/>
                <w:rPr>
                  <w:bCs/>
                  <w:color w:val="222222"/>
                  <w:spacing w:val="5"/>
                  <w:szCs w:val="24"/>
                  <w:lang w:eastAsia="lt-LT"/>
                </w:rPr>
              </w:pPr>
              <w:r>
                <w:rPr>
                  <w:bCs/>
                  <w:color w:val="222222"/>
                  <w:spacing w:val="5"/>
                  <w:szCs w:val="24"/>
                  <w:lang w:eastAsia="lt-LT"/>
                </w:rPr>
                <w:t>Ministrė Pirmininkė</w:t>
                <w:tab/>
                <w:tab/>
                <w:tab/>
                <w:tab/>
                <w:tab/>
                <w:tab/>
                <w:tab/>
                <w:tab/>
                <w:t>Ingrida Šimonytė</w:t>
              </w:r>
            </w:p>
            <w:p>
              <w:pPr>
                <w:tabs>
                  <w:tab w:val="center" w:pos="-7800"/>
                  <w:tab w:val="left" w:pos="6237"/>
                  <w:tab w:val="right" w:pos="8306"/>
                </w:tabs>
                <w:rPr>
                  <w:szCs w:val="24"/>
                  <w:lang w:eastAsia="lt-LT"/>
                </w:rPr>
              </w:pPr>
            </w:p>
            <w:p>
              <w:pPr>
                <w:tabs>
                  <w:tab w:val="center" w:pos="-7800"/>
                  <w:tab w:val="left" w:pos="6237"/>
                  <w:tab w:val="right" w:pos="8306"/>
                </w:tabs>
                <w:rPr>
                  <w:szCs w:val="24"/>
                  <w:lang w:eastAsia="lt-LT"/>
                </w:rPr>
              </w:pPr>
            </w:p>
            <w:p>
              <w:pPr>
                <w:tabs>
                  <w:tab w:val="center" w:pos="-7800"/>
                  <w:tab w:val="left" w:pos="6237"/>
                  <w:tab w:val="right" w:pos="8306"/>
                </w:tabs>
                <w:rPr>
                  <w:color w:val="000000"/>
                  <w:shd w:val="clear" w:color="auto" w:fill="FFFFFF"/>
                  <w:lang w:eastAsia="lt-LT"/>
                </w:rPr>
              </w:pPr>
              <w:r>
                <w:rPr>
                  <w:color w:val="000000"/>
                  <w:shd w:val="clear" w:color="auto" w:fill="FFFFFF"/>
                  <w:lang w:eastAsia="lt-LT"/>
                </w:rPr>
                <w:t>Aplinkos ministras</w:t>
                <w:tab/>
                <w:tab/>
              </w:r>
              <w:r>
                <w:rPr>
                  <w:szCs w:val="24"/>
                  <w:lang w:eastAsia="lt-LT"/>
                </w:rPr>
                <w:t>Simonas Gentvilas</w:t>
              </w:r>
            </w:p>
            <w:p>
              <w:pPr>
                <w:tabs>
                  <w:tab w:val="center" w:pos="-7800"/>
                  <w:tab w:val="left" w:pos="6237"/>
                  <w:tab w:val="right" w:pos="8306"/>
                </w:tabs>
                <w:rPr>
                  <w:lang w:eastAsia="lt-LT"/>
                </w:rPr>
              </w:pPr>
            </w:p>
          </w:sdtContent>
        </w:sdt>
      </w:sdtContent>
    </w:sdt>
    <w:sdt>
      <w:sdtPr>
        <w:alias w:val="patvirtinta"/>
        <w:tag w:val="part_80ac60bee5c0431abbe7a8a8e294f142"/>
        <w:lock w:val="sdtLocked"/>
        <w:richText/>
      </w:sdtPr>
      <w:sdtContent>
        <w:p>
          <w:pPr>
            <w:ind w:left="5040"/>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709" w:footer="709" w:gutter="0"/>
              <w:cols w:space="1296"/>
              <w:titlePg/>
              <w:docGrid w:linePitch="326"/>
            </w:sectPr>
          </w:pPr>
        </w:p>
        <w:p>
          <w:pPr>
            <w:ind w:left="5040"/>
            <w:rPr>
              <w:szCs w:val="24"/>
            </w:rPr>
          </w:pPr>
          <w:r>
            <w:rPr>
              <w:szCs w:val="24"/>
            </w:rPr>
            <w:t>PATVIRTINTA</w:t>
          </w:r>
        </w:p>
        <w:p>
          <w:pPr>
            <w:ind w:left="5040"/>
            <w:rPr>
              <w:rFonts w:eastAsia="Calibri"/>
              <w:szCs w:val="24"/>
            </w:rPr>
          </w:pPr>
          <w:r>
            <w:rPr>
              <w:rFonts w:eastAsia="Calibri"/>
              <w:szCs w:val="24"/>
            </w:rPr>
            <w:t>Lietuvos Respublikos Vyriausybės</w:t>
          </w:r>
        </w:p>
        <w:p>
          <w:pPr>
            <w:ind w:left="5040"/>
            <w:rPr>
              <w:rFonts w:eastAsia="Calibri"/>
              <w:szCs w:val="24"/>
            </w:rPr>
          </w:pPr>
          <w:r>
            <w:rPr>
              <w:rFonts w:eastAsia="Calibri"/>
              <w:szCs w:val="24"/>
            </w:rPr>
            <w:t>2020 m. gruodžio 30 d. nutarimu Nr. 1475</w:t>
          </w:r>
        </w:p>
        <w:p>
          <w:pPr>
            <w:tabs>
              <w:tab w:val="left" w:pos="8310"/>
            </w:tabs>
            <w:ind w:firstLine="8310"/>
            <w:rPr>
              <w:rFonts w:eastAsia="Calibri"/>
              <w:szCs w:val="24"/>
            </w:rPr>
          </w:pPr>
        </w:p>
        <w:p>
          <w:pPr>
            <w:jc w:val="center"/>
            <w:rPr>
              <w:rFonts w:eastAsia="Calibri"/>
              <w:b/>
              <w:bCs/>
              <w:szCs w:val="24"/>
            </w:rPr>
          </w:pPr>
          <w:sdt>
            <w:sdtPr>
              <w:alias w:val="Pavadinimas"/>
              <w:tag w:val="title_80ac60bee5c0431abbe7a8a8e294f142"/>
              <w:lock w:val="sdtLocked"/>
              <w:richText/>
            </w:sdtPr>
            <w:sdtContent>
              <w:r>
                <w:rPr>
                  <w:rFonts w:eastAsia="Calibri"/>
                  <w:b/>
                  <w:bCs/>
                  <w:szCs w:val="24"/>
                </w:rPr>
                <w:t xml:space="preserve">KOMPENSACIJOS SAVIVALDYBIŲ INFRASTRUKTŪROS PLĖTROS INICIATORIAMS UŽ JŲ PATIRTAS IŠLAIDAS APSKAIČIAVIMO IR IŠMOKĖJIMO </w:t>
              </w:r>
              <w:r>
                <w:rPr>
                  <w:b/>
                  <w:szCs w:val="24"/>
                  <w:shd w:val="clear" w:color="auto" w:fill="FFFFFF"/>
                </w:rPr>
                <w:t>TVARKOS APRAŠAS</w:t>
              </w:r>
            </w:sdtContent>
          </w:sdt>
        </w:p>
        <w:p>
          <w:pPr>
            <w:ind w:firstLine="624"/>
            <w:jc w:val="center"/>
            <w:rPr>
              <w:rFonts w:eastAsia="Calibri"/>
              <w:b/>
              <w:bCs/>
              <w:szCs w:val="24"/>
            </w:rPr>
          </w:pPr>
        </w:p>
        <w:sdt>
          <w:sdtPr>
            <w:alias w:val="skyrius"/>
            <w:tag w:val="part_fbf289b8e5bd4e50aef2d91686db03ea"/>
            <w:lock w:val="sdtLocked"/>
            <w:richText/>
          </w:sdtPr>
          <w:sdtContent>
            <w:p>
              <w:pPr>
                <w:jc w:val="center"/>
                <w:rPr>
                  <w:rFonts w:eastAsia="Calibri"/>
                  <w:b/>
                  <w:bCs/>
                  <w:szCs w:val="24"/>
                </w:rPr>
              </w:pPr>
              <w:sdt>
                <w:sdtPr>
                  <w:alias w:val="Numeris"/>
                  <w:tag w:val="nr_fbf289b8e5bd4e50aef2d91686db03ea"/>
                  <w:lock w:val="sdtLocked"/>
                  <w:richText/>
                </w:sdtPr>
                <w:sdtContent>
                  <w:r>
                    <w:rPr>
                      <w:rFonts w:eastAsia="Calibri"/>
                      <w:b/>
                      <w:bCs/>
                      <w:szCs w:val="24"/>
                    </w:rPr>
                    <w:t>I</w:t>
                  </w:r>
                </w:sdtContent>
              </w:sdt>
              <w:r>
                <w:rPr>
                  <w:rFonts w:eastAsia="Calibri"/>
                  <w:b/>
                  <w:bCs/>
                  <w:szCs w:val="24"/>
                </w:rPr>
                <w:t xml:space="preserve"> SKYRIUS</w:t>
              </w:r>
            </w:p>
            <w:p>
              <w:pPr>
                <w:jc w:val="center"/>
                <w:rPr>
                  <w:rFonts w:eastAsia="Calibri"/>
                  <w:b/>
                  <w:bCs/>
                  <w:szCs w:val="24"/>
                </w:rPr>
              </w:pPr>
              <w:sdt>
                <w:sdtPr>
                  <w:alias w:val="Pavadinimas"/>
                  <w:tag w:val="title_fbf289b8e5bd4e50aef2d91686db03ea"/>
                  <w:lock w:val="sdtLocked"/>
                  <w:richText/>
                </w:sdtPr>
                <w:sdtContent>
                  <w:r>
                    <w:rPr>
                      <w:rFonts w:eastAsia="Calibri"/>
                      <w:b/>
                      <w:bCs/>
                      <w:szCs w:val="24"/>
                    </w:rPr>
                    <w:t xml:space="preserve">BENDROSIOS NUOSTATOS </w:t>
                  </w:r>
                </w:sdtContent>
              </w:sdt>
            </w:p>
            <w:p>
              <w:pPr>
                <w:jc w:val="center"/>
                <w:rPr>
                  <w:rFonts w:eastAsia="Calibri"/>
                  <w:b/>
                  <w:bCs/>
                  <w:szCs w:val="24"/>
                </w:rPr>
              </w:pPr>
            </w:p>
            <w:sdt>
              <w:sdtPr>
                <w:alias w:val="1 p."/>
                <w:tag w:val="part_893a1f8386d447c59dab97478ca57585"/>
                <w:lock w:val="sdtLocked"/>
                <w:richText/>
              </w:sdtPr>
              <w:sdtContent>
                <w:p>
                  <w:pPr>
                    <w:tabs>
                      <w:tab w:val="left" w:pos="993"/>
                    </w:tabs>
                    <w:spacing w:line="276" w:lineRule="auto"/>
                    <w:ind w:firstLine="567"/>
                    <w:jc w:val="both"/>
                    <w:rPr>
                      <w:rFonts w:eastAsia="Calibri"/>
                      <w:szCs w:val="24"/>
                    </w:rPr>
                  </w:pPr>
                  <w:sdt>
                    <w:sdtPr>
                      <w:alias w:val="Numeris"/>
                      <w:tag w:val="nr_893a1f8386d447c59dab97478ca57585"/>
                      <w:lock w:val="sdtLocked"/>
                      <w:richText/>
                    </w:sdtPr>
                    <w:sdtContent>
                      <w:r>
                        <w:rPr>
                          <w:rFonts w:eastAsia="Calibri"/>
                          <w:szCs w:val="24"/>
                        </w:rPr>
                        <w:t>1</w:t>
                      </w:r>
                    </w:sdtContent>
                  </w:sdt>
                  <w:r>
                    <w:rPr>
                      <w:rFonts w:eastAsia="Calibri"/>
                      <w:szCs w:val="24"/>
                    </w:rPr>
                    <w:t>.</w:t>
                    <w:tab/>
                  </w:r>
                  <w:r>
                    <w:rPr>
                      <w:szCs w:val="24"/>
                      <w:shd w:val="clear" w:color="auto" w:fill="FFFFFF"/>
                    </w:rPr>
                    <w:t> K</w:t>
                  </w:r>
                  <w:r>
                    <w:rPr>
                      <w:rFonts w:eastAsia="Calibri"/>
                      <w:bCs/>
                      <w:szCs w:val="24"/>
                    </w:rPr>
                    <w:t>ompensacijos savivaldybių infrastruktūros plėtros iniciatoriams už jų patirtas išlaidas apskaičiavimo ir išmokėjimo tvarkos aprašas</w:t>
                  </w:r>
                  <w:r>
                    <w:rPr>
                      <w:rFonts w:eastAsia="Calibri"/>
                      <w:b/>
                      <w:bCs/>
                      <w:szCs w:val="24"/>
                    </w:rPr>
                    <w:t xml:space="preserve"> </w:t>
                  </w:r>
                  <w:r>
                    <w:rPr>
                      <w:rFonts w:eastAsia="Calibri"/>
                      <w:szCs w:val="24"/>
                    </w:rPr>
                    <w:t xml:space="preserve">(toliau – Tvarkos aprašas) nustato kompensacijos savivaldybių infrastruktūros plėtros iniciatoriams (toliau – iniciatorius) už patirtas savivaldybės infrastruktūros plėtros sutartyje (toliau – sutartis) nustatytas savivaldybės infrastruktūros plėtros išlaidas (toliau – kompensacija) apskaičiavimo ir išmokėjimo tvarką.  </w:t>
                  </w:r>
                </w:p>
              </w:sdtContent>
            </w:sdt>
            <w:sdt>
              <w:sdtPr>
                <w:alias w:val="2 p."/>
                <w:tag w:val="part_ab7fafffc9da43b4869e38f7aaaa696c"/>
                <w:lock w:val="sdtLocked"/>
                <w:richText/>
              </w:sdtPr>
              <w:sdtContent>
                <w:p>
                  <w:pPr>
                    <w:tabs>
                      <w:tab w:val="left" w:pos="993"/>
                    </w:tabs>
                    <w:spacing w:line="276" w:lineRule="auto"/>
                    <w:ind w:firstLine="567"/>
                    <w:jc w:val="both"/>
                    <w:rPr>
                      <w:rFonts w:eastAsia="Calibri"/>
                      <w:szCs w:val="24"/>
                    </w:rPr>
                  </w:pPr>
                  <w:sdt>
                    <w:sdtPr>
                      <w:alias w:val="Numeris"/>
                      <w:tag w:val="nr_ab7fafffc9da43b4869e38f7aaaa696c"/>
                      <w:lock w:val="sdtLocked"/>
                      <w:richText/>
                    </w:sdtPr>
                    <w:sdtContent>
                      <w:r>
                        <w:rPr>
                          <w:rFonts w:eastAsia="Calibri"/>
                          <w:szCs w:val="24"/>
                        </w:rPr>
                        <w:t>2</w:t>
                      </w:r>
                    </w:sdtContent>
                  </w:sdt>
                  <w:r>
                    <w:rPr>
                      <w:rFonts w:eastAsia="Calibri"/>
                      <w:szCs w:val="24"/>
                    </w:rPr>
                    <w:t>.</w:t>
                    <w:tab/>
                    <w:t xml:space="preserve">Kompensaciją apskaičiuoja ir išmoka savivaldybės infrastruktūros plėtros organizatorius (toliau – organizatorius). </w:t>
                  </w:r>
                </w:p>
                <w:p>
                  <w:pPr>
                    <w:tabs>
                      <w:tab w:val="left" w:pos="993"/>
                    </w:tabs>
                    <w:spacing w:line="276" w:lineRule="auto"/>
                    <w:jc w:val="center"/>
                    <w:rPr>
                      <w:rFonts w:eastAsia="Calibri"/>
                      <w:b/>
                      <w:bCs/>
                      <w:szCs w:val="24"/>
                    </w:rPr>
                  </w:pPr>
                </w:p>
              </w:sdtContent>
            </w:sdt>
          </w:sdtContent>
        </w:sdt>
        <w:sdt>
          <w:sdtPr>
            <w:alias w:val="skyrius"/>
            <w:tag w:val="part_ffae8753b68649f3b0d6759fae2a9697"/>
            <w:lock w:val="sdtLocked"/>
            <w:richText/>
          </w:sdtPr>
          <w:sdtContent>
            <w:p>
              <w:pPr>
                <w:tabs>
                  <w:tab w:val="left" w:pos="993"/>
                </w:tabs>
                <w:jc w:val="center"/>
                <w:rPr>
                  <w:rFonts w:eastAsia="Calibri"/>
                  <w:b/>
                  <w:bCs/>
                  <w:szCs w:val="24"/>
                </w:rPr>
              </w:pPr>
              <w:sdt>
                <w:sdtPr>
                  <w:alias w:val="Numeris"/>
                  <w:tag w:val="nr_ffae8753b68649f3b0d6759fae2a9697"/>
                  <w:lock w:val="sdtLocked"/>
                  <w:richText/>
                </w:sdtPr>
                <w:sdtContent>
                  <w:r>
                    <w:rPr>
                      <w:rFonts w:eastAsia="Calibri"/>
                      <w:b/>
                      <w:bCs/>
                      <w:szCs w:val="24"/>
                    </w:rPr>
                    <w:t>II</w:t>
                  </w:r>
                </w:sdtContent>
              </w:sdt>
              <w:r>
                <w:rPr>
                  <w:rFonts w:eastAsia="Calibri"/>
                  <w:b/>
                  <w:bCs/>
                  <w:szCs w:val="24"/>
                </w:rPr>
                <w:t xml:space="preserve"> SKYRIUS </w:t>
              </w:r>
            </w:p>
            <w:p>
              <w:pPr>
                <w:tabs>
                  <w:tab w:val="left" w:pos="993"/>
                </w:tabs>
                <w:jc w:val="center"/>
                <w:rPr>
                  <w:rFonts w:eastAsia="Calibri"/>
                  <w:b/>
                  <w:bCs/>
                  <w:szCs w:val="24"/>
                </w:rPr>
              </w:pPr>
              <w:sdt>
                <w:sdtPr>
                  <w:alias w:val="Pavadinimas"/>
                  <w:tag w:val="title_ffae8753b68649f3b0d6759fae2a9697"/>
                  <w:lock w:val="sdtLocked"/>
                  <w:richText/>
                </w:sdtPr>
                <w:sdtContent>
                  <w:r>
                    <w:rPr>
                      <w:rFonts w:eastAsia="Calibri"/>
                      <w:b/>
                      <w:bCs/>
                      <w:szCs w:val="24"/>
                    </w:rPr>
                    <w:t>KOMPENSACIJOS APSKAIČIAVIMO TVARKA</w:t>
                  </w:r>
                </w:sdtContent>
              </w:sdt>
            </w:p>
            <w:p>
              <w:pPr>
                <w:tabs>
                  <w:tab w:val="left" w:pos="993"/>
                </w:tabs>
                <w:spacing w:line="276" w:lineRule="auto"/>
                <w:jc w:val="center"/>
                <w:rPr>
                  <w:rFonts w:eastAsia="Calibri"/>
                  <w:szCs w:val="24"/>
                </w:rPr>
              </w:pPr>
            </w:p>
            <w:sdt>
              <w:sdtPr>
                <w:alias w:val="3 p."/>
                <w:tag w:val="part_486177e846224754ae99a1dfd7013be3"/>
                <w:lock w:val="sdtLocked"/>
                <w:richText/>
              </w:sdtPr>
              <w:sdtContent>
                <w:p>
                  <w:pPr>
                    <w:tabs>
                      <w:tab w:val="left" w:pos="567"/>
                    </w:tabs>
                    <w:spacing w:line="276" w:lineRule="auto"/>
                    <w:ind w:firstLine="567"/>
                    <w:jc w:val="both"/>
                    <w:rPr>
                      <w:rFonts w:eastAsia="Calibri"/>
                      <w:szCs w:val="24"/>
                    </w:rPr>
                  </w:pPr>
                  <w:sdt>
                    <w:sdtPr>
                      <w:alias w:val="Numeris"/>
                      <w:tag w:val="nr_486177e846224754ae99a1dfd7013be3"/>
                      <w:lock w:val="sdtLocked"/>
                      <w:richText/>
                    </w:sdtPr>
                    <w:sdtContent>
                      <w:r>
                        <w:rPr>
                          <w:szCs w:val="24"/>
                          <w:lang w:val="lt" w:eastAsia="lt-LT"/>
                        </w:rPr>
                        <w:t>3</w:t>
                      </w:r>
                    </w:sdtContent>
                  </w:sdt>
                  <w:r>
                    <w:rPr>
                      <w:szCs w:val="24"/>
                      <w:lang w:val="lt" w:eastAsia="lt-LT"/>
                    </w:rPr>
                    <w:t>. Iki sutarties sudarymo dienos organizatorius, vadovaudamasis Lietuvos Respublikos savivaldybių infrastruktūros plėtros įstatymo (toliau – Įstatymas) 13 straipsnio 3 dalies ir Tvarkos aprašo nuostatomis, apskaičiuoja kompensacijos dydį atsižvelgdamas į iniciatoriaus pasiūlymą (toliau – pasiūlymas), dokumentus ir kitą informaciją, pateiktus įgyvendinant organizatoriaus nurodytas sutarties sudarymo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4 p."/>
                <w:tag w:val="part_856d7d3b879240c1a6f2eb0af641798a"/>
                <w:lock w:val="sdtLocked"/>
                <w:richText/>
              </w:sdtPr>
              <w:sdtContent>
                <w:p>
                  <w:pPr>
                    <w:spacing w:line="276" w:lineRule="auto"/>
                    <w:ind w:firstLine="567"/>
                    <w:jc w:val="both"/>
                    <w:rPr>
                      <w:szCs w:val="24"/>
                    </w:rPr>
                  </w:pPr>
                  <w:sdt>
                    <w:sdtPr>
                      <w:alias w:val="Numeris"/>
                      <w:tag w:val="nr_856d7d3b879240c1a6f2eb0af641798a"/>
                      <w:lock w:val="sdtLocked"/>
                      <w:richText/>
                    </w:sdtPr>
                    <w:sdtContent>
                      <w:r>
                        <w:rPr>
                          <w:szCs w:val="24"/>
                        </w:rPr>
                        <w:t>4</w:t>
                      </w:r>
                    </w:sdtContent>
                  </w:sdt>
                  <w:r>
                    <w:rPr>
                      <w:szCs w:val="24"/>
                    </w:rPr>
                    <w:t>. Kompensacijos dydžiui apskaičiuoti ir jos išmokėjimui atlikti Tvarkos aprašo 3 punkte nurodytuose dokumentuose ir informacijoje turėtų būti atskleisti šie duomenys ir informacija:</w:t>
                  </w:r>
                </w:p>
                <w:sdt>
                  <w:sdtPr>
                    <w:alias w:val="4.1 pp."/>
                    <w:tag w:val="part_5646e3788fb24388aff688194e435c80"/>
                    <w:lock w:val="sdtLocked"/>
                    <w:richText/>
                  </w:sdtPr>
                  <w:sdtContent>
                    <w:p>
                      <w:pPr>
                        <w:tabs>
                          <w:tab w:val="left" w:pos="993"/>
                        </w:tabs>
                        <w:spacing w:line="276" w:lineRule="auto"/>
                        <w:ind w:firstLine="558"/>
                        <w:jc w:val="both"/>
                        <w:rPr>
                          <w:rFonts w:eastAsia="Calibri"/>
                          <w:szCs w:val="24"/>
                        </w:rPr>
                      </w:pPr>
                      <w:sdt>
                        <w:sdtPr>
                          <w:alias w:val="Numeris"/>
                          <w:tag w:val="nr_5646e3788fb24388aff688194e435c80"/>
                          <w:lock w:val="sdtLocked"/>
                          <w:richText/>
                        </w:sdtPr>
                        <w:sdtContent>
                          <w:r>
                            <w:rPr>
                              <w:rFonts w:eastAsia="Calibri"/>
                              <w:szCs w:val="24"/>
                            </w:rPr>
                            <w:t>4.1</w:t>
                          </w:r>
                        </w:sdtContent>
                      </w:sdt>
                      <w:r>
                        <w:rPr>
                          <w:rFonts w:eastAsia="Calibri"/>
                          <w:szCs w:val="24"/>
                        </w:rPr>
                        <w:t>. iniciatoriaus duomenys:</w:t>
                      </w:r>
                    </w:p>
                    <w:sdt>
                      <w:sdtPr>
                        <w:alias w:val="4.1.1 pp."/>
                        <w:tag w:val="part_14b86b342073498d9949245e1ffd8b29"/>
                        <w:lock w:val="sdtLocked"/>
                        <w:richText/>
                      </w:sdtPr>
                      <w:sdtContent>
                        <w:p>
                          <w:pPr>
                            <w:tabs>
                              <w:tab w:val="left" w:pos="993"/>
                            </w:tabs>
                            <w:spacing w:line="276" w:lineRule="auto"/>
                            <w:ind w:firstLine="567"/>
                            <w:jc w:val="both"/>
                            <w:rPr>
                              <w:rFonts w:eastAsia="Calibri"/>
                              <w:szCs w:val="24"/>
                            </w:rPr>
                          </w:pPr>
                          <w:sdt>
                            <w:sdtPr>
                              <w:alias w:val="Numeris"/>
                              <w:tag w:val="nr_14b86b342073498d9949245e1ffd8b29"/>
                              <w:lock w:val="sdtLocked"/>
                              <w:richText/>
                            </w:sdtPr>
                            <w:sdtContent>
                              <w:r>
                                <w:rPr>
                                  <w:rFonts w:eastAsia="Calibri"/>
                                  <w:szCs w:val="24"/>
                                </w:rPr>
                                <w:t>4.1.1</w:t>
                              </w:r>
                            </w:sdtContent>
                          </w:sdt>
                          <w:r>
                            <w:rPr>
                              <w:rFonts w:eastAsia="Calibri"/>
                              <w:szCs w:val="24"/>
                            </w:rPr>
                            <w:t>. Lietuvos Respublikos ar užsienio valstybės fizinio asmens identifikaciniai duomenys: vardas, pavardė, asmens kodas arba gimimo data, kai asmens kodas nesuteiktas, ryšio duomenys (adresas, telefono numeris, elektroninio pašto adresas), banko arba kitos kredito įstaigos pavadinimas, atsiskaitomosios sąskaitos numeris;</w:t>
                          </w:r>
                        </w:p>
                      </w:sdtContent>
                    </w:sdt>
                    <w:sdt>
                      <w:sdtPr>
                        <w:alias w:val="4.1.2 pp."/>
                        <w:tag w:val="part_c9402839cd5c41609c3ad4e8c6de6760"/>
                        <w:lock w:val="sdtLocked"/>
                        <w:richText/>
                      </w:sdtPr>
                      <w:sdtContent>
                        <w:p>
                          <w:pPr>
                            <w:tabs>
                              <w:tab w:val="left" w:pos="993"/>
                            </w:tabs>
                            <w:spacing w:line="276" w:lineRule="auto"/>
                            <w:ind w:firstLine="558"/>
                            <w:jc w:val="both"/>
                            <w:rPr>
                              <w:rFonts w:eastAsia="Calibri"/>
                              <w:szCs w:val="24"/>
                            </w:rPr>
                          </w:pPr>
                          <w:sdt>
                            <w:sdtPr>
                              <w:alias w:val="Numeris"/>
                              <w:tag w:val="nr_c9402839cd5c41609c3ad4e8c6de6760"/>
                              <w:lock w:val="sdtLocked"/>
                              <w:richText/>
                            </w:sdtPr>
                            <w:sdtContent>
                              <w:r>
                                <w:rPr>
                                  <w:rFonts w:eastAsia="Calibri"/>
                                  <w:szCs w:val="24"/>
                                </w:rPr>
                                <w:t>4.1.2</w:t>
                              </w:r>
                            </w:sdtContent>
                          </w:sdt>
                          <w:r>
                            <w:rPr>
                              <w:rFonts w:eastAsia="Calibri"/>
                              <w:szCs w:val="24"/>
                            </w:rPr>
                            <w:t xml:space="preserve">.  Lietuvos Respublikos ar užsienio valstybės juridinio asmens, kitos organizacijos ar jų padalinio teisinė forma (jei teisinės formos neturi – teisinis statusas), pavadinimas, kodas, jei jis suteikiamas, ryšio duomenys (adresas, telefono numeris, elektroninio pašto adresas), banko arba kitos kredito įstaigos pavadinimas, atsiskaitomosios sąskaitos numeris, atstovaujančiojo asmens pareigos, vardas, pavardė, atstovavimo pagrindas;</w:t>
                          </w:r>
                        </w:p>
                      </w:sdtContent>
                    </w:sdt>
                  </w:sdtContent>
                </w:sdt>
                <w:sdt>
                  <w:sdtPr>
                    <w:alias w:val="4.2 pp."/>
                    <w:tag w:val="part_5765605d2f7c45959af8b887f775555a"/>
                    <w:lock w:val="sdtLocked"/>
                    <w:richText/>
                  </w:sdtPr>
                  <w:sdtContent>
                    <w:p>
                      <w:pPr>
                        <w:tabs>
                          <w:tab w:val="left" w:pos="567"/>
                          <w:tab w:val="left" w:pos="993"/>
                        </w:tabs>
                        <w:spacing w:line="276" w:lineRule="auto"/>
                        <w:ind w:firstLine="567"/>
                        <w:jc w:val="both"/>
                        <w:rPr>
                          <w:rFonts w:eastAsia="Calibri"/>
                          <w:szCs w:val="24"/>
                        </w:rPr>
                      </w:pPr>
                      <w:sdt>
                        <w:sdtPr>
                          <w:alias w:val="Numeris"/>
                          <w:tag w:val="nr_5765605d2f7c45959af8b887f775555a"/>
                          <w:lock w:val="sdtLocked"/>
                          <w:richText/>
                        </w:sdtPr>
                        <w:sdtContent>
                          <w:r>
                            <w:rPr>
                              <w:rFonts w:eastAsia="Calibri"/>
                              <w:szCs w:val="24"/>
                              <w:lang w:eastAsia="lt-LT"/>
                            </w:rPr>
                            <w:t>4.2</w:t>
                          </w:r>
                        </w:sdtContent>
                      </w:sdt>
                      <w:r>
                        <w:rPr>
                          <w:rFonts w:eastAsia="Calibri"/>
                          <w:szCs w:val="24"/>
                          <w:lang w:eastAsia="lt-LT"/>
                        </w:rPr>
                        <w:t>. siūlomos suprojektuoti, pastatyti ir (ar) įrengti savivaldybės infrastruktūros statinių ir (ar)</w:t>
                      </w:r>
                      <w:r>
                        <w:rPr>
                          <w:rFonts w:eastAsia="Calibri"/>
                          <w:b/>
                          <w:bCs/>
                          <w:szCs w:val="24"/>
                          <w:lang w:eastAsia="lt-LT"/>
                        </w:rPr>
                        <w:t xml:space="preserve"> </w:t>
                      </w:r>
                      <w:r>
                        <w:rPr>
                          <w:rFonts w:eastAsia="Calibri"/>
                          <w:szCs w:val="24"/>
                          <w:lang w:eastAsia="lt-LT"/>
                        </w:rPr>
                        <w:t>įrenginių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4.3 pp."/>
                    <w:tag w:val="part_b13c74e82901432c8802dcd91c2e84e0"/>
                    <w:lock w:val="sdtLocked"/>
                    <w:richText/>
                  </w:sdtPr>
                  <w:sdtContent>
                    <w:p>
                      <w:pPr>
                        <w:tabs>
                          <w:tab w:val="left" w:pos="993"/>
                        </w:tabs>
                        <w:spacing w:line="276" w:lineRule="auto"/>
                        <w:ind w:firstLine="567"/>
                        <w:jc w:val="both"/>
                        <w:rPr>
                          <w:rFonts w:eastAsia="Calibri"/>
                          <w:szCs w:val="24"/>
                        </w:rPr>
                      </w:pPr>
                      <w:sdt>
                        <w:sdtPr>
                          <w:alias w:val="Numeris"/>
                          <w:tag w:val="nr_b13c74e82901432c8802dcd91c2e84e0"/>
                          <w:lock w:val="sdtLocked"/>
                          <w:richText/>
                        </w:sdtPr>
                        <w:sdtContent>
                          <w:r>
                            <w:rPr>
                              <w:rFonts w:eastAsia="Calibri"/>
                              <w:szCs w:val="24"/>
                            </w:rPr>
                            <w:t>4.3</w:t>
                          </w:r>
                        </w:sdtContent>
                      </w:sdt>
                      <w:r>
                        <w:rPr>
                          <w:rFonts w:eastAsia="Calibri"/>
                          <w:szCs w:val="24"/>
                        </w:rPr>
                        <w:t>. iniciatoriaus pasirinktas informavimo apie kompensacijos apskaičiavimą ir jos sumokėjimą būdas (siunčiant paštu pasiūlyme nurodytu adresu ar elektroniniu paštu) (toliau – iniciatoriaus pasirinktas informavimo būdas);</w:t>
                      </w:r>
                    </w:p>
                  </w:sdtContent>
                </w:sdt>
                <w:sdt>
                  <w:sdtPr>
                    <w:alias w:val="4.4 pp."/>
                    <w:tag w:val="part_bd3f5794d5334d1486d173c53f4b2321"/>
                    <w:lock w:val="sdtLocked"/>
                    <w:richText/>
                  </w:sdtPr>
                  <w:sdtContent>
                    <w:p>
                      <w:pPr>
                        <w:spacing w:line="276" w:lineRule="auto"/>
                        <w:ind w:firstLine="567"/>
                        <w:jc w:val="both"/>
                        <w:rPr>
                          <w:szCs w:val="24"/>
                        </w:rPr>
                      </w:pPr>
                      <w:sdt>
                        <w:sdtPr>
                          <w:alias w:val="Numeris"/>
                          <w:tag w:val="nr_bd3f5794d5334d1486d173c53f4b2321"/>
                          <w:lock w:val="sdtLocked"/>
                          <w:richText/>
                        </w:sdtPr>
                        <w:sdtContent>
                          <w:r>
                            <w:rPr>
                              <w:szCs w:val="24"/>
                            </w:rPr>
                            <w:t>4.4</w:t>
                          </w:r>
                        </w:sdtContent>
                      </w:sdt>
                      <w:r>
                        <w:rPr>
                          <w:szCs w:val="24"/>
                        </w:rPr>
                        <w:t>. savivaldybės infrastruktūros ir elektroninių ryšių infrastruktūros (kai numatoma vystyti elektroninių ryšių infrastruktūrą) plėtrai reikalingos prisijungimo sąlygos;</w:t>
                      </w:r>
                    </w:p>
                  </w:sdtContent>
                </w:sdt>
                <w:sdt>
                  <w:sdtPr>
                    <w:alias w:val="4.5 pp."/>
                    <w:tag w:val="part_a2639101a546442c9b76fa68629d8277"/>
                    <w:lock w:val="sdtLocked"/>
                    <w:richText/>
                  </w:sdtPr>
                  <w:sdtContent>
                    <w:p>
                      <w:pPr>
                        <w:tabs>
                          <w:tab w:val="left" w:pos="567"/>
                        </w:tabs>
                        <w:spacing w:line="276" w:lineRule="auto"/>
                        <w:ind w:firstLine="567"/>
                        <w:jc w:val="both"/>
                        <w:rPr>
                          <w:rFonts w:eastAsia="Calibri"/>
                          <w:szCs w:val="24"/>
                        </w:rPr>
                      </w:pPr>
                      <w:sdt>
                        <w:sdtPr>
                          <w:alias w:val="Numeris"/>
                          <w:tag w:val="nr_a2639101a546442c9b76fa68629d8277"/>
                          <w:lock w:val="sdtLocked"/>
                          <w:richText/>
                        </w:sdtPr>
                        <w:sdtContent>
                          <w:r>
                            <w:rPr>
                              <w:szCs w:val="24"/>
                              <w:lang w:val="lt" w:eastAsia="lt-LT"/>
                            </w:rPr>
                            <w:t>4.5</w:t>
                          </w:r>
                        </w:sdtContent>
                      </w:sdt>
                      <w:r>
                        <w:rPr>
                          <w:szCs w:val="24"/>
                          <w:lang w:val="lt" w:eastAsia="lt-LT"/>
                        </w:rPr>
                        <w:t>. savivaldybės infrastruktūros statinio projektas, kai vadovaujantis Statybos įstatymu statybą leidžiantis dokumentas privalomas, ar statinio ir (ar) įrenginio ilgis, plotis, diametras, statybos darbai ir kiti rodikliai, kurių pakaktų savivaldybės infrastruktūros plėtros kainai nustatyti, vadovaujantis aplinkos ministro įsakymu patvirtintais statybos skaičiuojamosios kainos nustatymo principais ir ž</w:t>
                      </w:r>
                      <w:r>
                        <w:rPr>
                          <w:szCs w:val="24"/>
                          <w:lang w:eastAsia="en-GB"/>
                        </w:rPr>
                        <w:t>eldinių atkuriamosios vertės įkainiais</w:t>
                      </w:r>
                      <w:r>
                        <w:rPr>
                          <w:szCs w:val="24"/>
                          <w:lang w:val="lt" w:eastAsia="lt-LT"/>
                        </w:rPr>
                        <w:t>, kai statybą leidžiantis dokumentas neprivalomas;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4.6 pp."/>
                    <w:tag w:val="part_6add6980b8194b5292af8a9bd31a6037"/>
                    <w:lock w:val="sdtLocked"/>
                    <w:richText/>
                  </w:sdtPr>
                  <w:sdtContent>
                    <w:p>
                      <w:pPr>
                        <w:tabs>
                          <w:tab w:val="left" w:pos="567"/>
                        </w:tabs>
                        <w:spacing w:line="276" w:lineRule="auto"/>
                        <w:ind w:firstLine="567"/>
                        <w:jc w:val="both"/>
                        <w:rPr>
                          <w:szCs w:val="24"/>
                        </w:rPr>
                      </w:pPr>
                      <w:sdt>
                        <w:sdtPr>
                          <w:alias w:val="Numeris"/>
                          <w:tag w:val="nr_6add6980b8194b5292af8a9bd31a6037"/>
                          <w:lock w:val="sdtLocked"/>
                          <w:richText/>
                        </w:sdtPr>
                        <w:sdtContent>
                          <w:r>
                            <w:rPr>
                              <w:szCs w:val="24"/>
                              <w:lang w:eastAsia="lt-LT"/>
                            </w:rPr>
                            <w:t>4.6</w:t>
                          </w:r>
                        </w:sdtContent>
                      </w:sdt>
                      <w:r>
                        <w:rPr>
                          <w:szCs w:val="24"/>
                          <w:lang w:eastAsia="lt-LT"/>
                        </w:rPr>
                        <w:t xml:space="preserve">. savivaldybės infrastruktūros plėtros kaina, apskaičiuota vadovaujantis aplinkos ministro įsakymais patvirtintomis statinių projektavimo darbų kainų skaičiavimo rekomendacijomis, statybos skaičiuojamosios kainos nustatymo principais </w:t>
                      </w:r>
                      <w:r>
                        <w:rPr>
                          <w:szCs w:val="24"/>
                          <w:lang w:eastAsia="en-GB"/>
                        </w:rPr>
                        <w:t>ir želdinių atkuriamosios vertės įkainiais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Content>
            </w:sdt>
            <w:sdt>
              <w:sdtPr>
                <w:alias w:val="5 p."/>
                <w:tag w:val="part_bfd2705be2af472db2fc1389b53a8e1f"/>
                <w:lock w:val="sdtLocked"/>
                <w:richText/>
              </w:sdtPr>
              <w:sdtContent>
                <w:p>
                  <w:pPr>
                    <w:spacing w:line="276" w:lineRule="auto"/>
                    <w:ind w:firstLine="567"/>
                    <w:jc w:val="both"/>
                    <w:rPr>
                      <w:sz w:val="22"/>
                      <w:szCs w:val="22"/>
                      <w:lang w:eastAsia="en-GB"/>
                    </w:rPr>
                  </w:pPr>
                  <w:sdt>
                    <w:sdtPr>
                      <w:alias w:val="Numeris"/>
                      <w:tag w:val="nr_bfd2705be2af472db2fc1389b53a8e1f"/>
                      <w:lock w:val="sdtLocked"/>
                      <w:richText/>
                    </w:sdtPr>
                    <w:sdtContent>
                      <w:r>
                        <w:rPr>
                          <w:szCs w:val="24"/>
                          <w:lang w:eastAsia="en-GB"/>
                        </w:rPr>
                        <w:t>5</w:t>
                      </w:r>
                    </w:sdtContent>
                  </w:sdt>
                  <w:r>
                    <w:rPr>
                      <w:szCs w:val="24"/>
                      <w:lang w:eastAsia="en-GB"/>
                    </w:rPr>
                    <w:t xml:space="preserve">. Organizatorius per 20 darbo dienų nuo iniciatoriaus sutarties sudarymo sąlygose nurodytų dokumentų ir informacijos pateikimo dienos apskaičiuoja kompensacijos dydį ir, atitinkamai, iniciatoriaus ir infrastruktūros valdytojo pasirinktu informavimo būdu informuoja iniciatorių ir infrastruktūros valdytoją apie sutarties pasirašymo laiką ir vietą. </w:t>
                  </w:r>
                </w:p>
              </w:sdtContent>
            </w:sdt>
            <w:sdt>
              <w:sdtPr>
                <w:alias w:val="6 p."/>
                <w:tag w:val="part_aa9b9d067c3240a9ae93235a380f51aa"/>
                <w:lock w:val="sdtLocked"/>
                <w:richText/>
              </w:sdtPr>
              <w:sdtContent>
                <w:p>
                  <w:pPr>
                    <w:tabs>
                      <w:tab w:val="left" w:pos="567"/>
                      <w:tab w:val="left" w:pos="993"/>
                    </w:tabs>
                    <w:spacing w:line="276" w:lineRule="auto"/>
                    <w:ind w:firstLine="567"/>
                    <w:jc w:val="both"/>
                    <w:rPr>
                      <w:rFonts w:eastAsia="Calibri"/>
                      <w:szCs w:val="24"/>
                      <w:lang w:eastAsia="lt-LT"/>
                    </w:rPr>
                  </w:pPr>
                  <w:sdt>
                    <w:sdtPr>
                      <w:alias w:val="Numeris"/>
                      <w:tag w:val="nr_aa9b9d067c3240a9ae93235a380f51aa"/>
                      <w:lock w:val="sdtLocked"/>
                      <w:richText/>
                    </w:sdtPr>
                    <w:sdtContent>
                      <w:r>
                        <w:rPr>
                          <w:rFonts w:eastAsia="Calibri"/>
                          <w:szCs w:val="24"/>
                          <w:lang w:eastAsia="lt-LT"/>
                        </w:rPr>
                        <w:t>6</w:t>
                      </w:r>
                    </w:sdtContent>
                  </w:sdt>
                  <w:r>
                    <w:rPr>
                      <w:rFonts w:eastAsia="Calibri"/>
                      <w:szCs w:val="24"/>
                      <w:lang w:eastAsia="lt-LT"/>
                    </w:rPr>
                    <w:t>. Kompensacijos dydis (K) (Eur) už prioritetinės ir neprioritetinės savivaldybės infrastruktūros plėtrą apskaičiuojamas pagal formulę:</w:t>
                  </w:r>
                </w:p>
                <w:p>
                  <w:pPr>
                    <w:tabs>
                      <w:tab w:val="left" w:pos="567"/>
                      <w:tab w:val="left" w:pos="993"/>
                    </w:tabs>
                    <w:spacing w:line="276" w:lineRule="auto"/>
                    <w:ind w:firstLine="567"/>
                    <w:rPr>
                      <w:rFonts w:eastAsia="Calibri"/>
                      <w:szCs w:val="24"/>
                      <w:vertAlign w:val="subscript"/>
                      <w:lang w:eastAsia="lt-LT"/>
                    </w:rPr>
                  </w:pPr>
                  <w:r>
                    <w:rPr>
                      <w:rFonts w:eastAsia="Calibri"/>
                      <w:szCs w:val="24"/>
                      <w:lang w:eastAsia="lt-LT"/>
                    </w:rPr>
                    <w:t>K = S</w:t>
                  </w:r>
                  <w:r>
                    <w:rPr>
                      <w:rFonts w:eastAsia="Calibri"/>
                      <w:szCs w:val="24"/>
                      <w:vertAlign w:val="subscript"/>
                      <w:lang w:eastAsia="lt-LT"/>
                    </w:rPr>
                    <w:t>pro</w:t>
                  </w:r>
                  <w:r>
                    <w:rPr>
                      <w:rFonts w:eastAsia="Calibri"/>
                      <w:szCs w:val="24"/>
                      <w:lang w:eastAsia="lt-LT"/>
                    </w:rPr>
                    <w:t xml:space="preserve"> + S</w:t>
                  </w:r>
                  <w:r>
                    <w:rPr>
                      <w:rFonts w:eastAsia="Calibri"/>
                      <w:szCs w:val="24"/>
                      <w:vertAlign w:val="subscript"/>
                      <w:lang w:eastAsia="lt-LT"/>
                    </w:rPr>
                    <w:t>sta</w:t>
                  </w:r>
                </w:p>
                <w:p>
                  <w:pPr>
                    <w:tabs>
                      <w:tab w:val="left" w:pos="567"/>
                      <w:tab w:val="left" w:pos="993"/>
                    </w:tabs>
                    <w:spacing w:line="276" w:lineRule="auto"/>
                    <w:ind w:firstLine="567"/>
                    <w:rPr>
                      <w:rFonts w:eastAsia="Calibri"/>
                      <w:szCs w:val="24"/>
                      <w:lang w:eastAsia="lt-LT"/>
                    </w:rPr>
                  </w:pPr>
                  <w:r>
                    <w:rPr>
                      <w:rFonts w:eastAsia="Calibri"/>
                      <w:szCs w:val="24"/>
                      <w:lang w:eastAsia="lt-LT"/>
                    </w:rPr>
                    <w:t>čia:</w:t>
                  </w:r>
                </w:p>
                <w:p>
                  <w:pPr>
                    <w:tabs>
                      <w:tab w:val="left" w:pos="567"/>
                      <w:tab w:val="left" w:pos="993"/>
                    </w:tabs>
                    <w:spacing w:line="276" w:lineRule="auto"/>
                    <w:ind w:firstLine="567"/>
                    <w:jc w:val="both"/>
                    <w:rPr>
                      <w:rFonts w:eastAsia="Calibri"/>
                      <w:szCs w:val="24"/>
                      <w:lang w:eastAsia="lt-LT"/>
                    </w:rPr>
                  </w:pPr>
                  <w:r>
                    <w:rPr>
                      <w:rFonts w:eastAsia="Calibri"/>
                      <w:szCs w:val="24"/>
                      <w:lang w:eastAsia="lt-LT"/>
                    </w:rPr>
                    <w:t>S</w:t>
                  </w:r>
                  <w:r>
                    <w:rPr>
                      <w:rFonts w:eastAsia="Calibri"/>
                      <w:szCs w:val="24"/>
                      <w:vertAlign w:val="subscript"/>
                      <w:lang w:eastAsia="lt-LT"/>
                    </w:rPr>
                    <w:t>pro</w:t>
                  </w:r>
                  <w:r>
                    <w:rPr>
                      <w:rFonts w:eastAsia="Calibri"/>
                      <w:szCs w:val="24"/>
                      <w:lang w:eastAsia="lt-LT"/>
                    </w:rPr>
                    <w:t xml:space="preserve"> – savivaldybės infrastruktūros projektavimo išlaidos (Eur), apskaičiuotos vadovaujantis aplinkos ministro patvirtintomis statinių projektavimo darbų kainų skaičiavimo rekomendacijomis;</w:t>
                  </w:r>
                </w:p>
                <w:p>
                  <w:pPr>
                    <w:tabs>
                      <w:tab w:val="left" w:pos="567"/>
                      <w:tab w:val="left" w:pos="993"/>
                    </w:tabs>
                    <w:spacing w:line="276" w:lineRule="auto"/>
                    <w:ind w:firstLine="567"/>
                    <w:jc w:val="both"/>
                    <w:rPr>
                      <w:rFonts w:eastAsia="Calibri"/>
                      <w:szCs w:val="24"/>
                    </w:rPr>
                  </w:pPr>
                  <w:r>
                    <w:rPr>
                      <w:rFonts w:eastAsia="Calibri"/>
                      <w:szCs w:val="24"/>
                      <w:lang w:eastAsia="lt-LT"/>
                    </w:rPr>
                    <w:t>S</w:t>
                  </w:r>
                  <w:r>
                    <w:rPr>
                      <w:rFonts w:eastAsia="Calibri"/>
                      <w:szCs w:val="24"/>
                      <w:vertAlign w:val="subscript"/>
                      <w:lang w:eastAsia="lt-LT"/>
                    </w:rPr>
                    <w:t>sta</w:t>
                  </w:r>
                  <w:r>
                    <w:rPr>
                      <w:rFonts w:eastAsia="Calibri"/>
                      <w:szCs w:val="24"/>
                      <w:lang w:eastAsia="lt-LT"/>
                    </w:rPr>
                    <w:t xml:space="preserve"> – savivaldybės infrastruktūros statybos ir (ar) įrengimo išlaidos (Eur), apskaičiuotos vadovaujantis </w:t>
                  </w:r>
                  <w:r>
                    <w:rPr>
                      <w:szCs w:val="24"/>
                      <w:lang w:eastAsia="lt-LT"/>
                    </w:rPr>
                    <w:t xml:space="preserve">aplinkos ministro </w:t>
                  </w:r>
                  <w:r>
                    <w:rPr>
                      <w:rFonts w:eastAsia="Calibri"/>
                      <w:szCs w:val="24"/>
                      <w:lang w:eastAsia="lt-LT"/>
                    </w:rPr>
                    <w:t>patvirtintais</w:t>
                  </w:r>
                  <w:r>
                    <w:rPr>
                      <w:szCs w:val="24"/>
                      <w:lang w:eastAsia="lt-LT"/>
                    </w:rPr>
                    <w:t xml:space="preserve"> statybos skaičiuojamosios kainos nustatymo </w:t>
                  </w:r>
                  <w:r>
                    <w:rPr>
                      <w:rFonts w:eastAsia="Calibri"/>
                      <w:szCs w:val="24"/>
                      <w:lang w:eastAsia="lt-LT"/>
                    </w:rPr>
                    <w:t>principais i</w:t>
                  </w:r>
                  <w:r>
                    <w:rPr>
                      <w:szCs w:val="24"/>
                      <w:lang w:eastAsia="en-GB"/>
                    </w:rPr>
                    <w:t>r želdinių atkuriamosios vertės įkainiais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Content>
        </w:sdt>
        <w:sdt>
          <w:sdtPr>
            <w:alias w:val="skyrius"/>
            <w:tag w:val="part_7c7eb7da3dcb46d3bd99581556ed628f"/>
            <w:lock w:val="sdtLocked"/>
            <w:richText/>
          </w:sdtPr>
          <w:sdtContent>
            <w:p>
              <w:pPr>
                <w:tabs>
                  <w:tab w:val="left" w:pos="993"/>
                </w:tabs>
                <w:jc w:val="center"/>
                <w:rPr>
                  <w:b/>
                  <w:bCs/>
                  <w:szCs w:val="24"/>
                </w:rPr>
              </w:pPr>
              <w:sdt>
                <w:sdtPr>
                  <w:alias w:val="Numeris"/>
                  <w:tag w:val="nr_7c7eb7da3dcb46d3bd99581556ed628f"/>
                  <w:lock w:val="sdtLocked"/>
                  <w:richText/>
                </w:sdtPr>
                <w:sdtContent>
                  <w:r>
                    <w:rPr>
                      <w:b/>
                      <w:bCs/>
                      <w:szCs w:val="24"/>
                    </w:rPr>
                    <w:t>III</w:t>
                  </w:r>
                </w:sdtContent>
              </w:sdt>
              <w:r>
                <w:rPr>
                  <w:b/>
                  <w:bCs/>
                  <w:szCs w:val="24"/>
                </w:rPr>
                <w:t xml:space="preserve"> SKYRIUS</w:t>
              </w:r>
            </w:p>
            <w:p>
              <w:pPr>
                <w:tabs>
                  <w:tab w:val="left" w:pos="993"/>
                </w:tabs>
                <w:jc w:val="center"/>
                <w:rPr>
                  <w:b/>
                  <w:bCs/>
                  <w:szCs w:val="24"/>
                </w:rPr>
              </w:pPr>
              <w:sdt>
                <w:sdtPr>
                  <w:alias w:val="Pavadinimas"/>
                  <w:tag w:val="title_7c7eb7da3dcb46d3bd99581556ed628f"/>
                  <w:lock w:val="sdtLocked"/>
                  <w:richText/>
                </w:sdtPr>
                <w:sdtContent>
                  <w:r>
                    <w:rPr>
                      <w:b/>
                      <w:bCs/>
                      <w:szCs w:val="24"/>
                    </w:rPr>
                    <w:t>KOMPENSACIJOS IŠMOKĖJIMO TVARKA</w:t>
                  </w:r>
                </w:sdtContent>
              </w:sdt>
            </w:p>
            <w:sdt>
              <w:sdtPr>
                <w:alias w:val="skirsnis"/>
                <w:tag w:val="part_bce7e706eda24f54a5a7087aeebfed84"/>
                <w:lock w:val="sdtLocked"/>
                <w:richText/>
              </w:sdtPr>
              <w:sdtContent>
                <w:p>
                  <w:pPr>
                    <w:tabs>
                      <w:tab w:val="left" w:pos="993"/>
                    </w:tabs>
                    <w:jc w:val="center"/>
                    <w:rPr>
                      <w:b/>
                      <w:bCs/>
                      <w:szCs w:val="24"/>
                    </w:rPr>
                  </w:pPr>
                  <w:sdt>
                    <w:sdtPr>
                      <w:alias w:val="Numeris"/>
                      <w:tag w:val="nr_bce7e706eda24f54a5a7087aeebfed84"/>
                      <w:lock w:val="sdtLocked"/>
                      <w:richText/>
                    </w:sdtPr>
                    <w:sdtContent>
                      <w:r>
                        <w:rPr>
                          <w:b/>
                          <w:bCs/>
                          <w:szCs w:val="24"/>
                        </w:rPr>
                        <w:t>PIRMASIS</w:t>
                      </w:r>
                    </w:sdtContent>
                  </w:sdt>
                  <w:r>
                    <w:rPr>
                      <w:b/>
                      <w:bCs/>
                      <w:szCs w:val="24"/>
                    </w:rPr>
                    <w:t xml:space="preserve"> SKIRSNIS</w:t>
                  </w:r>
                </w:p>
                <w:p>
                  <w:pPr>
                    <w:tabs>
                      <w:tab w:val="left" w:pos="993"/>
                    </w:tabs>
                    <w:jc w:val="center"/>
                    <w:rPr>
                      <w:b/>
                      <w:bCs/>
                      <w:szCs w:val="24"/>
                    </w:rPr>
                  </w:pPr>
                </w:p>
                <w:p>
                  <w:pPr>
                    <w:tabs>
                      <w:tab w:val="left" w:pos="993"/>
                    </w:tabs>
                    <w:jc w:val="center"/>
                    <w:rPr>
                      <w:b/>
                      <w:bCs/>
                      <w:szCs w:val="24"/>
                    </w:rPr>
                  </w:pPr>
                  <w:sdt>
                    <w:sdtPr>
                      <w:alias w:val="Pavadinimas"/>
                      <w:tag w:val="title_bce7e706eda24f54a5a7087aeebfed84"/>
                      <w:lock w:val="sdtLocked"/>
                      <w:richText/>
                    </w:sdtPr>
                    <w:sdtContent>
                      <w:r>
                        <w:rPr>
                          <w:b/>
                          <w:bCs/>
                          <w:szCs w:val="24"/>
                        </w:rPr>
                        <w:t>KOMPENSACIJOS UŽ PRIORITETINĖS SAVIVALDYBĖS INFRASTRUKTŪROS PLĖTRĄ IŠMOKĖJIMO TVARKA</w:t>
                      </w:r>
                    </w:sdtContent>
                  </w:sdt>
                </w:p>
                <w:p>
                  <w:pPr>
                    <w:tabs>
                      <w:tab w:val="left" w:pos="993"/>
                    </w:tabs>
                    <w:jc w:val="center"/>
                    <w:rPr>
                      <w:b/>
                      <w:bCs/>
                      <w:szCs w:val="24"/>
                    </w:rPr>
                  </w:pPr>
                </w:p>
                <w:sdt>
                  <w:sdtPr>
                    <w:alias w:val="7 p."/>
                    <w:tag w:val="part_9cccca9d3947471bacbe6b85c7422f6a"/>
                    <w:lock w:val="sdtLocked"/>
                    <w:richText/>
                  </w:sdtPr>
                  <w:sdtContent>
                    <w:p>
                      <w:pPr>
                        <w:tabs>
                          <w:tab w:val="left" w:pos="993"/>
                        </w:tabs>
                        <w:spacing w:line="276" w:lineRule="auto"/>
                        <w:ind w:firstLine="567"/>
                        <w:jc w:val="both"/>
                        <w:rPr>
                          <w:strike/>
                          <w:szCs w:val="24"/>
                        </w:rPr>
                      </w:pPr>
                      <w:sdt>
                        <w:sdtPr>
                          <w:alias w:val="Numeris"/>
                          <w:tag w:val="nr_9cccca9d3947471bacbe6b85c7422f6a"/>
                          <w:lock w:val="sdtLocked"/>
                          <w:richText/>
                        </w:sdtPr>
                        <w:sdtContent>
                          <w:r>
                            <w:rPr>
                              <w:szCs w:val="24"/>
                            </w:rPr>
                            <w:t>7</w:t>
                          </w:r>
                        </w:sdtContent>
                      </w:sdt>
                      <w:r>
                        <w:rPr>
                          <w:szCs w:val="24"/>
                        </w:rPr>
                        <w:t xml:space="preserve">. Kompensacija už prioritetinės savivaldybės infrastruktūros plėtrą išmokama šiame skirsnyje nustatyta tvarka vadovaujantis Įstatymo 13 straipsnio 4 ir 2 dalių nuostatomis. Kompensacija išmokama, kai iniciatorius pagal sutartį atlieka savivaldybės infrastruktūros plėtros darbus, perduoda savivaldybės infrastruktūrą atitinkamam savivaldybės infrastruktūros valdytojui ir pateikia pranešimą organizatoriui dėl sutartyje numatytų įsipareigojimų įgyvendinimo (toliau – pranešimas). Kai sutartis sudaryta su keliais iniciatoriais, kiekvienas iniciatorius turi teisę sutartimi jam priskirtos </w:t>
                      </w:r>
                      <w:r>
                        <w:rPr>
                          <w:rFonts w:eastAsia="Calibri"/>
                          <w:szCs w:val="24"/>
                        </w:rPr>
                        <w:t>savivaldybės infrastruktūros plėtros</w:t>
                      </w:r>
                      <w:r>
                        <w:rPr>
                          <w:szCs w:val="24"/>
                        </w:rPr>
                        <w:t xml:space="preserve"> darbus perduoti atitinkamam savivaldybės infrastruktūros valdytojui ir pateikti organizatoriui pranešimą per sutartyje nustatytą terminą. </w:t>
                      </w:r>
                    </w:p>
                  </w:sdtContent>
                </w:sdt>
                <w:sdt>
                  <w:sdtPr>
                    <w:alias w:val="8 p."/>
                    <w:tag w:val="part_f5839e9742ef4d8ab20ac687a55bf6be"/>
                    <w:lock w:val="sdtLocked"/>
                    <w:richText/>
                  </w:sdtPr>
                  <w:sdtContent>
                    <w:p>
                      <w:pPr>
                        <w:tabs>
                          <w:tab w:val="left" w:pos="993"/>
                        </w:tabs>
                        <w:spacing w:line="276" w:lineRule="auto"/>
                        <w:ind w:firstLine="567"/>
                        <w:jc w:val="both"/>
                        <w:rPr>
                          <w:szCs w:val="24"/>
                        </w:rPr>
                      </w:pPr>
                      <w:sdt>
                        <w:sdtPr>
                          <w:alias w:val="Numeris"/>
                          <w:tag w:val="nr_f5839e9742ef4d8ab20ac687a55bf6be"/>
                          <w:lock w:val="sdtLocked"/>
                          <w:richText/>
                        </w:sdtPr>
                        <w:sdtContent>
                          <w:r>
                            <w:rPr>
                              <w:szCs w:val="24"/>
                            </w:rPr>
                            <w:t>8</w:t>
                          </w:r>
                        </w:sdtContent>
                      </w:sdt>
                      <w:r>
                        <w:rPr>
                          <w:szCs w:val="24"/>
                        </w:rPr>
                        <w:t>. Iniciatoriaus pranešimas (nurodant sutarties datą ir numerį) laikytinas prašymu organizatoriui išmokėti kompensaciją. Pranešimas su Tvarkos aprašo 9 punkte nurodytais dokumentais gali būti teikiamas organizatoriui tiesiogiai, paštu ar per kurjerius arba elektroninių ryšių priemonėmis</w:t>
                      </w:r>
                      <w:r>
                        <w:t xml:space="preserve"> (</w:t>
                      </w:r>
                      <w:r>
                        <w:rPr>
                          <w:szCs w:val="24"/>
                        </w:rPr>
                        <w:t xml:space="preserve">pasirašant kvalifikuotu elektroniniu parašu). Pranešimo duomenys saugomi Lietuvos Respublikos dokumentų ir archyvų įstatyme nustatyta tvarka. </w:t>
                      </w:r>
                    </w:p>
                  </w:sdtContent>
                </w:sdt>
                <w:sdt>
                  <w:sdtPr>
                    <w:alias w:val="9 p."/>
                    <w:tag w:val="part_88310b10c01e4b63a008b7a78c44c264"/>
                    <w:lock w:val="sdtLocked"/>
                    <w:richText/>
                  </w:sdtPr>
                  <w:sdtContent>
                    <w:p>
                      <w:pPr>
                        <w:spacing w:line="276" w:lineRule="auto"/>
                        <w:ind w:firstLine="567"/>
                        <w:jc w:val="both"/>
                        <w:rPr>
                          <w:szCs w:val="24"/>
                          <w:lang w:eastAsia="en-GB"/>
                        </w:rPr>
                      </w:pPr>
                      <w:sdt>
                        <w:sdtPr>
                          <w:alias w:val="Numeris"/>
                          <w:tag w:val="nr_88310b10c01e4b63a008b7a78c44c264"/>
                          <w:lock w:val="sdtLocked"/>
                          <w:richText/>
                        </w:sdtPr>
                        <w:sdtContent>
                          <w:r>
                            <w:rPr>
                              <w:szCs w:val="24"/>
                              <w:lang w:eastAsia="en-GB"/>
                            </w:rPr>
                            <w:t>9</w:t>
                          </w:r>
                        </w:sdtContent>
                      </w:sdt>
                      <w:r>
                        <w:rPr>
                          <w:szCs w:val="24"/>
                          <w:lang w:eastAsia="en-GB"/>
                        </w:rPr>
                        <w:t>. Su pranešimu pateikiami išlaidų patirtų įgyvendinant sutartyje numatytą savivaldybės infrastruktūros plėtrą (toliau – patirtos išlaidos) pagrindimą, jų apmokėjimą įrodantys dokumentai</w:t>
                      </w:r>
                      <w:r>
                        <w:rPr>
                          <w:sz w:val="16"/>
                          <w:szCs w:val="16"/>
                          <w:lang w:eastAsia="en-GB"/>
                        </w:rPr>
                        <w:t xml:space="preserve"> </w:t>
                      </w:r>
                      <w:r>
                        <w:rPr>
                          <w:szCs w:val="24"/>
                          <w:lang w:eastAsia="en-GB"/>
                        </w:rPr>
                        <w:t>ir informacija apie savivaldybės infrastruktūros plėtros įmokos, kai ji mokama, sumokėjimą:</w:t>
                      </w:r>
                    </w:p>
                    <w:sdt>
                      <w:sdtPr>
                        <w:alias w:val="9.1 pp."/>
                        <w:tag w:val="part_e3e279e197524d82a56c6956f5e26088"/>
                        <w:lock w:val="sdtLocked"/>
                        <w:richText/>
                      </w:sdtPr>
                      <w:sdtContent>
                        <w:p>
                          <w:pPr>
                            <w:tabs>
                              <w:tab w:val="left" w:pos="993"/>
                            </w:tabs>
                            <w:spacing w:line="276" w:lineRule="auto"/>
                            <w:ind w:firstLine="567"/>
                            <w:jc w:val="both"/>
                            <w:rPr>
                              <w:rFonts w:eastAsia="Calibri"/>
                              <w:szCs w:val="24"/>
                            </w:rPr>
                          </w:pPr>
                          <w:sdt>
                            <w:sdtPr>
                              <w:alias w:val="Numeris"/>
                              <w:tag w:val="nr_e3e279e197524d82a56c6956f5e26088"/>
                              <w:lock w:val="sdtLocked"/>
                              <w:richText/>
                            </w:sdtPr>
                            <w:sdtContent>
                              <w:r>
                                <w:rPr>
                                  <w:szCs w:val="24"/>
                                </w:rPr>
                                <w:t>9.</w:t>
                              </w:r>
                              <w:r>
                                <w:rPr>
                                  <w:rFonts w:eastAsia="Calibri"/>
                                  <w:szCs w:val="24"/>
                                </w:rPr>
                                <w:t>1</w:t>
                              </w:r>
                            </w:sdtContent>
                          </w:sdt>
                          <w:r>
                            <w:rPr>
                              <w:rFonts w:eastAsia="Calibri"/>
                              <w:szCs w:val="24"/>
                            </w:rPr>
                            <w:t xml:space="preserve">. sąskaitos faktūros už savivaldybės infrastruktūros plėtrai įsigytas medžiagas, atliktus savivaldybės infrastruktūros plėtros darbus įrodantys dokumentai, </w:t>
                          </w:r>
                          <w:r>
                            <w:rPr>
                              <w:szCs w:val="24"/>
                            </w:rPr>
                            <w:t xml:space="preserve">banko arba kitos kredito įstaigos sąskaitos išrašai, įrodantys, kad pagal patirtas išlaidas pateisinančius dokumentus buvo atliktas mokėjimas, </w:t>
                          </w:r>
                          <w:r>
                            <w:rPr>
                              <w:rFonts w:eastAsia="Calibri"/>
                              <w:szCs w:val="24"/>
                            </w:rPr>
                            <w:t>vadovaujantis projektavimo rangos, statybos rangos ar kitomis statybos ir įrengimo sutartimis;</w:t>
                          </w:r>
                        </w:p>
                      </w:sdtContent>
                    </w:sdt>
                    <w:sdt>
                      <w:sdtPr>
                        <w:alias w:val="9.2 pp."/>
                        <w:tag w:val="part_e623da4a58ca4e89a9565a1a53bb511f"/>
                        <w:lock w:val="sdtLocked"/>
                        <w:richText/>
                      </w:sdtPr>
                      <w:sdtContent>
                        <w:p>
                          <w:pPr>
                            <w:spacing w:line="276" w:lineRule="auto"/>
                            <w:ind w:firstLine="567"/>
                            <w:jc w:val="both"/>
                            <w:rPr>
                              <w:rFonts w:eastAsia="Calibri"/>
                              <w:szCs w:val="24"/>
                            </w:rPr>
                          </w:pPr>
                          <w:sdt>
                            <w:sdtPr>
                              <w:alias w:val="Numeris"/>
                              <w:tag w:val="nr_e623da4a58ca4e89a9565a1a53bb511f"/>
                              <w:lock w:val="sdtLocked"/>
                              <w:richText/>
                            </w:sdtPr>
                            <w:sdtContent>
                              <w:r>
                                <w:rPr>
                                  <w:szCs w:val="24"/>
                                </w:rPr>
                                <w:t>9.2</w:t>
                              </w:r>
                            </w:sdtContent>
                          </w:sdt>
                          <w:r>
                            <w:rPr>
                              <w:szCs w:val="24"/>
                            </w:rPr>
                            <w:t xml:space="preserve">. </w:t>
                          </w:r>
                          <w:r>
                            <w:rPr>
                              <w:rFonts w:eastAsia="Calibri"/>
                              <w:szCs w:val="24"/>
                            </w:rPr>
                            <w:t>atliktų savivaldybės infrastruktūros plėtros darbų aktai;</w:t>
                          </w:r>
                        </w:p>
                      </w:sdtContent>
                    </w:sdt>
                    <w:sdt>
                      <w:sdtPr>
                        <w:alias w:val="9.3 pp."/>
                        <w:tag w:val="part_0fcb79508f264481a845d3b08ec2dbdc"/>
                        <w:lock w:val="sdtLocked"/>
                        <w:richText/>
                      </w:sdtPr>
                      <w:sdtContent>
                        <w:p>
                          <w:pPr>
                            <w:tabs>
                              <w:tab w:val="left" w:pos="993"/>
                            </w:tabs>
                            <w:spacing w:line="276" w:lineRule="auto"/>
                            <w:ind w:firstLine="567"/>
                            <w:jc w:val="both"/>
                            <w:rPr>
                              <w:rFonts w:eastAsia="Calibri"/>
                              <w:strike/>
                              <w:szCs w:val="24"/>
                            </w:rPr>
                          </w:pPr>
                          <w:sdt>
                            <w:sdtPr>
                              <w:alias w:val="Numeris"/>
                              <w:tag w:val="nr_0fcb79508f264481a845d3b08ec2dbdc"/>
                              <w:lock w:val="sdtLocked"/>
                              <w:richText/>
                            </w:sdtPr>
                            <w:sdtContent>
                              <w:r>
                                <w:rPr>
                                  <w:szCs w:val="24"/>
                                </w:rPr>
                                <w:t>9.3</w:t>
                              </w:r>
                            </w:sdtContent>
                          </w:sdt>
                          <w:r>
                            <w:rPr>
                              <w:rFonts w:eastAsia="Calibri"/>
                              <w:szCs w:val="24"/>
                            </w:rPr>
                            <w:t xml:space="preserve">. rangos ar kitokios savivaldybės infrastruktūros plėtros darbų sutartys ir jų apmokėjimą patvirtinantys dokumentai, </w:t>
                          </w:r>
                          <w:r>
                            <w:rPr>
                              <w:szCs w:val="24"/>
                            </w:rPr>
                            <w:t>banko arba kitos kredito įstaigos sąskaitos išrašai, įrodantys, kad pagal patirtas išlaidas pateisinančius dokumentus atliktas mokėjimas;</w:t>
                          </w:r>
                        </w:p>
                      </w:sdtContent>
                    </w:sdt>
                    <w:sdt>
                      <w:sdtPr>
                        <w:alias w:val="9.4 pp."/>
                        <w:tag w:val="part_f910e6b11da744f9a1d7185d711a41b1"/>
                        <w:lock w:val="sdtLocked"/>
                        <w:richText/>
                      </w:sdtPr>
                      <w:sdtContent>
                        <w:p>
                          <w:pPr>
                            <w:spacing w:line="276" w:lineRule="auto"/>
                            <w:ind w:firstLine="567"/>
                            <w:jc w:val="both"/>
                            <w:rPr>
                              <w:szCs w:val="24"/>
                            </w:rPr>
                          </w:pPr>
                          <w:sdt>
                            <w:sdtPr>
                              <w:alias w:val="Numeris"/>
                              <w:tag w:val="nr_f910e6b11da744f9a1d7185d711a41b1"/>
                              <w:lock w:val="sdtLocked"/>
                              <w:richText/>
                            </w:sdtPr>
                            <w:sdtContent>
                              <w:r>
                                <w:rPr>
                                  <w:szCs w:val="24"/>
                                </w:rPr>
                                <w:t>9.4</w:t>
                              </w:r>
                            </w:sdtContent>
                          </w:sdt>
                          <w:r>
                            <w:rPr>
                              <w:szCs w:val="24"/>
                            </w:rPr>
                            <w:t>. iniciatorių jungtinės veiklos ar kita sutartis dėl kompensacijos išmokėjimo tvarkos (jei tokia sutartis sudaryta);</w:t>
                          </w:r>
                        </w:p>
                      </w:sdtContent>
                    </w:sdt>
                    <w:sdt>
                      <w:sdtPr>
                        <w:alias w:val="9.5 pp."/>
                        <w:tag w:val="part_5c24aecc384242e98c46366026fa84a1"/>
                        <w:lock w:val="sdtLocked"/>
                        <w:richText/>
                      </w:sdtPr>
                      <w:sdtContent>
                        <w:p>
                          <w:pPr>
                            <w:tabs>
                              <w:tab w:val="left" w:pos="993"/>
                            </w:tabs>
                            <w:spacing w:line="276" w:lineRule="auto"/>
                            <w:ind w:firstLine="567"/>
                            <w:jc w:val="both"/>
                            <w:rPr>
                              <w:rFonts w:eastAsia="Calibri"/>
                              <w:strike/>
                              <w:szCs w:val="24"/>
                            </w:rPr>
                          </w:pPr>
                          <w:sdt>
                            <w:sdtPr>
                              <w:alias w:val="Numeris"/>
                              <w:tag w:val="nr_5c24aecc384242e98c46366026fa84a1"/>
                              <w:lock w:val="sdtLocked"/>
                              <w:richText/>
                            </w:sdtPr>
                            <w:sdtContent>
                              <w:r>
                                <w:rPr>
                                  <w:rFonts w:eastAsia="Calibri"/>
                                  <w:szCs w:val="24"/>
                                </w:rPr>
                                <w:t>9.5</w:t>
                              </w:r>
                            </w:sdtContent>
                          </w:sdt>
                          <w:r>
                            <w:rPr>
                              <w:rFonts w:eastAsia="Calibri"/>
                              <w:szCs w:val="24"/>
                            </w:rPr>
                            <w:t>. kiti dokumentai, patvirtinantys ar paaiškinantys patirtas išlaidas įgyvendinant sutartyje numatytą savivaldybės infrastruktūros plėtrą.</w:t>
                          </w:r>
                          <w:r>
                            <w:rPr>
                              <w:rFonts w:eastAsia="Calibri"/>
                              <w:strike/>
                              <w:szCs w:val="24"/>
                            </w:rPr>
                            <w:t xml:space="preserve"> </w:t>
                          </w:r>
                        </w:p>
                      </w:sdtContent>
                    </w:sdt>
                  </w:sdtContent>
                </w:sdt>
                <w:sdt>
                  <w:sdtPr>
                    <w:alias w:val="10 p."/>
                    <w:tag w:val="part_24168ed9443c463bb71aa2e87a8fcb38"/>
                    <w:lock w:val="sdtLocked"/>
                    <w:richText/>
                  </w:sdtPr>
                  <w:sdtContent>
                    <w:p>
                      <w:pPr>
                        <w:spacing w:line="276" w:lineRule="auto"/>
                        <w:ind w:firstLine="567"/>
                        <w:jc w:val="both"/>
                        <w:rPr>
                          <w:szCs w:val="24"/>
                          <w:lang w:eastAsia="en-GB"/>
                        </w:rPr>
                      </w:pPr>
                      <w:sdt>
                        <w:sdtPr>
                          <w:alias w:val="Numeris"/>
                          <w:tag w:val="nr_24168ed9443c463bb71aa2e87a8fcb38"/>
                          <w:lock w:val="sdtLocked"/>
                          <w:richText/>
                        </w:sdtPr>
                        <w:sdtContent>
                          <w:r>
                            <w:rPr>
                              <w:szCs w:val="24"/>
                              <w:lang w:eastAsia="en-GB"/>
                            </w:rPr>
                            <w:t>10</w:t>
                          </w:r>
                        </w:sdtContent>
                      </w:sdt>
                      <w:r>
                        <w:rPr>
                          <w:szCs w:val="24"/>
                          <w:lang w:eastAsia="en-GB"/>
                        </w:rPr>
                        <w:t>. Organizatorius per 10 darbo dienų nuo iniciatoriaus pranešimo gavimo dienos įvertina jo atitiktį Tvarkos aprašo 8–9 punktų reikalavimams. Jei minėtas pranešimas neatitinka Tvarkos aprašo 8–9 punktuose nustatytų reikalavimų ir tai įmanoma ištaisyti, organizatorius apie tai iniciatoriaus pasirinktu informavimo būdu informuoja iniciatorių, nustatydamas ne trumpesnį kaip 5 darbo dienų nuo šio informavimo dienos terminą trūkumams ištaisyti ir (ar) papildomai informacijai pateikti. Kai iniciatorius per nustatytą terminą ištaiso trūkumus ir (ar) pateikia papildomą informaciją, laikoma, kad pranešimas pateiktas dieną, kai gautas pirmasis pranešimas. Kai per nustatytą terminą trūkumai neištaisomi ar jų neįmanoma ištaisyti, pranešimas nenagrinėjamas ir apie tai ne vėliau kaip per 5 darbo dienas nuo termino, skirto trūkumams ištaisyti, pabaigos iniciatoriaus pasirinktu informavimo būdu informuojamas iniciatorius.</w:t>
                      </w:r>
                    </w:p>
                  </w:sdtContent>
                </w:sdt>
                <w:sdt>
                  <w:sdtPr>
                    <w:alias w:val="11 p."/>
                    <w:tag w:val="part_4835a6e404e148ce9e52ddfa3274eb65"/>
                    <w:lock w:val="sdtLocked"/>
                    <w:richText/>
                  </w:sdtPr>
                  <w:sdtContent>
                    <w:p>
                      <w:pPr>
                        <w:spacing w:line="276" w:lineRule="auto"/>
                        <w:ind w:firstLine="567"/>
                        <w:jc w:val="both"/>
                        <w:rPr>
                          <w:szCs w:val="24"/>
                        </w:rPr>
                      </w:pPr>
                      <w:sdt>
                        <w:sdtPr>
                          <w:alias w:val="Numeris"/>
                          <w:tag w:val="nr_4835a6e404e148ce9e52ddfa3274eb65"/>
                          <w:lock w:val="sdtLocked"/>
                          <w:richText/>
                        </w:sdtPr>
                        <w:sdtContent>
                          <w:r>
                            <w:rPr>
                              <w:szCs w:val="24"/>
                            </w:rPr>
                            <w:t>11</w:t>
                          </w:r>
                        </w:sdtContent>
                      </w:sdt>
                      <w:r>
                        <w:rPr>
                          <w:szCs w:val="24"/>
                        </w:rPr>
                        <w:t>. Kai pranešime dėl sutartyje numatytų įsipareigojimų įgyvendinimo nurodyta visa reikalinga informacija ir pateikti visi būtini dokumentai, organizatorius per 20 darbo dienų nuo šio pranešimo gavimo dienos (kartu nepažeidžiant sutartyje nustatyto kompensacijos (jos dalies) išmokėjimo termino) priima sprendimą dėl kompensacijos išmokėjimo ir iniciatoriaus pasirinktu informavimo būdu informuoja iniciatorių. Dėl</w:t>
                      </w:r>
                      <w:r>
                        <w:rPr>
                          <w:szCs w:val="24"/>
                          <w:lang w:eastAsia="en-GB"/>
                        </w:rPr>
                        <w:t xml:space="preserve"> objektyvių, nuo organizatoriaus valios nepriklausančių priežasčių, kurios objektyviai kliudo </w:t>
                      </w:r>
                      <w:r>
                        <w:rPr>
                          <w:szCs w:val="24"/>
                        </w:rPr>
                        <w:t xml:space="preserve">per 20 darbo dienų nuo pranešimo gavimo </w:t>
                      </w:r>
                      <w:r>
                        <w:rPr>
                          <w:szCs w:val="24"/>
                          <w:lang w:eastAsia="en-GB"/>
                        </w:rPr>
                        <w:t>priimti sprendimą</w:t>
                      </w:r>
                      <w:r>
                        <w:rPr>
                          <w:szCs w:val="24"/>
                        </w:rPr>
                        <w:t xml:space="preserve">, organizatorius gali šį terminą pratęsti, bet ne ilgiau kaip 20 darbo dienų (kartu nepažeidžiant sutartyje kompensacijos (jos dalies) išmokėjimo termino), apie tai </w:t>
                      </w:r>
                      <w:r>
                        <w:rPr>
                          <w:szCs w:val="24"/>
                          <w:lang w:eastAsia="en-GB"/>
                        </w:rPr>
                        <w:t xml:space="preserve">iniciatoriaus </w:t>
                      </w:r>
                      <w:r>
                        <w:rPr>
                          <w:szCs w:val="24"/>
                        </w:rPr>
                        <w:t xml:space="preserve">pasirinktu informavimo būdu per 5 darbo dienas nuo sprendimo pratęsti terminą priėmimo dienos informuodamas iniciatorių ir nurodydamas termino pratęsimo priežastis. </w:t>
                      </w:r>
                    </w:p>
                  </w:sdtContent>
                </w:sdt>
                <w:sdt>
                  <w:sdtPr>
                    <w:alias w:val="12 p."/>
                    <w:tag w:val="part_fb77d8872b9f49aabf26b13f991f0b9b"/>
                    <w:lock w:val="sdtLocked"/>
                    <w:richText/>
                  </w:sdtPr>
                  <w:sdtContent>
                    <w:p>
                      <w:pPr>
                        <w:spacing w:line="276" w:lineRule="auto"/>
                        <w:ind w:firstLine="567"/>
                        <w:jc w:val="both"/>
                        <w:rPr>
                          <w:szCs w:val="24"/>
                        </w:rPr>
                      </w:pPr>
                      <w:sdt>
                        <w:sdtPr>
                          <w:alias w:val="Numeris"/>
                          <w:tag w:val="nr_fb77d8872b9f49aabf26b13f991f0b9b"/>
                          <w:lock w:val="sdtLocked"/>
                          <w:richText/>
                        </w:sdtPr>
                        <w:sdtContent>
                          <w:r>
                            <w:rPr>
                              <w:szCs w:val="24"/>
                            </w:rPr>
                            <w:t>12</w:t>
                          </w:r>
                        </w:sdtContent>
                      </w:sdt>
                      <w:r>
                        <w:rPr>
                          <w:szCs w:val="24"/>
                        </w:rPr>
                        <w:t xml:space="preserve">. Organizatorius, nagrinėdamas pranešimą, patikrina, ar sutartyje nustatytas kompensacijos dydis neviršija iniciatoriaus patirtų išlaidų (pagrįstų Tvarkos aprašo 9 punkte nurodytais dokumentais) dydžio. Kai sutartyje nustatytas kompensacijos dydis viršija iniciatoriaus išlaidas, mokėtina kompensacija mažinama iki iniciatoriaus patirtų išlaidų dydžio. Kai sutartyje nustatytas kompensacijos dydis lygus arba mažesnis už iniciatoriaus patirtas išlaidas, sutartyje nustatytas kompensacijos dydis nekeičiamas. </w:t>
                      </w:r>
                    </w:p>
                  </w:sdtContent>
                </w:sdt>
                <w:sdt>
                  <w:sdtPr>
                    <w:alias w:val="13 p."/>
                    <w:tag w:val="part_467f433769a7462fb043d9e0918ff397"/>
                    <w:lock w:val="sdtLocked"/>
                    <w:richText/>
                  </w:sdtPr>
                  <w:sdtContent>
                    <w:p>
                      <w:pPr>
                        <w:tabs>
                          <w:tab w:val="left" w:pos="993"/>
                        </w:tabs>
                        <w:spacing w:line="276" w:lineRule="auto"/>
                        <w:ind w:firstLine="567"/>
                        <w:jc w:val="both"/>
                        <w:rPr>
                          <w:rFonts w:eastAsia="Calibri"/>
                          <w:szCs w:val="24"/>
                        </w:rPr>
                      </w:pPr>
                      <w:sdt>
                        <w:sdtPr>
                          <w:alias w:val="Numeris"/>
                          <w:tag w:val="nr_467f433769a7462fb043d9e0918ff397"/>
                          <w:lock w:val="sdtLocked"/>
                          <w:richText/>
                        </w:sdtPr>
                        <w:sdtContent>
                          <w:r>
                            <w:rPr>
                              <w:bCs/>
                              <w:szCs w:val="24"/>
                            </w:rPr>
                            <w:t>13</w:t>
                          </w:r>
                        </w:sdtContent>
                      </w:sdt>
                      <w:r>
                        <w:rPr>
                          <w:bCs/>
                          <w:szCs w:val="24"/>
                        </w:rPr>
                        <w:t xml:space="preserve">. </w:t>
                      </w:r>
                      <w:r>
                        <w:rPr>
                          <w:rFonts w:eastAsia="Calibri"/>
                          <w:szCs w:val="24"/>
                        </w:rPr>
                        <w:t xml:space="preserve">Kai savivaldybės infrastruktūros plėtrą įgyvendino keli iniciatoriai, kompensacija atitinkamai išmokama kiekvienam iniciatoriui pagal sutartyje numatytą mokėjimo grafiką ir sutartas dalis. </w:t>
                      </w:r>
                    </w:p>
                  </w:sdtContent>
                </w:sdt>
                <w:sdt>
                  <w:sdtPr>
                    <w:alias w:val="14 p."/>
                    <w:tag w:val="part_ce523c860ec74b179b173c8070cc25da"/>
                    <w:lock w:val="sdtLocked"/>
                    <w:richText/>
                  </w:sdtPr>
                  <w:sdtContent>
                    <w:p>
                      <w:pPr>
                        <w:tabs>
                          <w:tab w:val="left" w:pos="993"/>
                        </w:tabs>
                        <w:spacing w:line="276" w:lineRule="auto"/>
                        <w:ind w:firstLine="567"/>
                        <w:jc w:val="both"/>
                        <w:rPr>
                          <w:strike/>
                          <w:szCs w:val="24"/>
                        </w:rPr>
                      </w:pPr>
                      <w:sdt>
                        <w:sdtPr>
                          <w:alias w:val="Numeris"/>
                          <w:tag w:val="nr_ce523c860ec74b179b173c8070cc25da"/>
                          <w:lock w:val="sdtLocked"/>
                          <w:richText/>
                        </w:sdtPr>
                        <w:sdtContent>
                          <w:r>
                            <w:rPr>
                              <w:szCs w:val="24"/>
                            </w:rPr>
                            <w:t>14</w:t>
                          </w:r>
                        </w:sdtContent>
                      </w:sdt>
                      <w:r>
                        <w:rPr>
                          <w:szCs w:val="24"/>
                        </w:rPr>
                        <w:t xml:space="preserve">. </w:t>
                      </w:r>
                      <w:r>
                        <w:rPr>
                          <w:rFonts w:eastAsia="Calibri"/>
                          <w:szCs w:val="24"/>
                        </w:rPr>
                        <w:t>Kai kompensacija mokama dalimis, organizatorius turi laikytis sutartyje nustatyto kompensacijos mokėjimų grafiko. Kai visa kompensacija mokama vienu kartu, ji sumokama iki sutartyje nustatyto termino.</w:t>
                      </w:r>
                    </w:p>
                    <w:p>
                      <w:pPr>
                        <w:tabs>
                          <w:tab w:val="left" w:pos="993"/>
                        </w:tabs>
                        <w:spacing w:line="276" w:lineRule="auto"/>
                        <w:ind w:firstLine="567"/>
                        <w:jc w:val="center"/>
                        <w:rPr>
                          <w:b/>
                          <w:bCs/>
                          <w:szCs w:val="24"/>
                        </w:rPr>
                      </w:pPr>
                    </w:p>
                  </w:sdtContent>
                </w:sdt>
              </w:sdtContent>
            </w:sdt>
            <w:sdt>
              <w:sdtPr>
                <w:alias w:val="skirsnis"/>
                <w:tag w:val="part_1212e3762bac44aaac0583343a78e7f5"/>
                <w:lock w:val="sdtLocked"/>
                <w:richText/>
              </w:sdtPr>
              <w:sdtContent>
                <w:p>
                  <w:pPr>
                    <w:tabs>
                      <w:tab w:val="left" w:pos="993"/>
                    </w:tabs>
                    <w:ind w:firstLine="567"/>
                    <w:jc w:val="center"/>
                    <w:rPr>
                      <w:b/>
                      <w:bCs/>
                      <w:szCs w:val="24"/>
                    </w:rPr>
                  </w:pPr>
                  <w:sdt>
                    <w:sdtPr>
                      <w:alias w:val="Numeris"/>
                      <w:tag w:val="nr_1212e3762bac44aaac0583343a78e7f5"/>
                      <w:lock w:val="sdtLocked"/>
                      <w:richText/>
                    </w:sdtPr>
                    <w:sdtContent>
                      <w:r>
                        <w:rPr>
                          <w:b/>
                          <w:bCs/>
                          <w:szCs w:val="24"/>
                        </w:rPr>
                        <w:t>ANTRASIS</w:t>
                      </w:r>
                    </w:sdtContent>
                  </w:sdt>
                  <w:r>
                    <w:rPr>
                      <w:b/>
                      <w:bCs/>
                      <w:szCs w:val="24"/>
                    </w:rPr>
                    <w:t xml:space="preserve"> SKIRSNIS</w:t>
                  </w:r>
                </w:p>
                <w:p>
                  <w:pPr>
                    <w:tabs>
                      <w:tab w:val="left" w:pos="993"/>
                    </w:tabs>
                    <w:ind w:firstLine="567"/>
                    <w:jc w:val="center"/>
                    <w:rPr>
                      <w:b/>
                      <w:bCs/>
                      <w:szCs w:val="24"/>
                    </w:rPr>
                  </w:pPr>
                </w:p>
                <w:p>
                  <w:pPr>
                    <w:tabs>
                      <w:tab w:val="left" w:pos="993"/>
                    </w:tabs>
                    <w:ind w:firstLine="567"/>
                    <w:jc w:val="center"/>
                    <w:rPr>
                      <w:b/>
                      <w:bCs/>
                      <w:szCs w:val="24"/>
                    </w:rPr>
                  </w:pPr>
                  <w:sdt>
                    <w:sdtPr>
                      <w:alias w:val="Pavadinimas"/>
                      <w:tag w:val="title_1212e3762bac44aaac0583343a78e7f5"/>
                      <w:lock w:val="sdtLocked"/>
                      <w:richText/>
                    </w:sdtPr>
                    <w:sdtContent>
                      <w:r>
                        <w:rPr>
                          <w:b/>
                          <w:bCs/>
                          <w:szCs w:val="24"/>
                        </w:rPr>
                        <w:t>KOMPENSACIJOS UŽ NEPRIORITETINĖS SAVIVALDYBĖS INFRASTRUKTŪROS PLĖTRĄ IŠMOKĖJIMO TVARKA</w:t>
                      </w:r>
                    </w:sdtContent>
                  </w:sdt>
                </w:p>
                <w:p>
                  <w:pPr>
                    <w:tabs>
                      <w:tab w:val="left" w:pos="993"/>
                    </w:tabs>
                    <w:ind w:firstLine="567"/>
                    <w:jc w:val="center"/>
                    <w:rPr>
                      <w:b/>
                      <w:bCs/>
                      <w:szCs w:val="24"/>
                    </w:rPr>
                  </w:pPr>
                </w:p>
                <w:sdt>
                  <w:sdtPr>
                    <w:alias w:val="15 p."/>
                    <w:tag w:val="part_86d3a9b91fa740fcaaef409401926ba6"/>
                    <w:lock w:val="sdtLocked"/>
                    <w:richText/>
                  </w:sdtPr>
                  <w:sdtContent>
                    <w:p>
                      <w:pPr>
                        <w:tabs>
                          <w:tab w:val="left" w:pos="993"/>
                        </w:tabs>
                        <w:spacing w:line="276" w:lineRule="auto"/>
                        <w:ind w:firstLine="567"/>
                        <w:jc w:val="both"/>
                        <w:rPr>
                          <w:rFonts w:eastAsia="Calibri"/>
                          <w:szCs w:val="24"/>
                        </w:rPr>
                      </w:pPr>
                      <w:sdt>
                        <w:sdtPr>
                          <w:alias w:val="Numeris"/>
                          <w:tag w:val="nr_86d3a9b91fa740fcaaef409401926ba6"/>
                          <w:lock w:val="sdtLocked"/>
                          <w:richText/>
                        </w:sdtPr>
                        <w:sdtContent>
                          <w:r>
                            <w:rPr>
                              <w:rFonts w:eastAsia="Calibri"/>
                              <w:szCs w:val="24"/>
                            </w:rPr>
                            <w:t>15</w:t>
                          </w:r>
                        </w:sdtContent>
                      </w:sdt>
                      <w:r>
                        <w:rPr>
                          <w:rFonts w:eastAsia="Calibri"/>
                          <w:szCs w:val="24"/>
                        </w:rPr>
                        <w:t>. Organizatorius kompensaciją už neprioritetinės savivaldybės infrastruktūros plėtrą išmoka šio skyriaus pirmajame skirsnyje nustatyta tvarka taikant šiame skirsnyje numatytas išimtis.</w:t>
                      </w:r>
                    </w:p>
                  </w:sdtContent>
                </w:sdt>
                <w:sdt>
                  <w:sdtPr>
                    <w:alias w:val="16 p."/>
                    <w:tag w:val="part_0b5e1e1f27784361a0b5368bf3daed42"/>
                    <w:lock w:val="sdtLocked"/>
                    <w:richText/>
                  </w:sdtPr>
                  <w:sdtContent>
                    <w:p>
                      <w:pPr>
                        <w:tabs>
                          <w:tab w:val="left" w:pos="993"/>
                        </w:tabs>
                        <w:spacing w:line="276" w:lineRule="auto"/>
                        <w:ind w:firstLine="567"/>
                        <w:jc w:val="both"/>
                        <w:rPr>
                          <w:szCs w:val="24"/>
                        </w:rPr>
                      </w:pPr>
                      <w:sdt>
                        <w:sdtPr>
                          <w:alias w:val="Numeris"/>
                          <w:tag w:val="nr_0b5e1e1f27784361a0b5368bf3daed42"/>
                          <w:lock w:val="sdtLocked"/>
                          <w:richText/>
                        </w:sdtPr>
                        <w:sdtContent>
                          <w:r>
                            <w:rPr>
                              <w:bCs/>
                              <w:szCs w:val="24"/>
                            </w:rPr>
                            <w:t>16</w:t>
                          </w:r>
                        </w:sdtContent>
                      </w:sdt>
                      <w:r>
                        <w:rPr>
                          <w:bCs/>
                          <w:szCs w:val="24"/>
                        </w:rPr>
                        <w:t>. O</w:t>
                      </w:r>
                      <w:r>
                        <w:rPr>
                          <w:szCs w:val="24"/>
                        </w:rPr>
                        <w:t xml:space="preserve">rganizatorius kompensaciją už patirtas išlaidas iniciatoriui išmoka: </w:t>
                      </w:r>
                    </w:p>
                    <w:sdt>
                      <w:sdtPr>
                        <w:alias w:val="16.1 pp."/>
                        <w:tag w:val="part_6bbca6cf94c841e1b4d776c659f77859"/>
                        <w:lock w:val="sdtLocked"/>
                        <w:richText/>
                      </w:sdtPr>
                      <w:sdtContent>
                        <w:p>
                          <w:pPr>
                            <w:tabs>
                              <w:tab w:val="left" w:pos="993"/>
                            </w:tabs>
                            <w:spacing w:line="276" w:lineRule="auto"/>
                            <w:ind w:firstLine="567"/>
                            <w:jc w:val="both"/>
                            <w:rPr>
                              <w:szCs w:val="24"/>
                            </w:rPr>
                          </w:pPr>
                          <w:sdt>
                            <w:sdtPr>
                              <w:alias w:val="Numeris"/>
                              <w:tag w:val="nr_6bbca6cf94c841e1b4d776c659f77859"/>
                              <w:lock w:val="sdtLocked"/>
                              <w:richText/>
                            </w:sdtPr>
                            <w:sdtContent>
                              <w:r>
                                <w:rPr>
                                  <w:bCs/>
                                  <w:szCs w:val="24"/>
                                </w:rPr>
                                <w:t>16.</w:t>
                              </w:r>
                              <w:r>
                                <w:rPr>
                                  <w:szCs w:val="24"/>
                                </w:rPr>
                                <w:t>1</w:t>
                              </w:r>
                            </w:sdtContent>
                          </w:sdt>
                          <w:r>
                            <w:rPr>
                              <w:szCs w:val="24"/>
                            </w:rPr>
                            <w:t xml:space="preserve">. kai prie iniciatoriaus pastatytos </w:t>
                          </w:r>
                          <w:r>
                            <w:rPr>
                              <w:bCs/>
                              <w:szCs w:val="24"/>
                            </w:rPr>
                            <w:t>ir (ar)</w:t>
                          </w:r>
                          <w:r>
                            <w:rPr>
                              <w:szCs w:val="24"/>
                            </w:rPr>
                            <w:t xml:space="preserve"> įrengtos neprioritetinės savivaldybės infrastruktūros prisijungia kiti statytojai (vystytojai) ir jie sumoka savivaldybės infrastruktūros plėtros įmokas, iš šių įmokų, atėmus administravimo išlaidas, sutartyje nustatyta tvarka ir terminais, jos nesant – ne vėliau kaip per 5 darbo dienas nuo įmokos gavimo;</w:t>
                          </w:r>
                        </w:p>
                      </w:sdtContent>
                    </w:sdt>
                    <w:sdt>
                      <w:sdtPr>
                        <w:alias w:val="16.2 pp."/>
                        <w:tag w:val="part_fd58047c31634db4acf4fe6b4dd008fe"/>
                        <w:lock w:val="sdtLocked"/>
                        <w:richText/>
                      </w:sdtPr>
                      <w:sdtContent>
                        <w:p>
                          <w:pPr>
                            <w:tabs>
                              <w:tab w:val="left" w:pos="993"/>
                            </w:tabs>
                            <w:spacing w:line="276" w:lineRule="auto"/>
                            <w:ind w:firstLine="567"/>
                            <w:jc w:val="both"/>
                            <w:rPr>
                              <w:szCs w:val="24"/>
                            </w:rPr>
                          </w:pPr>
                          <w:sdt>
                            <w:sdtPr>
                              <w:alias w:val="Numeris"/>
                              <w:tag w:val="nr_fd58047c31634db4acf4fe6b4dd008fe"/>
                              <w:lock w:val="sdtLocked"/>
                              <w:richText/>
                            </w:sdtPr>
                            <w:sdtContent>
                              <w:r>
                                <w:rPr>
                                  <w:bCs/>
                                  <w:szCs w:val="24"/>
                                </w:rPr>
                                <w:t>16.</w:t>
                              </w:r>
                              <w:r>
                                <w:rPr>
                                  <w:szCs w:val="24"/>
                                </w:rPr>
                                <w:t>2</w:t>
                              </w:r>
                            </w:sdtContent>
                          </w:sdt>
                          <w:r>
                            <w:rPr>
                              <w:szCs w:val="24"/>
                            </w:rPr>
                            <w:t xml:space="preserve">. kai prie iniciatoriaus pastatytos </w:t>
                          </w:r>
                          <w:r>
                            <w:rPr>
                              <w:bCs/>
                              <w:szCs w:val="24"/>
                            </w:rPr>
                            <w:t>ir (ar)</w:t>
                          </w:r>
                          <w:r>
                            <w:rPr>
                              <w:szCs w:val="24"/>
                            </w:rPr>
                            <w:t xml:space="preserve"> įrengtos neprioritetinės savivaldybės infrastruktūros prisijungiantys kiti statytojai (vystytojai) kartu naudojasi ir kitų statytojų (vystytojų) pastatyta </w:t>
                          </w:r>
                          <w:r>
                            <w:rPr>
                              <w:bCs/>
                              <w:szCs w:val="24"/>
                            </w:rPr>
                            <w:t>ir (ar)</w:t>
                          </w:r>
                          <w:r>
                            <w:rPr>
                              <w:szCs w:val="24"/>
                            </w:rPr>
                            <w:t xml:space="preserve"> įrengta neprioritetine savivaldybės infrastruktūra, gautos savivaldybės infrastruktūros plėtros įmokos paskirstomos sutartyje nustatyta tvarka ir terminais, jos nesant – paskirstoma iniciatoriams proporcingai atliktos ir nekompensuotos investicijos dydžiui. </w:t>
                          </w:r>
                        </w:p>
                      </w:sdtContent>
                    </w:sdt>
                  </w:sdtContent>
                </w:sdt>
              </w:sdtContent>
            </w:sdt>
          </w:sdtContent>
        </w:sdt>
        <w:sdt>
          <w:sdtPr>
            <w:alias w:val="pabaiga"/>
            <w:tag w:val="part_3e1426b1e2464e7aa3d6de5401c09d8a"/>
            <w:lock w:val="sdtLocked"/>
            <w:richText/>
          </w:sdtPr>
          <w:sdtContent>
            <w:p>
              <w:pPr>
                <w:tabs>
                  <w:tab w:val="left" w:pos="993"/>
                </w:tabs>
                <w:spacing w:line="276" w:lineRule="auto"/>
                <w:jc w:val="center"/>
                <w:rPr>
                  <w:rFonts w:eastAsia="Calibri"/>
                  <w:szCs w:val="24"/>
                </w:rPr>
              </w:pPr>
              <w:r>
                <w:rPr>
                  <w:rFonts w:eastAsia="Calibri"/>
                  <w:szCs w:val="24"/>
                </w:rPr>
                <w:t>____________________________</w:t>
              </w:r>
            </w:p>
            <w:p>
              <w:pPr>
                <w:tabs>
                  <w:tab w:val="left" w:pos="5702"/>
                  <w:tab w:val="left" w:pos="6390"/>
                  <w:tab w:val="left" w:pos="8010"/>
                  <w:tab w:val="right" w:pos="9071"/>
                </w:tabs>
                <w:ind w:firstLine="624"/>
                <w:jc w:val="both"/>
              </w:pPr>
            </w:p>
          </w:sdtContent>
        </w:sdt>
      </w:sdtContent>
    </w:sdt>
    <w:sdt>
      <w:sdtPr>
        <w:alias w:val="patvirtinta"/>
        <w:tag w:val="part_23f63cfac5f84ba3a6ef7634a1673297"/>
        <w:lock w:val="sdtLocked"/>
        <w:richText/>
      </w:sdtPr>
      <w:sdtContent>
        <w:p>
          <w:pPr>
            <w:tabs>
              <w:tab w:val="left" w:pos="5702"/>
              <w:tab w:val="left" w:pos="6390"/>
              <w:tab w:val="left" w:pos="8010"/>
              <w:tab w:val="right" w:pos="9071"/>
            </w:tabs>
            <w:ind w:firstLine="6322"/>
            <w:jc w:val="both"/>
            <w:sectPr>
              <w:pgSz w:w="11906" w:h="16838"/>
              <w:pgMar w:top="1134" w:right="567" w:bottom="1134" w:left="1701" w:header="709" w:footer="709" w:gutter="0"/>
              <w:pgNumType w:start="1"/>
              <w:cols w:space="1296"/>
              <w:titlePg/>
              <w:docGrid w:linePitch="326"/>
            </w:sectPr>
          </w:pPr>
        </w:p>
        <w:p>
          <w:pPr>
            <w:tabs>
              <w:tab w:val="left" w:pos="5702"/>
              <w:tab w:val="left" w:pos="6390"/>
              <w:tab w:val="left" w:pos="8010"/>
              <w:tab w:val="right" w:pos="9071"/>
            </w:tabs>
            <w:ind w:left="5670"/>
            <w:jc w:val="both"/>
            <w:rPr>
              <w:rFonts w:eastAsia="Calibri"/>
            </w:rPr>
          </w:pPr>
          <w:r>
            <w:rPr>
              <w:rFonts w:eastAsia="Calibri"/>
            </w:rPr>
            <w:t>PATVIRTINTA</w:t>
          </w:r>
        </w:p>
        <w:p>
          <w:pPr>
            <w:ind w:left="5670"/>
            <w:jc w:val="both"/>
            <w:rPr>
              <w:rFonts w:eastAsia="Calibri"/>
            </w:rPr>
          </w:pPr>
          <w:r>
            <w:rPr>
              <w:rFonts w:eastAsia="Calibri"/>
            </w:rPr>
            <w:t>Lietuvos Respublikos Vyriausybės</w:t>
          </w:r>
        </w:p>
        <w:p>
          <w:pPr>
            <w:tabs>
              <w:tab w:val="left" w:pos="6300"/>
              <w:tab w:val="left" w:pos="6390"/>
              <w:tab w:val="left" w:pos="8640"/>
            </w:tabs>
            <w:ind w:left="5670"/>
            <w:jc w:val="both"/>
            <w:rPr>
              <w:rFonts w:eastAsia="Calibri"/>
            </w:rPr>
          </w:pPr>
          <w:r>
            <w:rPr>
              <w:rFonts w:eastAsia="Calibri"/>
            </w:rPr>
            <w:t xml:space="preserve">2020 m. gruodžio 30 d. nutarimu </w:t>
          </w:r>
        </w:p>
        <w:p>
          <w:pPr>
            <w:tabs>
              <w:tab w:val="left" w:pos="6300"/>
              <w:tab w:val="left" w:pos="6390"/>
              <w:tab w:val="left" w:pos="8640"/>
            </w:tabs>
            <w:ind w:left="5670"/>
            <w:jc w:val="both"/>
            <w:rPr>
              <w:rFonts w:eastAsia="Calibri"/>
            </w:rPr>
          </w:pPr>
          <w:r>
            <w:rPr>
              <w:rFonts w:eastAsia="Calibri"/>
            </w:rPr>
            <w:t>Nr. 1475</w:t>
          </w:r>
        </w:p>
        <w:p>
          <w:pPr>
            <w:ind w:firstLine="624"/>
            <w:rPr>
              <w:rFonts w:eastAsia="Calibri"/>
              <w:b/>
            </w:rPr>
          </w:pPr>
        </w:p>
        <w:p>
          <w:pPr>
            <w:ind w:firstLine="624"/>
            <w:jc w:val="center"/>
            <w:rPr>
              <w:rFonts w:eastAsia="Calibri"/>
              <w:b/>
            </w:rPr>
          </w:pPr>
          <w:sdt>
            <w:sdtPr>
              <w:alias w:val="Pavadinimas"/>
              <w:tag w:val="title_23f63cfac5f84ba3a6ef7634a1673297"/>
              <w:lock w:val="sdtLocked"/>
              <w:richText/>
            </w:sdtPr>
            <w:sdtContent>
              <w:r>
                <w:rPr>
                  <w:rFonts w:eastAsia="Calibri"/>
                  <w:b/>
                </w:rPr>
                <w:t>SAVIVALDYBĖS INFRASTRUKTŪROS PLĖTROS ĮMOKOS NUSTATYMO METODIKA</w:t>
              </w:r>
            </w:sdtContent>
          </w:sdt>
        </w:p>
        <w:p>
          <w:pPr>
            <w:spacing w:line="276" w:lineRule="auto"/>
            <w:rPr>
              <w:rFonts w:eastAsia="Calibri"/>
              <w:b/>
            </w:rPr>
          </w:pPr>
        </w:p>
        <w:sdt>
          <w:sdtPr>
            <w:alias w:val="skyrius"/>
            <w:tag w:val="part_ff8f66367304460f83ffd8566918aa24"/>
            <w:lock w:val="sdtLocked"/>
            <w:richText/>
          </w:sdtPr>
          <w:sdtContent>
            <w:p>
              <w:pPr>
                <w:jc w:val="center"/>
                <w:rPr>
                  <w:rFonts w:eastAsia="Calibri"/>
                  <w:b/>
                </w:rPr>
              </w:pPr>
              <w:sdt>
                <w:sdtPr>
                  <w:alias w:val="Numeris"/>
                  <w:tag w:val="nr_ff8f66367304460f83ffd8566918aa24"/>
                  <w:lock w:val="sdtLocked"/>
                  <w:richText/>
                </w:sdtPr>
                <w:sdtContent>
                  <w:r>
                    <w:rPr>
                      <w:rFonts w:eastAsia="Calibri"/>
                      <w:b/>
                    </w:rPr>
                    <w:t>I</w:t>
                  </w:r>
                </w:sdtContent>
              </w:sdt>
              <w:r>
                <w:rPr>
                  <w:rFonts w:eastAsia="Calibri"/>
                  <w:b/>
                </w:rPr>
                <w:t xml:space="preserve"> SKYRIUS </w:t>
              </w:r>
            </w:p>
            <w:p>
              <w:pPr>
                <w:jc w:val="center"/>
                <w:rPr>
                  <w:rFonts w:eastAsia="Calibri"/>
                  <w:b/>
                </w:rPr>
              </w:pPr>
              <w:sdt>
                <w:sdtPr>
                  <w:alias w:val="Pavadinimas"/>
                  <w:tag w:val="title_ff8f66367304460f83ffd8566918aa24"/>
                  <w:lock w:val="sdtLocked"/>
                  <w:richText/>
                </w:sdtPr>
                <w:sdtContent>
                  <w:r>
                    <w:rPr>
                      <w:rFonts w:eastAsia="Calibri"/>
                      <w:b/>
                    </w:rPr>
                    <w:t xml:space="preserve">BENDROSIOS NUOSTATOS </w:t>
                  </w:r>
                </w:sdtContent>
              </w:sdt>
            </w:p>
            <w:p>
              <w:pPr>
                <w:tabs>
                  <w:tab w:val="left" w:pos="993"/>
                </w:tabs>
                <w:spacing w:line="276" w:lineRule="auto"/>
                <w:jc w:val="both"/>
                <w:rPr>
                  <w:szCs w:val="24"/>
                </w:rPr>
              </w:pPr>
            </w:p>
            <w:sdt>
              <w:sdtPr>
                <w:alias w:val="1 p."/>
                <w:tag w:val="part_c82577d8b96b4b9cbc642be3af149e8f"/>
                <w:lock w:val="sdtLocked"/>
                <w:richText/>
              </w:sdtPr>
              <w:sdtContent>
                <w:p>
                  <w:pPr>
                    <w:spacing w:line="276" w:lineRule="auto"/>
                    <w:ind w:firstLine="567"/>
                    <w:jc w:val="both"/>
                    <w:rPr>
                      <w:szCs w:val="24"/>
                    </w:rPr>
                  </w:pPr>
                  <w:sdt>
                    <w:sdtPr>
                      <w:alias w:val="Numeris"/>
                      <w:tag w:val="nr_c82577d8b96b4b9cbc642be3af149e8f"/>
                      <w:lock w:val="sdtLocked"/>
                      <w:richText/>
                    </w:sdtPr>
                    <w:sdtContent>
                      <w:r>
                        <w:rPr>
                          <w:szCs w:val="24"/>
                        </w:rPr>
                        <w:t>1</w:t>
                      </w:r>
                    </w:sdtContent>
                  </w:sdt>
                  <w:r>
                    <w:rPr>
                      <w:szCs w:val="24"/>
                    </w:rPr>
                    <w:t xml:space="preserve">. Savivaldybės infrastruktūros plėtros įmokos nustatymo metodika (toliau – Metodika) nustato savivaldybės infrastruktūros plėtros įmokos (toliau – įmoka) apskaičiavimo tvarką, kuria vadovaudamasis savivaldybės infrastruktūros plėtros organizatorius (toliau – organizatorius) apskaičiuoja įmoką. </w:t>
                  </w:r>
                </w:p>
                <w:p>
                  <w:pPr>
                    <w:tabs>
                      <w:tab w:val="left" w:pos="993"/>
                    </w:tabs>
                    <w:jc w:val="center"/>
                    <w:rPr>
                      <w:b/>
                      <w:bCs/>
                      <w:szCs w:val="24"/>
                    </w:rPr>
                  </w:pPr>
                </w:p>
              </w:sdtContent>
            </w:sdt>
          </w:sdtContent>
        </w:sdt>
        <w:sdt>
          <w:sdtPr>
            <w:alias w:val="skyrius"/>
            <w:tag w:val="part_0d3c4ff55a65492797c39225a6d011bc"/>
            <w:lock w:val="sdtLocked"/>
            <w:richText/>
          </w:sdtPr>
          <w:sdtContent>
            <w:p>
              <w:pPr>
                <w:tabs>
                  <w:tab w:val="left" w:pos="993"/>
                </w:tabs>
                <w:jc w:val="center"/>
                <w:rPr>
                  <w:b/>
                  <w:bCs/>
                  <w:szCs w:val="24"/>
                </w:rPr>
              </w:pPr>
              <w:sdt>
                <w:sdtPr>
                  <w:alias w:val="Numeris"/>
                  <w:tag w:val="nr_0d3c4ff55a65492797c39225a6d011bc"/>
                  <w:lock w:val="sdtLocked"/>
                  <w:richText/>
                </w:sdtPr>
                <w:sdtContent>
                  <w:r>
                    <w:rPr>
                      <w:b/>
                      <w:bCs/>
                      <w:szCs w:val="24"/>
                    </w:rPr>
                    <w:t>II</w:t>
                  </w:r>
                </w:sdtContent>
              </w:sdt>
              <w:r>
                <w:rPr>
                  <w:b/>
                  <w:bCs/>
                  <w:szCs w:val="24"/>
                </w:rPr>
                <w:t xml:space="preserve"> SKYRIUS </w:t>
              </w:r>
            </w:p>
            <w:p>
              <w:pPr>
                <w:tabs>
                  <w:tab w:val="left" w:pos="993"/>
                </w:tabs>
                <w:jc w:val="center"/>
                <w:rPr>
                  <w:b/>
                  <w:bCs/>
                  <w:szCs w:val="24"/>
                </w:rPr>
              </w:pPr>
              <w:sdt>
                <w:sdtPr>
                  <w:alias w:val="Pavadinimas"/>
                  <w:tag w:val="title_0d3c4ff55a65492797c39225a6d011bc"/>
                  <w:lock w:val="sdtLocked"/>
                  <w:richText/>
                </w:sdtPr>
                <w:sdtContent>
                  <w:r>
                    <w:rPr>
                      <w:b/>
                      <w:bCs/>
                      <w:szCs w:val="24"/>
                    </w:rPr>
                    <w:t>PRAŠYMŲ DĖL ĮMOKOS APSKAIČIAVIMO NAGRINĖJIMO TVARKA</w:t>
                  </w:r>
                </w:sdtContent>
              </w:sdt>
            </w:p>
            <w:p>
              <w:pPr>
                <w:tabs>
                  <w:tab w:val="left" w:pos="993"/>
                </w:tabs>
                <w:rPr>
                  <w:b/>
                  <w:bCs/>
                  <w:szCs w:val="24"/>
                </w:rPr>
              </w:pPr>
            </w:p>
            <w:sdt>
              <w:sdtPr>
                <w:alias w:val="2 p."/>
                <w:tag w:val="part_de4fedb13a164c9aad99bf52745f279a"/>
                <w:lock w:val="sdtLocked"/>
                <w:richText/>
              </w:sdtPr>
              <w:sdtContent>
                <w:p>
                  <w:pPr>
                    <w:tabs>
                      <w:tab w:val="left" w:pos="993"/>
                    </w:tabs>
                    <w:spacing w:line="276" w:lineRule="auto"/>
                    <w:ind w:firstLine="567"/>
                    <w:jc w:val="both"/>
                    <w:rPr>
                      <w:rFonts w:eastAsia="Calibri"/>
                      <w:szCs w:val="24"/>
                    </w:rPr>
                  </w:pPr>
                  <w:sdt>
                    <w:sdtPr>
                      <w:alias w:val="Numeris"/>
                      <w:tag w:val="nr_de4fedb13a164c9aad99bf52745f279a"/>
                      <w:lock w:val="sdtLocked"/>
                      <w:richText/>
                    </w:sdtPr>
                    <w:sdtContent>
                      <w:r>
                        <w:rPr>
                          <w:szCs w:val="24"/>
                        </w:rPr>
                        <w:t>2</w:t>
                      </w:r>
                    </w:sdtContent>
                  </w:sdt>
                  <w:r>
                    <w:rPr>
                      <w:szCs w:val="24"/>
                    </w:rPr>
                    <w:t xml:space="preserve">. Įmoką apskaičiuoja organizatorius, gavęs statomo, rekonstruojamo pastato, esamo inžinerinio statinio rekonstruojamo į pastatą ir (ar) kito inžinerinio statinio, kuris nėra savivaldybės infrastruktūra ir jo naudojimui reikalinga savivaldybės infrastruktūra, statytojo (vystytojo) (toliau – mokėtojas) prašymą </w:t>
                  </w:r>
                  <w:r>
                    <w:rPr>
                      <w:rFonts w:eastAsia="Calibri"/>
                      <w:szCs w:val="24"/>
                    </w:rPr>
                    <w:t xml:space="preserve">apskaičiuoti įmoką </w:t>
                  </w:r>
                  <w:r>
                    <w:rPr>
                      <w:szCs w:val="24"/>
                    </w:rPr>
                    <w:t xml:space="preserve">(pagal </w:t>
                  </w:r>
                  <w:r>
                    <w:rPr>
                      <w:rFonts w:eastAsia="Calibri"/>
                      <w:szCs w:val="24"/>
                    </w:rPr>
                    <w:t xml:space="preserve">Metodikos 1 priede pateiktą formą) (toliau – prašymas). Mokėtojas prašymą pateikia prieš teikdamas prašymą išduoti statybą leidžiantį dokumentą arba iki statybos darbų pradžios, kai statybą leidžiantis dokumentas neprivalomas. Prašymas su dokumentais ir informacija, </w:t>
                  </w:r>
                  <w:r>
                    <w:rPr>
                      <w:rFonts w:eastAsia="Calibri"/>
                      <w:color w:val="000000"/>
                      <w:szCs w:val="24"/>
                    </w:rPr>
                    <w:t xml:space="preserve">nurodytais Metodikos 3 ir 4 punktuose, gali būti </w:t>
                  </w:r>
                  <w:r>
                    <w:rPr>
                      <w:rFonts w:eastAsia="Calibri"/>
                      <w:szCs w:val="24"/>
                    </w:rPr>
                    <w:t xml:space="preserve">teikiamas organizatoriui tiesiogiai, paštu, per kurjerius arba elektroninių ryšių priemonėmis. Elektroninių ryšių priemonėmis pateikti dokumentai turi būti pasirašyti kvalifikuotu elektroniniu parašu. Dokumentai saugomi Lietuvos Respublikos dokumentų ir archyvų įstatyme nustatyta tvarka. </w:t>
                  </w:r>
                </w:p>
              </w:sdtContent>
            </w:sdt>
            <w:sdt>
              <w:sdtPr>
                <w:alias w:val="3 p."/>
                <w:tag w:val="part_af3cae37c09445a4ac7e0f1daf5b8d6c"/>
                <w:lock w:val="sdtLocked"/>
                <w:richText/>
              </w:sdtPr>
              <w:sdtContent>
                <w:p>
                  <w:pPr>
                    <w:tabs>
                      <w:tab w:val="left" w:pos="993"/>
                    </w:tabs>
                    <w:spacing w:line="276" w:lineRule="auto"/>
                    <w:ind w:firstLine="567"/>
                    <w:jc w:val="both"/>
                    <w:rPr>
                      <w:rFonts w:eastAsia="Calibri"/>
                      <w:szCs w:val="24"/>
                    </w:rPr>
                  </w:pPr>
                  <w:sdt>
                    <w:sdtPr>
                      <w:alias w:val="Numeris"/>
                      <w:tag w:val="nr_af3cae37c09445a4ac7e0f1daf5b8d6c"/>
                      <w:lock w:val="sdtLocked"/>
                      <w:richText/>
                    </w:sdtPr>
                    <w:sdtContent>
                      <w:r>
                        <w:rPr>
                          <w:rFonts w:eastAsia="Calibri"/>
                          <w:szCs w:val="24"/>
                        </w:rPr>
                        <w:t>3</w:t>
                      </w:r>
                    </w:sdtContent>
                  </w:sdt>
                  <w:r>
                    <w:rPr>
                      <w:rFonts w:eastAsia="Calibri"/>
                      <w:szCs w:val="24"/>
                    </w:rPr>
                    <w:t xml:space="preserve">. Prašyme turi būti nurodyta: </w:t>
                  </w:r>
                </w:p>
                <w:sdt>
                  <w:sdtPr>
                    <w:alias w:val="3.1 pp."/>
                    <w:tag w:val="part_f12637b2e42c4f76ad9b06e5e1874508"/>
                    <w:lock w:val="sdtLocked"/>
                    <w:richText/>
                  </w:sdtPr>
                  <w:sdtContent>
                    <w:p>
                      <w:pPr>
                        <w:spacing w:line="276" w:lineRule="auto"/>
                        <w:ind w:firstLine="567"/>
                        <w:rPr>
                          <w:rFonts w:eastAsia="Calibri"/>
                          <w:szCs w:val="24"/>
                        </w:rPr>
                      </w:pPr>
                      <w:sdt>
                        <w:sdtPr>
                          <w:alias w:val="Numeris"/>
                          <w:tag w:val="nr_f12637b2e42c4f76ad9b06e5e1874508"/>
                          <w:lock w:val="sdtLocked"/>
                          <w:richText/>
                        </w:sdtPr>
                        <w:sdtContent>
                          <w:r>
                            <w:rPr>
                              <w:szCs w:val="24"/>
                            </w:rPr>
                            <w:t>3.1</w:t>
                          </w:r>
                        </w:sdtContent>
                      </w:sdt>
                      <w:r>
                        <w:rPr>
                          <w:szCs w:val="24"/>
                        </w:rPr>
                        <w:t xml:space="preserve">. </w:t>
                      </w:r>
                      <w:r>
                        <w:rPr>
                          <w:rFonts w:eastAsia="Calibri"/>
                          <w:szCs w:val="24"/>
                        </w:rPr>
                        <w:t>duomenys apie mokėtoją:</w:t>
                      </w:r>
                    </w:p>
                    <w:sdt>
                      <w:sdtPr>
                        <w:alias w:val="3.1.1 pp."/>
                        <w:tag w:val="part_366e252395dd41f59ecb86229f517667"/>
                        <w:lock w:val="sdtLocked"/>
                        <w:richText/>
                      </w:sdtPr>
                      <w:sdtContent>
                        <w:p>
                          <w:pPr>
                            <w:spacing w:line="276" w:lineRule="auto"/>
                            <w:ind w:firstLine="567"/>
                            <w:jc w:val="both"/>
                            <w:rPr>
                              <w:rFonts w:eastAsia="Calibri"/>
                              <w:szCs w:val="24"/>
                              <w:lang w:eastAsia="lt-LT"/>
                            </w:rPr>
                          </w:pPr>
                          <w:sdt>
                            <w:sdtPr>
                              <w:alias w:val="Numeris"/>
                              <w:tag w:val="nr_366e252395dd41f59ecb86229f517667"/>
                              <w:lock w:val="sdtLocked"/>
                              <w:richText/>
                            </w:sdtPr>
                            <w:sdtContent>
                              <w:r>
                                <w:rPr>
                                  <w:szCs w:val="24"/>
                                  <w:lang w:eastAsia="lt-LT"/>
                                </w:rPr>
                                <w:t>3.1.1</w:t>
                              </w:r>
                            </w:sdtContent>
                          </w:sdt>
                          <w:r>
                            <w:rPr>
                              <w:szCs w:val="24"/>
                              <w:lang w:eastAsia="lt-LT"/>
                            </w:rPr>
                            <w:t xml:space="preserve">. Lietuvos Respublikos ar užsienio valstybės fizinio asmens identifikaciniai duomenys: vardas, pavardė, asmens kodas arba gimimo data, kai asmens kodas nesuteiktas, ryšio duomenys (adresas, telefono numeris, elektroninio pašto adresas), banko arba kitos kredito įstaigos pavadinimas, atsiskaitomosios sąskaitos numeris; </w:t>
                          </w:r>
                        </w:p>
                      </w:sdtContent>
                    </w:sdt>
                    <w:sdt>
                      <w:sdtPr>
                        <w:alias w:val="3.1.2 pp."/>
                        <w:tag w:val="part_111db28d70a04c07b7b226075d17653b"/>
                        <w:lock w:val="sdtLocked"/>
                        <w:richText/>
                      </w:sdtPr>
                      <w:sdtContent>
                        <w:p>
                          <w:pPr>
                            <w:spacing w:line="276" w:lineRule="auto"/>
                            <w:ind w:firstLine="567"/>
                            <w:jc w:val="both"/>
                            <w:rPr>
                              <w:szCs w:val="24"/>
                              <w:lang w:eastAsia="lt-LT"/>
                            </w:rPr>
                          </w:pPr>
                          <w:sdt>
                            <w:sdtPr>
                              <w:alias w:val="Numeris"/>
                              <w:tag w:val="nr_111db28d70a04c07b7b226075d17653b"/>
                              <w:lock w:val="sdtLocked"/>
                              <w:richText/>
                            </w:sdtPr>
                            <w:sdtContent>
                              <w:r>
                                <w:rPr>
                                  <w:szCs w:val="24"/>
                                  <w:lang w:eastAsia="lt-LT"/>
                                </w:rPr>
                                <w:t>3.1.2</w:t>
                              </w:r>
                            </w:sdtContent>
                          </w:sdt>
                          <w:r>
                            <w:rPr>
                              <w:szCs w:val="24"/>
                              <w:lang w:eastAsia="lt-LT"/>
                            </w:rPr>
                            <w:t>. Lietuvos Respublikos ar užsienio valstybės juridinio asmens, kitos organizacijos ar jų padalinio teisinė forma (jei teisinės formos neturi – teisinis statusas), pavadinimas, kodas, jei jis suteikiamas, ryšio duomenys (adresas, telefono numeris, elektroninio pašto adresas), banko arba kitos kredito įstaigos pavadinimas, atsiskaitomosios sąskaitos numeris;</w:t>
                          </w:r>
                        </w:p>
                      </w:sdtContent>
                    </w:sdt>
                  </w:sdtContent>
                </w:sdt>
                <w:sdt>
                  <w:sdtPr>
                    <w:alias w:val="3.2 pp."/>
                    <w:tag w:val="part_8395832ff7f04bcc82b526d59411e9c0"/>
                    <w:lock w:val="sdtLocked"/>
                    <w:richText/>
                  </w:sdtPr>
                  <w:sdtContent>
                    <w:p>
                      <w:pPr>
                        <w:tabs>
                          <w:tab w:val="left" w:pos="993"/>
                          <w:tab w:val="left" w:pos="1134"/>
                        </w:tabs>
                        <w:spacing w:line="276" w:lineRule="auto"/>
                        <w:ind w:firstLine="567"/>
                        <w:jc w:val="both"/>
                        <w:rPr>
                          <w:rFonts w:eastAsia="Calibri"/>
                          <w:strike/>
                          <w:szCs w:val="24"/>
                          <w:highlight w:val="magenta"/>
                        </w:rPr>
                      </w:pPr>
                      <w:sdt>
                        <w:sdtPr>
                          <w:alias w:val="Numeris"/>
                          <w:tag w:val="nr_8395832ff7f04bcc82b526d59411e9c0"/>
                          <w:lock w:val="sdtLocked"/>
                          <w:richText/>
                        </w:sdtPr>
                        <w:sdtContent>
                          <w:r>
                            <w:rPr>
                              <w:rFonts w:eastAsia="Calibri"/>
                              <w:szCs w:val="24"/>
                            </w:rPr>
                            <w:t>3.2</w:t>
                          </w:r>
                        </w:sdtContent>
                      </w:sdt>
                      <w:r>
                        <w:rPr>
                          <w:rFonts w:eastAsia="Calibri"/>
                          <w:szCs w:val="24"/>
                        </w:rPr>
                        <w:t>. statinio rodikliai: pastato bendrasis plotas (m</w:t>
                      </w:r>
                      <w:r>
                        <w:rPr>
                          <w:rFonts w:eastAsia="Calibri"/>
                          <w:szCs w:val="24"/>
                          <w:vertAlign w:val="superscript"/>
                        </w:rPr>
                        <w:t>2</w:t>
                      </w:r>
                      <w:r>
                        <w:rPr>
                          <w:rFonts w:eastAsia="Calibri"/>
                          <w:szCs w:val="24"/>
                        </w:rPr>
                        <w:t>) ir (ar) inžineriniu statiniu, kuris nėra savivaldybės infrastruktūra ir jo naudojimui reikalinga savivaldybės infrastruktūra, užstatytas plotas (m</w:t>
                      </w:r>
                      <w:r>
                        <w:rPr>
                          <w:rFonts w:eastAsia="Calibri"/>
                          <w:szCs w:val="24"/>
                          <w:vertAlign w:val="superscript"/>
                        </w:rPr>
                        <w:t>2</w:t>
                      </w:r>
                      <w:r>
                        <w:rPr>
                          <w:rFonts w:eastAsia="Calibri"/>
                          <w:szCs w:val="24"/>
                        </w:rPr>
                        <w:t>). Rekonstruojant pastatą nurodoma rekonstruojamo pastato padidėjusi bendrojo ploto dalis (m</w:t>
                      </w:r>
                      <w:r>
                        <w:rPr>
                          <w:rFonts w:eastAsia="Calibri"/>
                          <w:szCs w:val="24"/>
                          <w:vertAlign w:val="superscript"/>
                        </w:rPr>
                        <w:t>2</w:t>
                      </w:r>
                      <w:r>
                        <w:rPr>
                          <w:rFonts w:eastAsia="Calibri"/>
                          <w:szCs w:val="24"/>
                        </w:rPr>
                        <w:t>); kai rekonstruojamas inžinerinis statinys – padidėjusi statiniu užstatyto ploto dalis (m</w:t>
                      </w:r>
                      <w:r>
                        <w:rPr>
                          <w:rFonts w:eastAsia="Calibri"/>
                          <w:szCs w:val="24"/>
                          <w:vertAlign w:val="superscript"/>
                        </w:rPr>
                        <w:t>2</w:t>
                      </w:r>
                      <w:r>
                        <w:rPr>
                          <w:rFonts w:eastAsia="Calibri"/>
                          <w:szCs w:val="24"/>
                        </w:rPr>
                        <w:t xml:space="preserve">) arba pastato bendrasis plotas, jei inžinerinis statinys rekonstruojamas į pastatą. Šie duomenys pateikiami iš Metodikos 4.3 papunktyje nurodyto statinio projekto bendrosios dalies, kai vadovaujantis Lietuvos Respublikos statybos įstatymu privaloma gauti statybą leidžiantį dokumentą; </w:t>
                      </w:r>
                    </w:p>
                  </w:sdtContent>
                </w:sdt>
                <w:sdt>
                  <w:sdtPr>
                    <w:alias w:val="3.3 pp."/>
                    <w:tag w:val="part_e8c65818f5114dc1b2d29052b2533205"/>
                    <w:lock w:val="sdtLocked"/>
                    <w:richText/>
                  </w:sdtPr>
                  <w:sdtContent>
                    <w:p>
                      <w:pPr>
                        <w:tabs>
                          <w:tab w:val="left" w:pos="993"/>
                          <w:tab w:val="left" w:pos="1134"/>
                        </w:tabs>
                        <w:spacing w:line="276" w:lineRule="auto"/>
                        <w:ind w:firstLine="567"/>
                        <w:jc w:val="both"/>
                        <w:rPr>
                          <w:rFonts w:eastAsia="Calibri"/>
                          <w:szCs w:val="24"/>
                        </w:rPr>
                      </w:pPr>
                      <w:sdt>
                        <w:sdtPr>
                          <w:alias w:val="Numeris"/>
                          <w:tag w:val="nr_e8c65818f5114dc1b2d29052b2533205"/>
                          <w:lock w:val="sdtLocked"/>
                          <w:richText/>
                        </w:sdtPr>
                        <w:sdtContent>
                          <w:r>
                            <w:rPr>
                              <w:rFonts w:eastAsia="Calibri"/>
                              <w:szCs w:val="24"/>
                            </w:rPr>
                            <w:t>3.3</w:t>
                          </w:r>
                        </w:sdtContent>
                      </w:sdt>
                      <w:r>
                        <w:rPr>
                          <w:rFonts w:eastAsia="Calibri"/>
                          <w:szCs w:val="24"/>
                        </w:rPr>
                        <w:t>. informacija apie būtinumą savivaldybės infrastruktūros plėtrai paimti žemę visuomenės poreikiams (teikiama, kai savivaldybės infrastruktūros plėtrai reikia paimti žemę visuomenės poreikiams pagal specialiojo teritorijų planavimo dokumentus ar detaliuosius planus);</w:t>
                      </w:r>
                    </w:p>
                  </w:sdtContent>
                </w:sdt>
                <w:sdt>
                  <w:sdtPr>
                    <w:alias w:val="3.4 pp."/>
                    <w:tag w:val="part_3ff063b49c1e42bfa25a902ef7e8c977"/>
                    <w:lock w:val="sdtLocked"/>
                    <w:richText/>
                  </w:sdtPr>
                  <w:sdtContent>
                    <w:p>
                      <w:pPr>
                        <w:tabs>
                          <w:tab w:val="left" w:pos="993"/>
                          <w:tab w:val="left" w:pos="1134"/>
                        </w:tabs>
                        <w:spacing w:line="276" w:lineRule="auto"/>
                        <w:ind w:firstLine="567"/>
                        <w:jc w:val="both"/>
                        <w:rPr>
                          <w:rFonts w:eastAsia="Calibri"/>
                          <w:szCs w:val="24"/>
                        </w:rPr>
                      </w:pPr>
                      <w:sdt>
                        <w:sdtPr>
                          <w:alias w:val="Numeris"/>
                          <w:tag w:val="nr_3ff063b49c1e42bfa25a902ef7e8c977"/>
                          <w:lock w:val="sdtLocked"/>
                          <w:richText/>
                        </w:sdtPr>
                        <w:sdtContent>
                          <w:r>
                            <w:rPr>
                              <w:szCs w:val="24"/>
                            </w:rPr>
                            <w:t>3.4</w:t>
                          </w:r>
                        </w:sdtContent>
                      </w:sdt>
                      <w:r>
                        <w:rPr>
                          <w:szCs w:val="24"/>
                        </w:rPr>
                        <w:t xml:space="preserve">. </w:t>
                      </w:r>
                      <w:r>
                        <w:rPr>
                          <w:rFonts w:eastAsia="Calibri"/>
                          <w:szCs w:val="24"/>
                        </w:rPr>
                        <w:t>mokėtojo</w:t>
                      </w:r>
                      <w:r>
                        <w:rPr>
                          <w:szCs w:val="24"/>
                        </w:rPr>
                        <w:t xml:space="preserve"> pasirinktas </w:t>
                      </w:r>
                      <w:r>
                        <w:rPr>
                          <w:rFonts w:eastAsia="Calibri"/>
                          <w:szCs w:val="24"/>
                        </w:rPr>
                        <w:t xml:space="preserve">informavimo apie prašymo priėmimą, nagrinėjimą ir sprendimo priėmimą būdas (siunčiant paštu prašyme nurodytu adresu ar elektroniniu paštu) (toliau – mokėtojo pasirinktas </w:t>
                      </w:r>
                      <w:r>
                        <w:rPr>
                          <w:szCs w:val="24"/>
                        </w:rPr>
                        <w:t>informavimo būdas)</w:t>
                      </w:r>
                      <w:r>
                        <w:rPr>
                          <w:rFonts w:eastAsia="Calibri"/>
                          <w:szCs w:val="24"/>
                        </w:rPr>
                        <w:t>;</w:t>
                      </w:r>
                    </w:p>
                  </w:sdtContent>
                </w:sdt>
                <w:sdt>
                  <w:sdtPr>
                    <w:alias w:val="3.5 pp."/>
                    <w:tag w:val="part_27ec5437e2fd4136ba5b410bdff51153"/>
                    <w:lock w:val="sdtLocked"/>
                    <w:richText/>
                  </w:sdtPr>
                  <w:sdtContent>
                    <w:p>
                      <w:pPr>
                        <w:tabs>
                          <w:tab w:val="left" w:pos="993"/>
                        </w:tabs>
                        <w:spacing w:line="276" w:lineRule="auto"/>
                        <w:ind w:firstLine="567"/>
                        <w:jc w:val="both"/>
                        <w:rPr>
                          <w:color w:val="000000"/>
                          <w:szCs w:val="24"/>
                        </w:rPr>
                      </w:pPr>
                      <w:sdt>
                        <w:sdtPr>
                          <w:alias w:val="Numeris"/>
                          <w:tag w:val="nr_27ec5437e2fd4136ba5b410bdff51153"/>
                          <w:lock w:val="sdtLocked"/>
                          <w:richText/>
                        </w:sdtPr>
                        <w:sdtContent>
                          <w:r>
                            <w:rPr>
                              <w:rFonts w:eastAsia="Calibri"/>
                              <w:szCs w:val="24"/>
                            </w:rPr>
                            <w:t>3.5</w:t>
                          </w:r>
                        </w:sdtContent>
                      </w:sdt>
                      <w:r>
                        <w:rPr>
                          <w:rFonts w:eastAsia="Calibri"/>
                          <w:szCs w:val="24"/>
                        </w:rPr>
                        <w:t>. n</w:t>
                      </w:r>
                      <w:r>
                        <w:rPr>
                          <w:szCs w:val="24"/>
                        </w:rPr>
                        <w:t>uoroda į statinio projektą, kai statinio projektas patalpintas Lietuvos Respublikos statybos leidimų ir statybos valstybinės priežiūros informacinėje sistemoje „Infostatyba“</w:t>
                      </w:r>
                      <w:r>
                        <w:rPr>
                          <w:color w:val="000000"/>
                          <w:szCs w:val="24"/>
                        </w:rPr>
                        <w:t>;</w:t>
                      </w:r>
                    </w:p>
                  </w:sdtContent>
                </w:sdt>
                <w:sdt>
                  <w:sdtPr>
                    <w:alias w:val="3.6 pp."/>
                    <w:tag w:val="part_01bee8ac482e4fc080755b4bd6744e3c"/>
                    <w:lock w:val="sdtLocked"/>
                    <w:richText/>
                  </w:sdtPr>
                  <w:sdtContent>
                    <w:p>
                      <w:pPr>
                        <w:tabs>
                          <w:tab w:val="left" w:pos="993"/>
                        </w:tabs>
                        <w:spacing w:line="276" w:lineRule="auto"/>
                        <w:ind w:firstLine="567"/>
                        <w:jc w:val="both"/>
                        <w:rPr>
                          <w:rFonts w:eastAsia="Calibri"/>
                          <w:szCs w:val="22"/>
                        </w:rPr>
                      </w:pPr>
                      <w:sdt>
                        <w:sdtPr>
                          <w:alias w:val="Numeris"/>
                          <w:tag w:val="nr_01bee8ac482e4fc080755b4bd6744e3c"/>
                          <w:lock w:val="sdtLocked"/>
                          <w:richText/>
                        </w:sdtPr>
                        <w:sdtContent>
                          <w:r>
                            <w:rPr>
                              <w:color w:val="000000"/>
                              <w:szCs w:val="24"/>
                              <w:bdr w:val="none" w:sz="0" w:space="0" w:color="auto" w:frame="1"/>
                              <w:shd w:val="clear" w:color="auto" w:fill="FFFFFF"/>
                            </w:rPr>
                            <w:t>3.6</w:t>
                          </w:r>
                        </w:sdtContent>
                      </w:sdt>
                      <w:r>
                        <w:rPr>
                          <w:color w:val="000000"/>
                          <w:szCs w:val="24"/>
                          <w:bdr w:val="none" w:sz="0" w:space="0" w:color="auto" w:frame="1"/>
                          <w:shd w:val="clear" w:color="auto" w:fill="FFFFFF"/>
                        </w:rPr>
                        <w:t>.</w:t>
                      </w:r>
                      <w:r>
                        <w:rPr>
                          <w:rFonts w:eastAsia="Calibri"/>
                        </w:rPr>
                        <w:t xml:space="preserve"> nuoroda į teritorijų planavimo dokumento, kuriame numatomas žemės paėmimas visuomenės poreikiams, registraciją </w:t>
                      </w:r>
                      <w:r>
                        <w:rPr>
                          <w:szCs w:val="24"/>
                        </w:rPr>
                        <w:t xml:space="preserve">Lietuvos Respublikos teritorijų planavimo dokumentų registre </w:t>
                      </w:r>
                      <w:r>
                        <w:rPr>
                          <w:rFonts w:eastAsia="Calibri"/>
                        </w:rPr>
                        <w:t xml:space="preserve">(toliau – TPDR); </w:t>
                      </w:r>
                    </w:p>
                  </w:sdtContent>
                </w:sdt>
                <w:sdt>
                  <w:sdtPr>
                    <w:alias w:val="3.7 pp."/>
                    <w:tag w:val="part_ad8b9432e7414bcdbce71423787f5021"/>
                    <w:lock w:val="sdtLocked"/>
                    <w:richText/>
                  </w:sdtPr>
                  <w:sdtContent>
                    <w:p>
                      <w:pPr>
                        <w:tabs>
                          <w:tab w:val="left" w:pos="993"/>
                          <w:tab w:val="left" w:pos="1134"/>
                        </w:tabs>
                        <w:spacing w:line="276" w:lineRule="auto"/>
                        <w:ind w:firstLine="567"/>
                        <w:jc w:val="both"/>
                        <w:rPr>
                          <w:rFonts w:eastAsia="Calibri"/>
                        </w:rPr>
                      </w:pPr>
                      <w:sdt>
                        <w:sdtPr>
                          <w:alias w:val="Numeris"/>
                          <w:tag w:val="nr_ad8b9432e7414bcdbce71423787f5021"/>
                          <w:lock w:val="sdtLocked"/>
                          <w:richText/>
                        </w:sdtPr>
                        <w:sdtContent>
                          <w:r>
                            <w:rPr>
                              <w:rFonts w:eastAsia="Calibri"/>
                            </w:rPr>
                            <w:t>3.7</w:t>
                          </w:r>
                        </w:sdtContent>
                      </w:sdt>
                      <w:r>
                        <w:rPr>
                          <w:rFonts w:eastAsia="Calibri"/>
                        </w:rPr>
                        <w:t xml:space="preserve">. nuoroda į teritorijų planavimo dokumento, kuriuo suplanuota savivaldybės infrastruktūra,  </w:t>
                      </w:r>
                      <w:r>
                        <w:rPr>
                          <w:rFonts w:eastAsia="Calibri"/>
                          <w:szCs w:val="24"/>
                        </w:rPr>
                        <w:t xml:space="preserve">registraciją </w:t>
                      </w:r>
                      <w:r>
                        <w:rPr>
                          <w:rFonts w:eastAsia="Calibri"/>
                        </w:rPr>
                        <w:t>TPDR;</w:t>
                      </w:r>
                    </w:p>
                  </w:sdtContent>
                </w:sdt>
                <w:sdt>
                  <w:sdtPr>
                    <w:alias w:val="3.8 pp."/>
                    <w:tag w:val="part_5b0f6cd6ab1448ae8b715cc14352a892"/>
                    <w:lock w:val="sdtLocked"/>
                    <w:richText/>
                  </w:sdtPr>
                  <w:sdtContent>
                    <w:p>
                      <w:pPr>
                        <w:tabs>
                          <w:tab w:val="left" w:pos="993"/>
                          <w:tab w:val="left" w:pos="1134"/>
                        </w:tabs>
                        <w:spacing w:line="276" w:lineRule="auto"/>
                        <w:ind w:firstLine="567"/>
                        <w:jc w:val="both"/>
                        <w:rPr>
                          <w:rFonts w:eastAsia="Calibri"/>
                          <w:szCs w:val="24"/>
                        </w:rPr>
                      </w:pPr>
                      <w:sdt>
                        <w:sdtPr>
                          <w:alias w:val="Numeris"/>
                          <w:tag w:val="nr_5b0f6cd6ab1448ae8b715cc14352a892"/>
                          <w:lock w:val="sdtLocked"/>
                          <w:richText/>
                        </w:sdtPr>
                        <w:sdtContent>
                          <w:r>
                            <w:rPr>
                              <w:rFonts w:eastAsia="Calibri"/>
                              <w:szCs w:val="24"/>
                            </w:rPr>
                            <w:t>3.8</w:t>
                          </w:r>
                        </w:sdtContent>
                      </w:sdt>
                      <w:r>
                        <w:rPr>
                          <w:rFonts w:eastAsia="Calibri"/>
                          <w:szCs w:val="24"/>
                        </w:rPr>
                        <w:t xml:space="preserve">. kita informacija, </w:t>
                      </w:r>
                      <w:r>
                        <w:rPr>
                          <w:rFonts w:eastAsia="Calibri"/>
                          <w:iCs/>
                          <w:szCs w:val="24"/>
                        </w:rPr>
                        <w:t>kuri, mokėtojo nuomone, gali turėti reikšmės įmokos dydžio apskaičiavimui.</w:t>
                      </w:r>
                    </w:p>
                  </w:sdtContent>
                </w:sdt>
              </w:sdtContent>
            </w:sdt>
            <w:sdt>
              <w:sdtPr>
                <w:alias w:val="4 p."/>
                <w:tag w:val="part_bdf39e88ff8d4facbcc5898c0acc3f85"/>
                <w:lock w:val="sdtLocked"/>
                <w:richText/>
              </w:sdtPr>
              <w:sdtContent>
                <w:p>
                  <w:pPr>
                    <w:tabs>
                      <w:tab w:val="left" w:pos="993"/>
                    </w:tabs>
                    <w:spacing w:line="276" w:lineRule="auto"/>
                    <w:ind w:firstLine="567"/>
                    <w:jc w:val="both"/>
                    <w:rPr>
                      <w:rFonts w:eastAsia="Calibri"/>
                      <w:szCs w:val="24"/>
                    </w:rPr>
                  </w:pPr>
                  <w:sdt>
                    <w:sdtPr>
                      <w:alias w:val="Numeris"/>
                      <w:tag w:val="nr_bdf39e88ff8d4facbcc5898c0acc3f85"/>
                      <w:lock w:val="sdtLocked"/>
                      <w:richText/>
                    </w:sdtPr>
                    <w:sdtContent>
                      <w:r>
                        <w:rPr>
                          <w:rFonts w:eastAsia="Calibri"/>
                          <w:szCs w:val="24"/>
                        </w:rPr>
                        <w:t>4</w:t>
                      </w:r>
                    </w:sdtContent>
                  </w:sdt>
                  <w:r>
                    <w:rPr>
                      <w:rFonts w:eastAsia="Calibri"/>
                      <w:szCs w:val="24"/>
                    </w:rPr>
                    <w:t>. Su prašymu pateikiami dokumentai ir informacija:</w:t>
                  </w:r>
                </w:p>
                <w:sdt>
                  <w:sdtPr>
                    <w:alias w:val="4.1 pp."/>
                    <w:tag w:val="part_21ba93c482a043139a25fa18313d7df3"/>
                    <w:lock w:val="sdtLocked"/>
                    <w:richText/>
                  </w:sdtPr>
                  <w:sdtContent>
                    <w:p>
                      <w:pPr>
                        <w:spacing w:line="276" w:lineRule="auto"/>
                        <w:ind w:firstLine="567"/>
                        <w:jc w:val="both"/>
                        <w:rPr>
                          <w:szCs w:val="24"/>
                          <w:shd w:val="clear" w:color="auto" w:fill="FFFFFF"/>
                        </w:rPr>
                      </w:pPr>
                      <w:sdt>
                        <w:sdtPr>
                          <w:alias w:val="Numeris"/>
                          <w:tag w:val="nr_21ba93c482a043139a25fa18313d7df3"/>
                          <w:lock w:val="sdtLocked"/>
                          <w:richText/>
                        </w:sdtPr>
                        <w:sdtContent>
                          <w:r>
                            <w:rPr>
                              <w:szCs w:val="24"/>
                              <w:shd w:val="clear" w:color="auto" w:fill="FFFFFF"/>
                            </w:rPr>
                            <w:t>4.1</w:t>
                          </w:r>
                        </w:sdtContent>
                      </w:sdt>
                      <w:r>
                        <w:rPr>
                          <w:szCs w:val="24"/>
                          <w:shd w:val="clear" w:color="auto" w:fill="FFFFFF"/>
                        </w:rPr>
                        <w:t>. asmens tapatybę patvirtinantis dokumentas (pasas arba asmens tapatybės kortelė), kai prašymą tiesiogiai teikia fizinis asmuo (</w:t>
                      </w:r>
                      <w:r>
                        <w:rPr>
                          <w:szCs w:val="24"/>
                          <w:bdr w:val="none" w:sz="0" w:space="0" w:color="auto" w:frame="1"/>
                        </w:rPr>
                        <w:t xml:space="preserve">asmens tapatybę patvirtinančio dokumento kopiją padaro </w:t>
                      </w:r>
                      <w:r>
                        <w:rPr>
                          <w:szCs w:val="24"/>
                          <w:shd w:val="clear" w:color="auto" w:fill="FFFFFF"/>
                        </w:rPr>
                        <w:t xml:space="preserve">prašymą priimantis asmuo) arba teisės aktų nustatyta tvarka patvirtinta dokumento kopija (kai prašymas teikiamas paštu, per kurjerius ar elektroniniu paštu); </w:t>
                      </w:r>
                    </w:p>
                  </w:sdtContent>
                </w:sdt>
                <w:sdt>
                  <w:sdtPr>
                    <w:alias w:val="4.2 pp."/>
                    <w:tag w:val="part_0bf356ab9b754fb6a04835d9cf023cb7"/>
                    <w:lock w:val="sdtLocked"/>
                    <w:richText/>
                  </w:sdtPr>
                  <w:sdtContent>
                    <w:p>
                      <w:pPr>
                        <w:shd w:val="clear" w:color="auto" w:fill="FFFFFF"/>
                        <w:spacing w:line="276" w:lineRule="auto"/>
                        <w:ind w:firstLine="567"/>
                        <w:jc w:val="both"/>
                        <w:rPr>
                          <w:rFonts w:ascii="Calibri" w:hAnsi="Calibri" w:cs="Calibri"/>
                          <w:strike/>
                          <w:sz w:val="22"/>
                          <w:szCs w:val="22"/>
                        </w:rPr>
                      </w:pPr>
                      <w:sdt>
                        <w:sdtPr>
                          <w:alias w:val="Numeris"/>
                          <w:tag w:val="nr_0bf356ab9b754fb6a04835d9cf023cb7"/>
                          <w:lock w:val="sdtLocked"/>
                          <w:richText/>
                        </w:sdtPr>
                        <w:sdtContent>
                          <w:r>
                            <w:rPr>
                              <w:rFonts w:eastAsia="Calibri"/>
                              <w:szCs w:val="24"/>
                            </w:rPr>
                            <w:t>4.2</w:t>
                          </w:r>
                        </w:sdtContent>
                      </w:sdt>
                      <w:r>
                        <w:rPr>
                          <w:rFonts w:eastAsia="Calibri"/>
                          <w:szCs w:val="24"/>
                        </w:rPr>
                        <w:t xml:space="preserve">. įgaliojimas ar kitas atstovavimą patvirtinantis dokumentas, jeigu prašymą teikia mokėtoją atstovaujantis asmuo, ir atstovo tapatybę patvirtinantis dokumentas,  kaip numatyta Metodikos 4.1 papunktyje;  </w:t>
                      </w:r>
                    </w:p>
                  </w:sdtContent>
                </w:sdt>
                <w:sdt>
                  <w:sdtPr>
                    <w:alias w:val="4.3 pp."/>
                    <w:tag w:val="part_eb73fb5fe4ac47e2ba2266e87ec6768f"/>
                    <w:lock w:val="sdtLocked"/>
                    <w:richText/>
                  </w:sdtPr>
                  <w:sdtContent>
                    <w:p>
                      <w:pPr>
                        <w:tabs>
                          <w:tab w:val="left" w:pos="993"/>
                        </w:tabs>
                        <w:spacing w:line="276" w:lineRule="auto"/>
                        <w:ind w:firstLine="567"/>
                        <w:jc w:val="both"/>
                        <w:rPr>
                          <w:color w:val="000000"/>
                          <w:szCs w:val="24"/>
                        </w:rPr>
                      </w:pPr>
                      <w:sdt>
                        <w:sdtPr>
                          <w:alias w:val="Numeris"/>
                          <w:tag w:val="nr_eb73fb5fe4ac47e2ba2266e87ec6768f"/>
                          <w:lock w:val="sdtLocked"/>
                          <w:richText/>
                        </w:sdtPr>
                        <w:sdtContent>
                          <w:r>
                            <w:rPr>
                              <w:szCs w:val="24"/>
                            </w:rPr>
                            <w:t>4.3</w:t>
                          </w:r>
                        </w:sdtContent>
                      </w:sdt>
                      <w:r>
                        <w:rPr>
                          <w:szCs w:val="24"/>
                        </w:rPr>
                        <w:t>.</w:t>
                      </w:r>
                      <w:r>
                        <w:rPr>
                          <w:rFonts w:eastAsia="Calibri"/>
                          <w:szCs w:val="24"/>
                        </w:rPr>
                        <w:t xml:space="preserve"> statinio projekto bendroji dalis, kai pagal Statybos įstatymą privaloma gauti statybą leidžiantį dokumentą (kai</w:t>
                      </w:r>
                      <w:r>
                        <w:rPr>
                          <w:color w:val="000000"/>
                          <w:szCs w:val="24"/>
                          <w:bdr w:val="none" w:sz="0" w:space="0" w:color="auto" w:frame="1"/>
                          <w:shd w:val="clear" w:color="auto" w:fill="FFFFFF"/>
                        </w:rPr>
                        <w:t xml:space="preserve"> </w:t>
                      </w:r>
                      <w:r>
                        <w:rPr>
                          <w:rFonts w:eastAsia="Calibri"/>
                          <w:szCs w:val="24"/>
                        </w:rPr>
                        <w:t xml:space="preserve">statinio projektas nepatalpintas </w:t>
                      </w:r>
                      <w:r>
                        <w:rPr>
                          <w:color w:val="000000"/>
                          <w:szCs w:val="24"/>
                        </w:rPr>
                        <w:t>Lietuvos Respublikos statybos leidimų ir statybos valstybinės priežiūros informacinėje sistemoje „Infostatyba“);</w:t>
                      </w:r>
                    </w:p>
                  </w:sdtContent>
                </w:sdt>
                <w:sdt>
                  <w:sdtPr>
                    <w:alias w:val="4.4 pp."/>
                    <w:tag w:val="part_f8db44ed2fd74bb0ad0a580bf334efe2"/>
                    <w:lock w:val="sdtLocked"/>
                    <w:richText/>
                  </w:sdtPr>
                  <w:sdtContent>
                    <w:p>
                      <w:pPr>
                        <w:tabs>
                          <w:tab w:val="left" w:pos="993"/>
                          <w:tab w:val="left" w:pos="1134"/>
                        </w:tabs>
                        <w:spacing w:line="276" w:lineRule="auto"/>
                        <w:ind w:firstLine="567"/>
                        <w:jc w:val="both"/>
                        <w:rPr>
                          <w:rFonts w:eastAsia="Calibri"/>
                          <w:szCs w:val="22"/>
                        </w:rPr>
                      </w:pPr>
                      <w:sdt>
                        <w:sdtPr>
                          <w:alias w:val="Numeris"/>
                          <w:tag w:val="nr_f8db44ed2fd74bb0ad0a580bf334efe2"/>
                          <w:lock w:val="sdtLocked"/>
                          <w:richText/>
                        </w:sdtPr>
                        <w:sdtContent>
                          <w:r>
                            <w:rPr>
                              <w:rFonts w:eastAsia="Calibri"/>
                            </w:rPr>
                            <w:t>4.4</w:t>
                          </w:r>
                        </w:sdtContent>
                      </w:sdt>
                      <w:r>
                        <w:rPr>
                          <w:rFonts w:eastAsia="Calibri"/>
                        </w:rPr>
                        <w:t>. situacijos schema (suvestinis dangų, tinklų ir kt. infrastruktūros planas ar planai), kai teritorijų planavimo dokumento sprendiniai nekonkretūs ir trūksta išsamumo šios infrastruktūros plėtrai įvertinti;</w:t>
                      </w:r>
                    </w:p>
                  </w:sdtContent>
                </w:sdt>
                <w:sdt>
                  <w:sdtPr>
                    <w:alias w:val="4.5 pp."/>
                    <w:tag w:val="part_3e4a1c7929734d8aab05ede87850146e"/>
                    <w:lock w:val="sdtLocked"/>
                    <w:richText/>
                  </w:sdtPr>
                  <w:sdtContent>
                    <w:p>
                      <w:pPr>
                        <w:tabs>
                          <w:tab w:val="left" w:pos="993"/>
                        </w:tabs>
                        <w:spacing w:line="276" w:lineRule="auto"/>
                        <w:ind w:firstLine="567"/>
                        <w:jc w:val="both"/>
                        <w:rPr>
                          <w:szCs w:val="24"/>
                        </w:rPr>
                      </w:pPr>
                      <w:sdt>
                        <w:sdtPr>
                          <w:alias w:val="Numeris"/>
                          <w:tag w:val="nr_3e4a1c7929734d8aab05ede87850146e"/>
                          <w:lock w:val="sdtLocked"/>
                          <w:richText/>
                        </w:sdtPr>
                        <w:sdtContent>
                          <w:r>
                            <w:rPr>
                              <w:szCs w:val="24"/>
                            </w:rPr>
                            <w:t>4.5</w:t>
                          </w:r>
                        </w:sdtContent>
                      </w:sdt>
                      <w:r>
                        <w:rPr>
                          <w:szCs w:val="24"/>
                        </w:rPr>
                        <w:t xml:space="preserve">. kai mokėtojas kreipiasi dėl įmokos apskaičiavimo dėl statinio statybos ar rekonstravimo žemės sklype, kuris nuosavybės teise priklauso keliems bendraturčiams, ar numatomas rekonstruoti statinys priklauso keliems bendraturčiams, pateikiamas bendraturčių sutikimas atlikti tokius darbus arba pateikiami dokumentai, patvirtinantys žemės sklypo ir (ar) kito nekilnojamojo daikto eksploatavimo ir (ar) </w:t>
                      </w:r>
                      <w:r>
                        <w:rPr>
                          <w:bCs/>
                          <w:color w:val="000000"/>
                          <w:szCs w:val="24"/>
                        </w:rPr>
                        <w:t>naudojimo tvarką</w:t>
                      </w:r>
                      <w:r>
                        <w:rPr>
                          <w:szCs w:val="24"/>
                        </w:rPr>
                        <w:t>, kai mokėtojas savivaldybės infrastruktūros plėtrą planuoja tik jam priklausančioje ar priskirtoje žemės sklypo ir (ar) kito nekilnojamojo daikto dalyje;</w:t>
                      </w:r>
                    </w:p>
                  </w:sdtContent>
                </w:sdt>
                <w:sdt>
                  <w:sdtPr>
                    <w:alias w:val="4.6 pp."/>
                    <w:tag w:val="part_9c9bd467bc984548a23bd6a234cfee47"/>
                    <w:lock w:val="sdtLocked"/>
                    <w:richText/>
                  </w:sdtPr>
                  <w:sdtContent>
                    <w:p>
                      <w:pPr>
                        <w:tabs>
                          <w:tab w:val="left" w:pos="993"/>
                        </w:tabs>
                        <w:spacing w:line="276" w:lineRule="auto"/>
                        <w:ind w:firstLine="567"/>
                        <w:jc w:val="both"/>
                        <w:rPr>
                          <w:szCs w:val="24"/>
                        </w:rPr>
                      </w:pPr>
                      <w:sdt>
                        <w:sdtPr>
                          <w:alias w:val="Numeris"/>
                          <w:tag w:val="nr_9c9bd467bc984548a23bd6a234cfee47"/>
                          <w:lock w:val="sdtLocked"/>
                          <w:richText/>
                        </w:sdtPr>
                        <w:sdtContent>
                          <w:r>
                            <w:rPr>
                              <w:szCs w:val="24"/>
                            </w:rPr>
                            <w:t>4.6</w:t>
                          </w:r>
                        </w:sdtContent>
                      </w:sdt>
                      <w:r>
                        <w:rPr>
                          <w:szCs w:val="24"/>
                        </w:rPr>
                        <w:t xml:space="preserve">. žemės sklypo savininko (patikėtinio) rašytinis sutikimas vykdyti statybos darbus, kai mokėtojas nėra šio žemės sklypo, kuriame numatoma </w:t>
                      </w:r>
                      <w:r>
                        <w:rPr>
                          <w:rFonts w:eastAsia="Calibri"/>
                          <w:szCs w:val="24"/>
                        </w:rPr>
                        <w:t>vykdyti savivaldybės infrastruktūros plėtrą</w:t>
                      </w:r>
                      <w:r>
                        <w:rPr>
                          <w:szCs w:val="24"/>
                        </w:rPr>
                        <w:t>, savininkas, ar valstybinės žemės patikėtinio rašytinis sutikimas vykdyti statybos darbus, kai šią plėtrą numatoma vykdyti valstybinėje žemėje, kurioje nesuformuoti žemės sklypai.</w:t>
                      </w:r>
                    </w:p>
                  </w:sdtContent>
                </w:sdt>
              </w:sdtContent>
            </w:sdt>
            <w:sdt>
              <w:sdtPr>
                <w:alias w:val="5 p."/>
                <w:tag w:val="part_4ff04d408e6f41079cd82b90f758aef3"/>
                <w:lock w:val="sdtLocked"/>
                <w:richText/>
              </w:sdtPr>
              <w:sdtContent>
                <w:p>
                  <w:pPr>
                    <w:tabs>
                      <w:tab w:val="left" w:pos="993"/>
                    </w:tabs>
                    <w:spacing w:line="276" w:lineRule="auto"/>
                    <w:ind w:firstLine="567"/>
                    <w:jc w:val="both"/>
                    <w:rPr>
                      <w:szCs w:val="24"/>
                    </w:rPr>
                  </w:pPr>
                  <w:sdt>
                    <w:sdtPr>
                      <w:alias w:val="Numeris"/>
                      <w:tag w:val="nr_4ff04d408e6f41079cd82b90f758aef3"/>
                      <w:lock w:val="sdtLocked"/>
                      <w:richText/>
                    </w:sdtPr>
                    <w:sdtContent>
                      <w:r>
                        <w:rPr>
                          <w:szCs w:val="24"/>
                        </w:rPr>
                        <w:t>5</w:t>
                      </w:r>
                    </w:sdtContent>
                  </w:sdt>
                  <w:r>
                    <w:rPr>
                      <w:szCs w:val="24"/>
                    </w:rPr>
                    <w:t xml:space="preserve">. Organizatorius įvertina, ar gautas </w:t>
                  </w:r>
                  <w:r>
                    <w:rPr>
                      <w:color w:val="000000"/>
                      <w:szCs w:val="24"/>
                    </w:rPr>
                    <w:t xml:space="preserve">prašymas, dokumentai ir informacija </w:t>
                  </w:r>
                  <w:r>
                    <w:rPr>
                      <w:szCs w:val="24"/>
                    </w:rPr>
                    <w:t xml:space="preserve">atitinka Metodikos 3 ir 4 punktuose nustatytus reikalavimus. </w:t>
                  </w:r>
                </w:p>
              </w:sdtContent>
            </w:sdt>
            <w:sdt>
              <w:sdtPr>
                <w:alias w:val="6 p."/>
                <w:tag w:val="part_5e216347ac884631bb23b239cd269fc9"/>
                <w:lock w:val="sdtLocked"/>
                <w:richText/>
              </w:sdtPr>
              <w:sdtContent>
                <w:p>
                  <w:pPr>
                    <w:spacing w:line="276" w:lineRule="auto"/>
                    <w:ind w:firstLine="567"/>
                    <w:jc w:val="both"/>
                    <w:rPr>
                      <w:szCs w:val="24"/>
                    </w:rPr>
                  </w:pPr>
                  <w:sdt>
                    <w:sdtPr>
                      <w:alias w:val="Numeris"/>
                      <w:tag w:val="nr_5e216347ac884631bb23b239cd269fc9"/>
                      <w:lock w:val="sdtLocked"/>
                      <w:richText/>
                    </w:sdtPr>
                    <w:sdtContent>
                      <w:r>
                        <w:rPr>
                          <w:rFonts w:eastAsia="Calibri"/>
                          <w:szCs w:val="24"/>
                        </w:rPr>
                        <w:t>6</w:t>
                      </w:r>
                    </w:sdtContent>
                  </w:sdt>
                  <w:r>
                    <w:rPr>
                      <w:rFonts w:eastAsia="Calibri"/>
                      <w:szCs w:val="24"/>
                    </w:rPr>
                    <w:t>. Kai</w:t>
                  </w:r>
                  <w:r>
                    <w:rPr>
                      <w:szCs w:val="24"/>
                    </w:rPr>
                    <w:t xml:space="preserve"> prašymas, kiti</w:t>
                  </w:r>
                  <w:r>
                    <w:rPr>
                      <w:color w:val="000000"/>
                      <w:szCs w:val="24"/>
                    </w:rPr>
                    <w:t xml:space="preserve"> dokumentai ir informacija </w:t>
                  </w:r>
                  <w:r>
                    <w:rPr>
                      <w:szCs w:val="24"/>
                    </w:rPr>
                    <w:t xml:space="preserve">atitinka Metodikos 3 ir 4 punktų reikalavimus, organizatorius per 20 darbo dienų nuo jo gavimo dienos apskaičiuoja įmoką ir </w:t>
                  </w:r>
                  <w:r>
                    <w:rPr>
                      <w:iCs/>
                      <w:szCs w:val="24"/>
                    </w:rPr>
                    <w:t>informuoja jį prašyme nurodytu būdu</w:t>
                  </w:r>
                  <w:r>
                    <w:rPr>
                      <w:szCs w:val="24"/>
                    </w:rPr>
                    <w:t>, pateikdamas Metodikos 2 priede nustatytos formos Įmokos apskaičiavimo aktą. Dėl objektyvių, nuo organizatoriaus valios nepriklausančių priežasčių, kurios objektyviai kliudė per 20 darbo dienų nuo prašymo gavimo organizatoriui apskaičiuoti įmokos dydį, organizatorius gali šį terminą pratęsti, bet ne ilgiau kaip 20 darbo dienų, apie tai mokėtojo</w:t>
                  </w:r>
                  <w:r>
                    <w:rPr>
                      <w:color w:val="FF0000"/>
                      <w:szCs w:val="24"/>
                    </w:rPr>
                    <w:t xml:space="preserve"> </w:t>
                  </w:r>
                  <w:r>
                    <w:rPr>
                      <w:szCs w:val="24"/>
                    </w:rPr>
                    <w:t>pasirinktu informavimo būdu per 5 darbo dienas nuo sprendimo pratęsti terminą priėmimo dienos informuodamas mokėtoją ir nurodydamas termino pratęsimo priežastis.</w:t>
                  </w:r>
                </w:p>
              </w:sdtContent>
            </w:sdt>
            <w:sdt>
              <w:sdtPr>
                <w:alias w:val="7 p."/>
                <w:tag w:val="part_9258af601862490c9347aa7634dd297d"/>
                <w:lock w:val="sdtLocked"/>
                <w:richText/>
              </w:sdtPr>
              <w:sdtContent>
                <w:p>
                  <w:pPr>
                    <w:tabs>
                      <w:tab w:val="left" w:pos="993"/>
                    </w:tabs>
                    <w:spacing w:line="276" w:lineRule="auto"/>
                    <w:ind w:firstLine="567"/>
                    <w:jc w:val="both"/>
                    <w:rPr>
                      <w:szCs w:val="24"/>
                    </w:rPr>
                  </w:pPr>
                  <w:sdt>
                    <w:sdtPr>
                      <w:alias w:val="Numeris"/>
                      <w:tag w:val="nr_9258af601862490c9347aa7634dd297d"/>
                      <w:lock w:val="sdtLocked"/>
                      <w:richText/>
                    </w:sdtPr>
                    <w:sdtContent>
                      <w:r>
                        <w:rPr>
                          <w:szCs w:val="24"/>
                        </w:rPr>
                        <w:t>7</w:t>
                      </w:r>
                    </w:sdtContent>
                  </w:sdt>
                  <w:r>
                    <w:rPr>
                      <w:szCs w:val="24"/>
                    </w:rPr>
                    <w:t xml:space="preserve">. Kai prašymas, kiti dokumentai ar informacija neatitinka Metodikoje nustatytų reikalavimų ar nepakanka duomenų įmokai apskaičiuoti, organizatorius per 5 darbo dienas nuo prašymo gavimo dienos informuoja apie tai mokėtoją jo pasirinktu informavimo būdu, nustatydamas ne trumpesnį kaip 10 darbo dienų nuo informavimo dienos terminą trūkumams pašalinti ir (ar) papildomai informacijai pateikti. </w:t>
                  </w:r>
                  <w:r>
                    <w:rPr>
                      <w:rFonts w:eastAsia="Calibri"/>
                    </w:rPr>
                    <w:t xml:space="preserve">Kai </w:t>
                  </w:r>
                  <w:r>
                    <w:rPr>
                      <w:szCs w:val="24"/>
                    </w:rPr>
                    <w:t xml:space="preserve">mokėtojas per nustatytą terminą pašalina trūkumus ir (ar) pateikia papildomą informaciją, laikoma, kad prašymas pateiktas dieną, kai gautas pirmasis prašymas. </w:t>
                  </w:r>
                  <w:r>
                    <w:rPr>
                      <w:rFonts w:eastAsia="Calibri"/>
                    </w:rPr>
                    <w:t>Kai</w:t>
                  </w:r>
                  <w:r>
                    <w:rPr>
                      <w:szCs w:val="24"/>
                    </w:rPr>
                    <w:t xml:space="preserve"> </w:t>
                  </w:r>
                  <w:r>
                    <w:rPr>
                      <w:rFonts w:eastAsia="Calibri"/>
                      <w:szCs w:val="24"/>
                    </w:rPr>
                    <w:t xml:space="preserve">trūkumų neįmanoma ištaisyti, jie </w:t>
                  </w:r>
                  <w:r>
                    <w:rPr>
                      <w:szCs w:val="24"/>
                    </w:rPr>
                    <w:t>per nustatytą terminą nepašalinami ar nepateikiama prašoma papildoma informacija, prašymas nenagrinėjamas ir apie tai, ne vėliau kaip per 5 darbo dienas nuo termino,</w:t>
                  </w:r>
                  <w:r>
                    <w:rPr>
                      <w:szCs w:val="24"/>
                      <w:lang w:eastAsia="en-GB"/>
                    </w:rPr>
                    <w:t xml:space="preserve"> skirto mokėtojui ištaisyti trūkumus,</w:t>
                  </w:r>
                  <w:r>
                    <w:rPr>
                      <w:szCs w:val="24"/>
                    </w:rPr>
                    <w:t xml:space="preserve"> pabaigos, mokėtojo pasirinktu informavimo būdu informuojamas mokėtojas. </w:t>
                  </w:r>
                </w:p>
                <w:p>
                  <w:pPr>
                    <w:tabs>
                      <w:tab w:val="left" w:pos="993"/>
                    </w:tabs>
                    <w:spacing w:line="276" w:lineRule="auto"/>
                    <w:jc w:val="both"/>
                    <w:rPr>
                      <w:rFonts w:eastAsia="Calibri"/>
                      <w:szCs w:val="22"/>
                    </w:rPr>
                  </w:pPr>
                </w:p>
              </w:sdtContent>
            </w:sdt>
          </w:sdtContent>
        </w:sdt>
        <w:sdt>
          <w:sdtPr>
            <w:alias w:val="skyrius"/>
            <w:tag w:val="part_030291f7f5da4d80ae853426042a8ca4"/>
            <w:lock w:val="sdtLocked"/>
            <w:richText/>
          </w:sdtPr>
          <w:sdtContent>
            <w:p>
              <w:pPr>
                <w:tabs>
                  <w:tab w:val="left" w:pos="993"/>
                </w:tabs>
                <w:jc w:val="center"/>
                <w:rPr>
                  <w:b/>
                  <w:bCs/>
                  <w:szCs w:val="24"/>
                </w:rPr>
              </w:pPr>
              <w:sdt>
                <w:sdtPr>
                  <w:alias w:val="Numeris"/>
                  <w:tag w:val="nr_030291f7f5da4d80ae853426042a8ca4"/>
                  <w:lock w:val="sdtLocked"/>
                  <w:richText/>
                </w:sdtPr>
                <w:sdtContent>
                  <w:r>
                    <w:rPr>
                      <w:b/>
                      <w:bCs/>
                      <w:szCs w:val="24"/>
                    </w:rPr>
                    <w:t>III</w:t>
                  </w:r>
                </w:sdtContent>
              </w:sdt>
              <w:r>
                <w:rPr>
                  <w:b/>
                  <w:bCs/>
                  <w:szCs w:val="24"/>
                </w:rPr>
                <w:t xml:space="preserve"> SKYRIUS </w:t>
              </w:r>
            </w:p>
            <w:p>
              <w:pPr>
                <w:tabs>
                  <w:tab w:val="left" w:pos="993"/>
                </w:tabs>
                <w:jc w:val="center"/>
                <w:rPr>
                  <w:rFonts w:eastAsia="Calibri"/>
                  <w:b/>
                  <w:bCs/>
                  <w:szCs w:val="22"/>
                </w:rPr>
              </w:pPr>
              <w:sdt>
                <w:sdtPr>
                  <w:alias w:val="Pavadinimas"/>
                  <w:tag w:val="title_030291f7f5da4d80ae853426042a8ca4"/>
                  <w:lock w:val="sdtLocked"/>
                  <w:richText/>
                </w:sdtPr>
                <w:sdtContent>
                  <w:r>
                    <w:rPr>
                      <w:rFonts w:eastAsia="Calibri"/>
                      <w:b/>
                      <w:bCs/>
                    </w:rPr>
                    <w:t>ĮMOKOS APSKAIČIAVIMO TVARKA</w:t>
                  </w:r>
                </w:sdtContent>
              </w:sdt>
            </w:p>
            <w:p>
              <w:pPr>
                <w:tabs>
                  <w:tab w:val="left" w:pos="993"/>
                </w:tabs>
                <w:jc w:val="center"/>
                <w:rPr>
                  <w:rFonts w:eastAsia="Calibri"/>
                  <w:b/>
                  <w:bCs/>
                </w:rPr>
              </w:pPr>
            </w:p>
            <w:sdt>
              <w:sdtPr>
                <w:alias w:val="skirsnis"/>
                <w:tag w:val="part_0ced8f42f2214fac87fe94e01e49b6a5"/>
                <w:lock w:val="sdtLocked"/>
                <w:richText/>
              </w:sdtPr>
              <w:sdtContent>
                <w:p>
                  <w:pPr>
                    <w:tabs>
                      <w:tab w:val="left" w:pos="993"/>
                    </w:tabs>
                    <w:jc w:val="center"/>
                    <w:rPr>
                      <w:rFonts w:eastAsia="Calibri"/>
                      <w:b/>
                      <w:bCs/>
                    </w:rPr>
                  </w:pPr>
                  <w:sdt>
                    <w:sdtPr>
                      <w:alias w:val="Numeris"/>
                      <w:tag w:val="nr_0ced8f42f2214fac87fe94e01e49b6a5"/>
                      <w:lock w:val="sdtLocked"/>
                      <w:richText/>
                    </w:sdtPr>
                    <w:sdtContent>
                      <w:r>
                        <w:rPr>
                          <w:rFonts w:eastAsia="Calibri"/>
                          <w:b/>
                          <w:bCs/>
                        </w:rPr>
                        <w:t>PIRMASIS</w:t>
                      </w:r>
                    </w:sdtContent>
                  </w:sdt>
                  <w:r>
                    <w:rPr>
                      <w:rFonts w:eastAsia="Calibri"/>
                      <w:b/>
                      <w:bCs/>
                    </w:rPr>
                    <w:t xml:space="preserve"> SKIRSNIS </w:t>
                  </w:r>
                </w:p>
                <w:p>
                  <w:pPr>
                    <w:tabs>
                      <w:tab w:val="left" w:pos="993"/>
                    </w:tabs>
                    <w:jc w:val="center"/>
                    <w:rPr>
                      <w:b/>
                      <w:bCs/>
                      <w:szCs w:val="24"/>
                    </w:rPr>
                  </w:pPr>
                  <w:sdt>
                    <w:sdtPr>
                      <w:alias w:val="Pavadinimas"/>
                      <w:tag w:val="title_0ced8f42f2214fac87fe94e01e49b6a5"/>
                      <w:lock w:val="sdtLocked"/>
                      <w:richText/>
                    </w:sdtPr>
                    <w:sdtContent>
                      <w:r>
                        <w:rPr>
                          <w:b/>
                          <w:bCs/>
                          <w:szCs w:val="24"/>
                        </w:rPr>
                        <w:t xml:space="preserve">ĮMOKOS APSKAIČIAVIMO TVARKA, KAI NESUDAROMA SAVIVALDYBĖS INFRASTRUKTŪROS PLĖTROS SUTARTIS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
                  <w:sdtPr>
                    <w:alias w:val="8 p."/>
                    <w:tag w:val="part_16767077ed684974be48777c03ac1865"/>
                    <w:lock w:val="sdtLocked"/>
                    <w:richText/>
                  </w:sdtPr>
                  <w:sdtContent>
                    <w:p>
                      <w:pPr>
                        <w:tabs>
                          <w:tab w:val="left" w:pos="567"/>
                          <w:tab w:val="left" w:pos="993"/>
                        </w:tabs>
                        <w:spacing w:line="276" w:lineRule="auto"/>
                        <w:ind w:firstLine="567"/>
                        <w:jc w:val="both"/>
                        <w:rPr>
                          <w:szCs w:val="24"/>
                        </w:rPr>
                      </w:pPr>
                      <w:sdt>
                        <w:sdtPr>
                          <w:alias w:val="Numeris"/>
                          <w:tag w:val="nr_16767077ed684974be48777c03ac1865"/>
                          <w:lock w:val="sdtLocked"/>
                          <w:richText/>
                        </w:sdtPr>
                        <w:sdtContent>
                          <w:r>
                            <w:rPr>
                              <w:lang w:eastAsia="lt-LT"/>
                            </w:rPr>
                            <w:t>8</w:t>
                          </w:r>
                        </w:sdtContent>
                      </w:sdt>
                      <w:r>
                        <w:rPr>
                          <w:lang w:eastAsia="lt-LT"/>
                        </w:rPr>
                        <w:t xml:space="preserve">. Organizatorius, vadovaudamasis </w:t>
                      </w:r>
                      <w:r>
                        <w:rPr>
                          <w:lang w:val="lt" w:eastAsia="lt-LT"/>
                        </w:rPr>
                        <w:t>Lietuvos Respublikos savivaldybių infrastruktūros plėtros įstatymo (toliau – Įstatymas)</w:t>
                      </w:r>
                      <w:r>
                        <w:rPr>
                          <w:lang w:eastAsia="lt-LT"/>
                        </w:rPr>
                        <w:t xml:space="preserve"> 14 straipsnio nuostatomis, </w:t>
                      </w:r>
                      <w:r>
                        <w:rPr>
                          <w:rFonts w:eastAsia="Calibri"/>
                          <w:lang w:eastAsia="lt-LT"/>
                        </w:rPr>
                        <w:t>statinio projektu, kai pagal Statybos įstatymą statybą leidžiantis dokumentas privalomas,</w:t>
                      </w:r>
                      <w:r>
                        <w:rPr>
                          <w:lang w:eastAsia="lt-LT"/>
                        </w:rPr>
                        <w:t xml:space="preserve"> Metodikos 3 ir 4 punktuose nurodyta informacija ir dokumentais, apskaičiuoja įmoką ir parengia Įmokos apskaičiavimo aktą (pagal Metodikos 2 priede pateiktą formą).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9 p."/>
                    <w:tag w:val="part_297dff0190d34cbeba565abb6e73bd9f"/>
                    <w:lock w:val="sdtLocked"/>
                    <w:richText/>
                  </w:sdtPr>
                  <w:sdtContent>
                    <w:p>
                      <w:pPr>
                        <w:tabs>
                          <w:tab w:val="left" w:pos="993"/>
                        </w:tabs>
                        <w:spacing w:line="276" w:lineRule="auto"/>
                        <w:ind w:firstLine="567"/>
                        <w:jc w:val="both"/>
                        <w:rPr>
                          <w:b/>
                          <w:bCs/>
                          <w:szCs w:val="24"/>
                        </w:rPr>
                      </w:pPr>
                      <w:sdt>
                        <w:sdtPr>
                          <w:alias w:val="Numeris"/>
                          <w:tag w:val="nr_297dff0190d34cbeba565abb6e73bd9f"/>
                          <w:lock w:val="sdtLocked"/>
                          <w:richText/>
                        </w:sdtPr>
                        <w:sdtContent>
                          <w:r>
                            <w:rPr>
                              <w:szCs w:val="24"/>
                            </w:rPr>
                            <w:t>9</w:t>
                          </w:r>
                        </w:sdtContent>
                      </w:sdt>
                      <w:r>
                        <w:rPr>
                          <w:szCs w:val="24"/>
                        </w:rPr>
                        <w:t>. Organizatorius apskaičiuoja įmokos dydį (Į) (Eur) pagal formulę:</w:t>
                      </w:r>
                    </w:p>
                    <w:p>
                      <w:pPr>
                        <w:tabs>
                          <w:tab w:val="left" w:pos="567"/>
                        </w:tabs>
                        <w:spacing w:line="276" w:lineRule="auto"/>
                        <w:ind w:firstLine="567"/>
                        <w:rPr>
                          <w:szCs w:val="24"/>
                        </w:rPr>
                      </w:pPr>
                      <w:r>
                        <w:rPr>
                          <w:szCs w:val="24"/>
                        </w:rPr>
                        <w:t>Į = S</w:t>
                      </w:r>
                      <w:r>
                        <w:rPr>
                          <w:szCs w:val="24"/>
                          <w:vertAlign w:val="subscript"/>
                        </w:rPr>
                        <w:t>psį</w:t>
                      </w:r>
                      <w:r>
                        <w:rPr>
                          <w:szCs w:val="24"/>
                        </w:rPr>
                        <w:t xml:space="preserve"> + Ž</w:t>
                      </w:r>
                      <w:r>
                        <w:rPr>
                          <w:szCs w:val="24"/>
                          <w:vertAlign w:val="subscript"/>
                        </w:rPr>
                        <w:t>paėmimo</w:t>
                      </w:r>
                      <w:r>
                        <w:rPr>
                          <w:szCs w:val="24"/>
                        </w:rPr>
                        <w:t>.</w:t>
                      </w:r>
                    </w:p>
                    <w:p>
                      <w:pPr>
                        <w:tabs>
                          <w:tab w:val="left" w:pos="567"/>
                        </w:tabs>
                        <w:spacing w:line="276" w:lineRule="auto"/>
                        <w:ind w:firstLine="567"/>
                        <w:jc w:val="both"/>
                        <w:rPr>
                          <w:szCs w:val="24"/>
                        </w:rPr>
                      </w:pPr>
                      <w:r>
                        <w:rPr>
                          <w:szCs w:val="24"/>
                        </w:rPr>
                        <w:t>čia:</w:t>
                      </w:r>
                    </w:p>
                    <w:p>
                      <w:pPr>
                        <w:tabs>
                          <w:tab w:val="left" w:pos="567"/>
                          <w:tab w:val="left" w:pos="993"/>
                          <w:tab w:val="left" w:pos="1134"/>
                        </w:tabs>
                        <w:spacing w:line="276" w:lineRule="auto"/>
                        <w:ind w:firstLine="567"/>
                        <w:jc w:val="both"/>
                        <w:rPr>
                          <w:szCs w:val="24"/>
                        </w:rPr>
                      </w:pPr>
                      <w:r>
                        <w:rPr>
                          <w:szCs w:val="24"/>
                        </w:rPr>
                        <w:t>S</w:t>
                      </w:r>
                      <w:r>
                        <w:rPr>
                          <w:szCs w:val="24"/>
                          <w:vertAlign w:val="subscript"/>
                        </w:rPr>
                        <w:t xml:space="preserve">psį </w:t>
                      </w:r>
                      <w:r>
                        <w:rPr>
                          <w:szCs w:val="24"/>
                        </w:rPr>
                        <w:t xml:space="preserve">– savivaldybės infrastruktūros projektavimo, statybos ir (ar) įrengimo finansavimas (Eur); </w:t>
                      </w:r>
                    </w:p>
                    <w:p>
                      <w:pPr>
                        <w:tabs>
                          <w:tab w:val="left" w:pos="851"/>
                          <w:tab w:val="left" w:pos="993"/>
                          <w:tab w:val="left" w:pos="1134"/>
                        </w:tabs>
                        <w:spacing w:line="276" w:lineRule="auto"/>
                        <w:ind w:firstLine="567"/>
                        <w:jc w:val="both"/>
                        <w:rPr>
                          <w:szCs w:val="24"/>
                        </w:rPr>
                      </w:pPr>
                      <w:r>
                        <w:rPr>
                          <w:szCs w:val="24"/>
                        </w:rPr>
                        <w:t>Ž</w:t>
                      </w:r>
                      <w:r>
                        <w:rPr>
                          <w:szCs w:val="24"/>
                          <w:vertAlign w:val="subscript"/>
                        </w:rPr>
                        <w:t>paėmimo</w:t>
                      </w:r>
                      <w:r>
                        <w:rPr>
                          <w:szCs w:val="24"/>
                        </w:rPr>
                        <w:t xml:space="preserve"> – žemės paėmimo visuomenės poreikiams finansavimas (Eur).</w:t>
                      </w:r>
                    </w:p>
                  </w:sdtContent>
                </w:sdt>
                <w:sdt>
                  <w:sdtPr>
                    <w:alias w:val="10 p."/>
                    <w:tag w:val="part_a575e86eb1b645ac95248f81ecc8d0e3"/>
                    <w:lock w:val="sdtLocked"/>
                    <w:richText/>
                  </w:sdtPr>
                  <w:sdtContent>
                    <w:p>
                      <w:pPr>
                        <w:tabs>
                          <w:tab w:val="left" w:pos="993"/>
                        </w:tabs>
                        <w:spacing w:line="276" w:lineRule="auto"/>
                        <w:ind w:firstLine="567"/>
                        <w:jc w:val="both"/>
                        <w:rPr>
                          <w:szCs w:val="24"/>
                        </w:rPr>
                      </w:pPr>
                      <w:sdt>
                        <w:sdtPr>
                          <w:alias w:val="Numeris"/>
                          <w:tag w:val="nr_a575e86eb1b645ac95248f81ecc8d0e3"/>
                          <w:lock w:val="sdtLocked"/>
                          <w:richText/>
                        </w:sdtPr>
                        <w:sdtContent>
                          <w:r>
                            <w:rPr>
                              <w:szCs w:val="24"/>
                            </w:rPr>
                            <w:t>10</w:t>
                          </w:r>
                        </w:sdtContent>
                      </w:sdt>
                      <w:r>
                        <w:rPr>
                          <w:szCs w:val="24"/>
                        </w:rPr>
                        <w:t>. Organizatorius įmokos dalį (Eur), skirtą savivaldybės infrastruktūros projektavimui, statybai ir (ar) įrengimui finansuoti (S</w:t>
                      </w:r>
                      <w:r>
                        <w:rPr>
                          <w:szCs w:val="24"/>
                          <w:vertAlign w:val="subscript"/>
                        </w:rPr>
                        <w:t>psį</w:t>
                      </w:r>
                      <w:r>
                        <w:rPr>
                          <w:szCs w:val="24"/>
                        </w:rPr>
                        <w:t xml:space="preserve">), apskaičiuoja pagal formulę: </w:t>
                      </w:r>
                    </w:p>
                    <w:p>
                      <w:pPr>
                        <w:spacing w:line="276" w:lineRule="auto"/>
                        <w:ind w:firstLine="567"/>
                        <w:jc w:val="both"/>
                        <w:rPr>
                          <w:szCs w:val="24"/>
                          <w:lang w:val="en-GB"/>
                        </w:rPr>
                      </w:pPr>
                      <w:r>
                        <w:rPr>
                          <w:szCs w:val="24"/>
                        </w:rPr>
                        <w:t>S</w:t>
                      </w:r>
                      <w:r>
                        <w:rPr>
                          <w:szCs w:val="24"/>
                          <w:vertAlign w:val="subscript"/>
                        </w:rPr>
                        <w:t>psį</w:t>
                      </w:r>
                      <w:r>
                        <w:rPr>
                          <w:szCs w:val="24"/>
                        </w:rPr>
                        <w:t xml:space="preserve"> </w:t>
                      </w:r>
                      <w:r>
                        <w:rPr>
                          <w:szCs w:val="24"/>
                          <w:lang w:val="en-GB"/>
                        </w:rPr>
                        <w:t>= T x S.</w:t>
                      </w:r>
                    </w:p>
                    <w:p>
                      <w:pPr>
                        <w:spacing w:line="276" w:lineRule="auto"/>
                        <w:ind w:firstLine="567"/>
                        <w:jc w:val="both"/>
                        <w:rPr>
                          <w:szCs w:val="24"/>
                        </w:rPr>
                      </w:pPr>
                      <w:r>
                        <w:rPr>
                          <w:szCs w:val="24"/>
                        </w:rPr>
                        <w:t>čia:</w:t>
                      </w:r>
                    </w:p>
                    <w:p>
                      <w:pPr>
                        <w:tabs>
                          <w:tab w:val="left" w:pos="851"/>
                        </w:tabs>
                        <w:spacing w:line="276" w:lineRule="auto"/>
                        <w:ind w:firstLine="567"/>
                        <w:jc w:val="both"/>
                        <w:rPr>
                          <w:szCs w:val="24"/>
                        </w:rPr>
                      </w:pPr>
                      <w:r>
                        <w:rPr>
                          <w:szCs w:val="24"/>
                        </w:rPr>
                        <w:t>T – įmokos tarifas, nustatomas savivaldybės tarybos sprendimu (Eur/m</w:t>
                      </w:r>
                      <w:r>
                        <w:rPr>
                          <w:szCs w:val="24"/>
                          <w:vertAlign w:val="superscript"/>
                        </w:rPr>
                        <w:t>2</w:t>
                      </w:r>
                      <w:r>
                        <w:rPr>
                          <w:szCs w:val="24"/>
                        </w:rPr>
                        <w:t xml:space="preserve">); </w:t>
                      </w:r>
                    </w:p>
                    <w:p>
                      <w:pPr>
                        <w:tabs>
                          <w:tab w:val="left" w:pos="851"/>
                        </w:tabs>
                        <w:spacing w:line="276" w:lineRule="auto"/>
                        <w:ind w:firstLine="567"/>
                        <w:jc w:val="both"/>
                        <w:rPr>
                          <w:color w:val="FF0000"/>
                          <w:szCs w:val="24"/>
                        </w:rPr>
                      </w:pPr>
                      <w:r>
                        <w:rPr>
                          <w:szCs w:val="24"/>
                        </w:rPr>
                        <w:t xml:space="preserve">S – </w:t>
                      </w:r>
                      <w:r>
                        <w:rPr>
                          <w:color w:val="000000"/>
                          <w:szCs w:val="24"/>
                        </w:rPr>
                        <w:t xml:space="preserve">pastato ar inžinerinio statinio rekonstruojamo į pastatą </w:t>
                      </w:r>
                      <w:r>
                        <w:rPr>
                          <w:szCs w:val="24"/>
                        </w:rPr>
                        <w:t>bendrasis plotas (m</w:t>
                      </w:r>
                      <w:r>
                        <w:rPr>
                          <w:szCs w:val="24"/>
                          <w:vertAlign w:val="superscript"/>
                        </w:rPr>
                        <w:t>2</w:t>
                      </w:r>
                      <w:r>
                        <w:rPr>
                          <w:szCs w:val="24"/>
                        </w:rPr>
                        <w:t>) ir (ar) inžineriniu statiniu, kuris nėra savivaldybės infrastruktūra ir jo naudojimui reikalinga savivaldybės infrastruktūra, užstatytas plotas (m</w:t>
                      </w:r>
                      <w:r>
                        <w:rPr>
                          <w:szCs w:val="24"/>
                          <w:vertAlign w:val="superscript"/>
                        </w:rPr>
                        <w:t>2</w:t>
                      </w:r>
                      <w:r>
                        <w:rPr>
                          <w:szCs w:val="24"/>
                        </w:rPr>
                        <w:t>). Rekonstruojant pastatą, rekonstruojamo pastato padidėjusi bendrojo ploto dalis (m</w:t>
                      </w:r>
                      <w:r>
                        <w:rPr>
                          <w:szCs w:val="24"/>
                          <w:vertAlign w:val="superscript"/>
                        </w:rPr>
                        <w:t>2</w:t>
                      </w:r>
                      <w:r>
                        <w:rPr>
                          <w:szCs w:val="24"/>
                        </w:rPr>
                        <w:t>), rekonstruojant inžinerinį statinį, rekonstruojamo statinio padidėjusi užstatomo ploto dalis (m</w:t>
                      </w:r>
                      <w:r>
                        <w:rPr>
                          <w:szCs w:val="24"/>
                          <w:vertAlign w:val="superscript"/>
                        </w:rPr>
                        <w:t>2</w:t>
                      </w:r>
                      <w:r>
                        <w:rPr>
                          <w:szCs w:val="24"/>
                        </w:rPr>
                        <w:t xml:space="preserve">). Bendrasis plotas ir užstatytas plotas nurodomi vadovaujantis statinio projektu, </w:t>
                      </w:r>
                      <w:r>
                        <w:rPr>
                          <w:rFonts w:eastAsia="Calibri"/>
                          <w:szCs w:val="24"/>
                        </w:rPr>
                        <w:t>kai pagal Statybos įstatymą statybą leidžiantis dokumentas privalomas, ar statinio rodikliais (kai statybą leidžiantis dokumentas nereikalingas), kurių pakaktų apskaičiuoti mokėtinos įmokos dydį.</w:t>
                      </w:r>
                    </w:p>
                  </w:sdtContent>
                </w:sdt>
                <w:sdt>
                  <w:sdtPr>
                    <w:alias w:val="11 p."/>
                    <w:tag w:val="part_5715f868e42d42ca82da5e28bf2db1a9"/>
                    <w:lock w:val="sdtLocked"/>
                    <w:richText/>
                  </w:sdtPr>
                  <w:sdtContent>
                    <w:p>
                      <w:pPr>
                        <w:tabs>
                          <w:tab w:val="left" w:pos="851"/>
                          <w:tab w:val="left" w:pos="993"/>
                          <w:tab w:val="left" w:pos="1134"/>
                        </w:tabs>
                        <w:spacing w:line="276" w:lineRule="auto"/>
                        <w:ind w:firstLine="567"/>
                        <w:jc w:val="both"/>
                        <w:rPr>
                          <w:color w:val="000000"/>
                          <w:szCs w:val="24"/>
                        </w:rPr>
                      </w:pPr>
                      <w:sdt>
                        <w:sdtPr>
                          <w:alias w:val="Numeris"/>
                          <w:tag w:val="nr_5715f868e42d42ca82da5e28bf2db1a9"/>
                          <w:lock w:val="sdtLocked"/>
                          <w:richText/>
                        </w:sdtPr>
                        <w:sdtContent>
                          <w:r>
                            <w:rPr>
                              <w:color w:val="000000"/>
                              <w:szCs w:val="24"/>
                            </w:rPr>
                            <w:t>11</w:t>
                          </w:r>
                        </w:sdtContent>
                      </w:sdt>
                      <w:r>
                        <w:rPr>
                          <w:color w:val="000000"/>
                          <w:szCs w:val="24"/>
                        </w:rPr>
                        <w:t xml:space="preserve">. Savivaldybės tarybai priimant sprendimą dėl atitinkamo įmokos tarifo dydžio rekomenduotina atsižvelgti į šiame Metodikos skyriuje įtvirtintus įmokos tarifo nustatymo galimus kriterijus ir principus. Taip pat rekomenduotina diferencijuojant savivaldybės infrastruktūros įmokos tarifo dydį taikyti Metodikoje nurodytus galimus tarifo dydžio diferencijavimo koeficientus. </w:t>
                      </w:r>
                    </w:p>
                  </w:sdtContent>
                </w:sdt>
                <w:sdt>
                  <w:sdtPr>
                    <w:alias w:val="12 p."/>
                    <w:tag w:val="part_09e535c01c6e4f97892193d25f411fd2"/>
                    <w:lock w:val="sdtLocked"/>
                    <w:richText/>
                  </w:sdtPr>
                  <w:sdtContent>
                    <w:p>
                      <w:pPr>
                        <w:tabs>
                          <w:tab w:val="left" w:pos="851"/>
                          <w:tab w:val="left" w:pos="993"/>
                          <w:tab w:val="left" w:pos="1134"/>
                        </w:tabs>
                        <w:spacing w:line="276" w:lineRule="auto"/>
                        <w:ind w:firstLine="567"/>
                        <w:jc w:val="both"/>
                        <w:rPr>
                          <w:szCs w:val="24"/>
                        </w:rPr>
                      </w:pPr>
                      <w:sdt>
                        <w:sdtPr>
                          <w:alias w:val="Numeris"/>
                          <w:tag w:val="nr_09e535c01c6e4f97892193d25f411fd2"/>
                          <w:lock w:val="sdtLocked"/>
                          <w:richText/>
                        </w:sdtPr>
                        <w:sdtContent>
                          <w:r>
                            <w:rPr>
                              <w:szCs w:val="24"/>
                            </w:rPr>
                            <w:t>12</w:t>
                          </w:r>
                        </w:sdtContent>
                      </w:sdt>
                      <w:r>
                        <w:rPr>
                          <w:szCs w:val="24"/>
                        </w:rPr>
                        <w:t>. Įmokos tarifo (T) dydį (Eur/m</w:t>
                      </w:r>
                      <w:r>
                        <w:rPr>
                          <w:szCs w:val="24"/>
                          <w:vertAlign w:val="superscript"/>
                        </w:rPr>
                        <w:t>2</w:t>
                      </w:r>
                      <w:r>
                        <w:rPr>
                          <w:szCs w:val="24"/>
                        </w:rPr>
                        <w:t>) rekomenduotina nustatyti įvertinus inžinerinės savivaldybės infrastruktūros, socialinės savivaldybės infrastruktūros plėtros poreikį atitinkamoje savivaldybės (jos dalies) teritorijoje ir apskaičiuoti pagal formulę:</w:t>
                      </w:r>
                    </w:p>
                    <w:p>
                      <w:pPr>
                        <w:tabs>
                          <w:tab w:val="left" w:pos="851"/>
                        </w:tabs>
                        <w:spacing w:line="276" w:lineRule="auto"/>
                        <w:ind w:firstLine="567"/>
                        <w:jc w:val="both"/>
                        <w:rPr>
                          <w:szCs w:val="24"/>
                        </w:rPr>
                      </w:pPr>
                      <w:r>
                        <w:rPr>
                          <w:szCs w:val="24"/>
                        </w:rPr>
                        <w:t>T = T</w:t>
                      </w:r>
                      <w:r>
                        <w:rPr>
                          <w:szCs w:val="24"/>
                          <w:vertAlign w:val="subscript"/>
                        </w:rPr>
                        <w:t>1</w:t>
                      </w:r>
                      <w:r>
                        <w:rPr>
                          <w:szCs w:val="24"/>
                        </w:rPr>
                        <w:t xml:space="preserve"> + T</w:t>
                      </w:r>
                      <w:r>
                        <w:rPr>
                          <w:szCs w:val="24"/>
                          <w:vertAlign w:val="subscript"/>
                        </w:rPr>
                        <w:t>2</w:t>
                      </w:r>
                      <w:r>
                        <w:rPr>
                          <w:szCs w:val="24"/>
                        </w:rPr>
                        <w:t>.</w:t>
                      </w:r>
                    </w:p>
                    <w:p>
                      <w:pPr>
                        <w:spacing w:line="276" w:lineRule="auto"/>
                        <w:ind w:firstLine="567"/>
                        <w:jc w:val="both"/>
                        <w:rPr>
                          <w:szCs w:val="24"/>
                        </w:rPr>
                      </w:pPr>
                      <w:r>
                        <w:rPr>
                          <w:szCs w:val="24"/>
                        </w:rPr>
                        <w:t>čia:</w:t>
                      </w:r>
                    </w:p>
                    <w:p>
                      <w:pPr>
                        <w:tabs>
                          <w:tab w:val="left" w:pos="851"/>
                        </w:tabs>
                        <w:spacing w:line="276" w:lineRule="auto"/>
                        <w:ind w:firstLine="567"/>
                        <w:jc w:val="both"/>
                        <w:rPr>
                          <w:szCs w:val="24"/>
                        </w:rPr>
                      </w:pPr>
                      <w:r>
                        <w:rPr>
                          <w:szCs w:val="24"/>
                        </w:rPr>
                        <w:t>T</w:t>
                      </w:r>
                      <w:r>
                        <w:rPr>
                          <w:szCs w:val="24"/>
                          <w:vertAlign w:val="subscript"/>
                        </w:rPr>
                        <w:t>1</w:t>
                      </w:r>
                      <w:r>
                        <w:rPr>
                          <w:szCs w:val="24"/>
                        </w:rPr>
                        <w:t xml:space="preserve"> – įmokos tarifas inžinerinės savivaldybės infrastruktūros plėtrai (Eur/m</w:t>
                      </w:r>
                      <w:r>
                        <w:rPr>
                          <w:szCs w:val="24"/>
                          <w:vertAlign w:val="superscript"/>
                        </w:rPr>
                        <w:t>2</w:t>
                      </w:r>
                      <w:r>
                        <w:rPr>
                          <w:szCs w:val="24"/>
                        </w:rPr>
                        <w:t>);</w:t>
                      </w:r>
                    </w:p>
                    <w:p>
                      <w:pPr>
                        <w:tabs>
                          <w:tab w:val="left" w:pos="851"/>
                        </w:tabs>
                        <w:spacing w:line="276" w:lineRule="auto"/>
                        <w:ind w:firstLine="567"/>
                        <w:jc w:val="both"/>
                        <w:rPr>
                          <w:szCs w:val="24"/>
                        </w:rPr>
                      </w:pPr>
                      <w:r>
                        <w:rPr>
                          <w:szCs w:val="24"/>
                        </w:rPr>
                        <w:t>T</w:t>
                      </w:r>
                      <w:r>
                        <w:rPr>
                          <w:szCs w:val="24"/>
                          <w:vertAlign w:val="subscript"/>
                        </w:rPr>
                        <w:t>2</w:t>
                      </w:r>
                      <w:r>
                        <w:rPr>
                          <w:szCs w:val="24"/>
                        </w:rPr>
                        <w:t xml:space="preserve"> – įmokos tarifas socialinės savivaldybės infrastruktūros plėtrai (Eur/m</w:t>
                      </w:r>
                      <w:r>
                        <w:rPr>
                          <w:szCs w:val="24"/>
                          <w:vertAlign w:val="superscript"/>
                        </w:rPr>
                        <w:t>2</w:t>
                      </w:r>
                      <w:r>
                        <w:rPr>
                          <w:szCs w:val="24"/>
                        </w:rPr>
                        <w:t>). Įmokos tarifas socialinės savivaldybės infrastruktūros plėtrai neprioritetinėse plėtros teritorijose lygus 0.</w:t>
                      </w:r>
                    </w:p>
                  </w:sdtContent>
                </w:sdt>
                <w:sdt>
                  <w:sdtPr>
                    <w:alias w:val="13 p."/>
                    <w:tag w:val="part_f505c5bc53b3484d96c3dfa087af8529"/>
                    <w:lock w:val="sdtLocked"/>
                    <w:richText/>
                  </w:sdtPr>
                  <w:sdtContent>
                    <w:p>
                      <w:pPr>
                        <w:tabs>
                          <w:tab w:val="left" w:pos="851"/>
                          <w:tab w:val="left" w:pos="993"/>
                        </w:tabs>
                        <w:spacing w:line="276" w:lineRule="auto"/>
                        <w:ind w:firstLine="567"/>
                        <w:jc w:val="both"/>
                        <w:rPr>
                          <w:szCs w:val="24"/>
                        </w:rPr>
                      </w:pPr>
                      <w:sdt>
                        <w:sdtPr>
                          <w:alias w:val="Numeris"/>
                          <w:tag w:val="nr_f505c5bc53b3484d96c3dfa087af8529"/>
                          <w:lock w:val="sdtLocked"/>
                          <w:richText/>
                        </w:sdtPr>
                        <w:sdtContent>
                          <w:r>
                            <w:rPr>
                              <w:szCs w:val="24"/>
                            </w:rPr>
                            <w:t>13</w:t>
                          </w:r>
                        </w:sdtContent>
                      </w:sdt>
                      <w:r>
                        <w:rPr>
                          <w:szCs w:val="24"/>
                        </w:rPr>
                        <w:t xml:space="preserve">. Savivaldybės tarybai, tvirtinant įmokos tarifo dalį, kuria siekiama nustatyti įmokos tarifo dydį inžinerinės savivaldybės infrastruktūros plėtrai, </w:t>
                      </w:r>
                      <w:r>
                        <w:rPr>
                          <w:color w:val="000000"/>
                          <w:szCs w:val="24"/>
                        </w:rPr>
                        <w:t>rekomenduotina</w:t>
                      </w:r>
                      <w:r>
                        <w:rPr>
                          <w:color w:val="FF0000"/>
                          <w:szCs w:val="24"/>
                        </w:rPr>
                        <w:t xml:space="preserve"> </w:t>
                      </w:r>
                      <w:r>
                        <w:rPr>
                          <w:szCs w:val="24"/>
                        </w:rPr>
                        <w:t xml:space="preserve">ją diferencijuoti atsižvelgiant į pagrindinę žemės ir (ar) pastatų </w:t>
                      </w:r>
                      <w:r>
                        <w:rPr>
                          <w:color w:val="000000"/>
                          <w:szCs w:val="24"/>
                        </w:rPr>
                        <w:t>naudojimo</w:t>
                      </w:r>
                      <w:r>
                        <w:rPr>
                          <w:szCs w:val="24"/>
                        </w:rPr>
                        <w:t xml:space="preserve"> paskirtį, inžinerinės savivaldybės infrastruktūros išvystymo lygį ir plėtros poreikį, numatytą teritorijų planavimo dokumentuose ir strateginio planavimo dokumentuose. Savivaldybės tarybai, tvirtinant įmokos tarifo dalį, kuria siekiama nustatyti įmokos tarifo inžinerinės savivaldybės infrastruktūros plėtrai (T</w:t>
                      </w:r>
                      <w:r>
                        <w:rPr>
                          <w:szCs w:val="24"/>
                          <w:vertAlign w:val="subscript"/>
                        </w:rPr>
                        <w:t>1</w:t>
                      </w:r>
                      <w:r>
                        <w:rPr>
                          <w:szCs w:val="24"/>
                        </w:rPr>
                        <w:t>) dydį (Eur/m</w:t>
                      </w:r>
                      <w:r>
                        <w:rPr>
                          <w:szCs w:val="24"/>
                          <w:vertAlign w:val="superscript"/>
                        </w:rPr>
                        <w:t>2</w:t>
                      </w:r>
                      <w:r>
                        <w:rPr>
                          <w:szCs w:val="24"/>
                        </w:rPr>
                        <w:t>) konkrečiai savivaldybės (jos dalies) teritorijai</w:t>
                      </w:r>
                      <w:r>
                        <w:rPr>
                          <w:color w:val="000000"/>
                          <w:szCs w:val="24"/>
                        </w:rPr>
                        <w:t xml:space="preserve">, rekomenduotina </w:t>
                      </w:r>
                      <w:r>
                        <w:rPr>
                          <w:szCs w:val="24"/>
                        </w:rPr>
                        <w:t>jį nustatyti pagal formulę:</w:t>
                      </w:r>
                    </w:p>
                    <w:p>
                      <w:pPr>
                        <w:tabs>
                          <w:tab w:val="left" w:pos="851"/>
                          <w:tab w:val="left" w:pos="993"/>
                        </w:tabs>
                        <w:spacing w:line="276" w:lineRule="auto"/>
                        <w:ind w:firstLine="567"/>
                        <w:jc w:val="both"/>
                        <w:rPr>
                          <w:szCs w:val="24"/>
                        </w:rPr>
                      </w:pPr>
                      <w:r>
                        <w:rPr>
                          <w:szCs w:val="24"/>
                        </w:rPr>
                        <w:t>T</w:t>
                      </w:r>
                      <w:r>
                        <w:rPr>
                          <w:szCs w:val="24"/>
                          <w:vertAlign w:val="subscript"/>
                        </w:rPr>
                        <w:t>1</w:t>
                      </w:r>
                      <w:r>
                        <w:rPr>
                          <w:szCs w:val="24"/>
                        </w:rPr>
                        <w:t xml:space="preserve"> </w:t>
                      </w:r>
                      <w:r>
                        <w:rPr>
                          <w:szCs w:val="24"/>
                          <w:lang w:val="en-GB"/>
                        </w:rPr>
                        <w:t xml:space="preserve">= </w:t>
                      </w:r>
                      <w:r>
                        <w:rPr>
                          <w:szCs w:val="24"/>
                        </w:rPr>
                        <w:t>D</w:t>
                      </w:r>
                      <w:r>
                        <w:rPr>
                          <w:szCs w:val="24"/>
                          <w:vertAlign w:val="subscript"/>
                        </w:rPr>
                        <w:t>žpnpin</w:t>
                      </w:r>
                      <w:r>
                        <w:rPr>
                          <w:szCs w:val="24"/>
                          <w:lang w:val="en-GB"/>
                        </w:rPr>
                        <w:t xml:space="preserve"> </w:t>
                      </w:r>
                      <w:r>
                        <w:rPr>
                          <w:szCs w:val="24"/>
                        </w:rPr>
                        <w:t>x</w:t>
                      </w:r>
                      <w:r>
                        <w:rPr>
                          <w:szCs w:val="24"/>
                          <w:vertAlign w:val="subscript"/>
                        </w:rPr>
                        <w:t xml:space="preserve"> </w:t>
                      </w:r>
                      <w:r>
                        <w:rPr>
                          <w:szCs w:val="24"/>
                        </w:rPr>
                        <w:t>D</w:t>
                      </w:r>
                      <w:r>
                        <w:rPr>
                          <w:szCs w:val="24"/>
                          <w:vertAlign w:val="subscript"/>
                        </w:rPr>
                        <w:t xml:space="preserve">išvystin </w:t>
                      </w:r>
                      <w:r>
                        <w:rPr>
                          <w:szCs w:val="24"/>
                        </w:rPr>
                        <w:t>x D</w:t>
                      </w:r>
                      <w:r>
                        <w:rPr>
                          <w:szCs w:val="24"/>
                          <w:vertAlign w:val="subscript"/>
                        </w:rPr>
                        <w:t xml:space="preserve">plėtrin </w:t>
                      </w:r>
                      <w:r>
                        <w:rPr>
                          <w:szCs w:val="24"/>
                        </w:rPr>
                        <w:t>x V</w:t>
                      </w:r>
                      <w:r>
                        <w:rPr>
                          <w:szCs w:val="24"/>
                          <w:vertAlign w:val="subscript"/>
                        </w:rPr>
                        <w:t>in</w:t>
                      </w:r>
                      <w:r>
                        <w:rPr>
                          <w:szCs w:val="24"/>
                        </w:rPr>
                        <w:t>.</w:t>
                      </w:r>
                    </w:p>
                    <w:p>
                      <w:pPr>
                        <w:spacing w:line="276" w:lineRule="auto"/>
                        <w:ind w:firstLine="567"/>
                        <w:jc w:val="both"/>
                        <w:rPr>
                          <w:szCs w:val="24"/>
                        </w:rPr>
                      </w:pPr>
                      <w:r>
                        <w:rPr>
                          <w:szCs w:val="24"/>
                        </w:rPr>
                        <w:t>čia:</w:t>
                      </w:r>
                    </w:p>
                    <w:sdt>
                      <w:sdtPr>
                        <w:alias w:val="13.1 pp."/>
                        <w:tag w:val="part_a63f26edd65944e58488d84597a5060d"/>
                        <w:lock w:val="sdtLocked"/>
                        <w:richText/>
                      </w:sdtPr>
                      <w:sdtContent>
                        <w:p>
                          <w:pPr>
                            <w:spacing w:line="276" w:lineRule="auto"/>
                            <w:ind w:firstLine="567"/>
                            <w:jc w:val="both"/>
                            <w:rPr>
                              <w:szCs w:val="24"/>
                            </w:rPr>
                          </w:pPr>
                          <w:sdt>
                            <w:sdtPr>
                              <w:alias w:val="Numeris"/>
                              <w:tag w:val="nr_a63f26edd65944e58488d84597a5060d"/>
                              <w:lock w:val="sdtLocked"/>
                              <w:richText/>
                            </w:sdtPr>
                            <w:sdtContent>
                              <w:r>
                                <w:rPr>
                                  <w:szCs w:val="24"/>
                                </w:rPr>
                                <w:t>13.1</w:t>
                              </w:r>
                            </w:sdtContent>
                          </w:sdt>
                          <w:r>
                            <w:rPr>
                              <w:szCs w:val="24"/>
                            </w:rPr>
                            <w:t>. D</w:t>
                          </w:r>
                          <w:r>
                            <w:rPr>
                              <w:szCs w:val="24"/>
                              <w:vertAlign w:val="subscript"/>
                            </w:rPr>
                            <w:t>žpnpin</w:t>
                          </w:r>
                          <w:r>
                            <w:rPr>
                              <w:szCs w:val="24"/>
                            </w:rPr>
                            <w:t xml:space="preserve"> – diferencijavimas pagal pagrindinę žemės</w:t>
                          </w:r>
                          <w:r>
                            <w:rPr>
                              <w:color w:val="FF0000"/>
                              <w:szCs w:val="24"/>
                            </w:rPr>
                            <w:t xml:space="preserve"> </w:t>
                          </w:r>
                          <w:r>
                            <w:rPr>
                              <w:szCs w:val="24"/>
                            </w:rPr>
                            <w:t>ir (ar) pastatų naudojimo paskirtį;</w:t>
                          </w:r>
                        </w:p>
                      </w:sdtContent>
                    </w:sdt>
                    <w:sdt>
                      <w:sdtPr>
                        <w:alias w:val="13.2 pp."/>
                        <w:tag w:val="part_3c42def6e5884063b8482c80fa0d16cd"/>
                        <w:lock w:val="sdtLocked"/>
                        <w:richText/>
                      </w:sdtPr>
                      <w:sdtContent>
                        <w:p>
                          <w:pPr>
                            <w:tabs>
                              <w:tab w:val="left" w:pos="851"/>
                              <w:tab w:val="left" w:pos="993"/>
                              <w:tab w:val="left" w:pos="1134"/>
                            </w:tabs>
                            <w:spacing w:line="276" w:lineRule="auto"/>
                            <w:ind w:firstLine="567"/>
                            <w:jc w:val="both"/>
                            <w:rPr>
                              <w:szCs w:val="24"/>
                            </w:rPr>
                          </w:pPr>
                          <w:sdt>
                            <w:sdtPr>
                              <w:alias w:val="Numeris"/>
                              <w:tag w:val="nr_3c42def6e5884063b8482c80fa0d16cd"/>
                              <w:lock w:val="sdtLocked"/>
                              <w:richText/>
                            </w:sdtPr>
                            <w:sdtContent>
                              <w:r>
                                <w:rPr>
                                  <w:szCs w:val="24"/>
                                </w:rPr>
                                <w:t>13.2</w:t>
                              </w:r>
                            </w:sdtContent>
                          </w:sdt>
                          <w:r>
                            <w:rPr>
                              <w:szCs w:val="24"/>
                            </w:rPr>
                            <w:t>. D</w:t>
                          </w:r>
                          <w:r>
                            <w:rPr>
                              <w:szCs w:val="24"/>
                              <w:vertAlign w:val="subscript"/>
                            </w:rPr>
                            <w:t>išvystin</w:t>
                          </w:r>
                          <w:r>
                            <w:rPr>
                              <w:szCs w:val="24"/>
                            </w:rPr>
                            <w:t xml:space="preserve"> – diferencijavimas pagal savivaldybės infrastruktūros išvystymo lygį;</w:t>
                          </w:r>
                        </w:p>
                      </w:sdtContent>
                    </w:sdt>
                    <w:sdt>
                      <w:sdtPr>
                        <w:alias w:val="13.3 pp."/>
                        <w:tag w:val="part_b99a9a763273458f80b985566cf50199"/>
                        <w:lock w:val="sdtLocked"/>
                        <w:richText/>
                      </w:sdtPr>
                      <w:sdtContent>
                        <w:p>
                          <w:pPr>
                            <w:tabs>
                              <w:tab w:val="left" w:pos="851"/>
                              <w:tab w:val="left" w:pos="993"/>
                              <w:tab w:val="left" w:pos="1134"/>
                            </w:tabs>
                            <w:spacing w:line="276" w:lineRule="auto"/>
                            <w:ind w:firstLine="567"/>
                            <w:jc w:val="both"/>
                            <w:rPr>
                              <w:szCs w:val="24"/>
                            </w:rPr>
                          </w:pPr>
                          <w:sdt>
                            <w:sdtPr>
                              <w:alias w:val="Numeris"/>
                              <w:tag w:val="nr_b99a9a763273458f80b985566cf50199"/>
                              <w:lock w:val="sdtLocked"/>
                              <w:richText/>
                            </w:sdtPr>
                            <w:sdtContent>
                              <w:r>
                                <w:rPr>
                                  <w:szCs w:val="24"/>
                                </w:rPr>
                                <w:t>13.3</w:t>
                              </w:r>
                            </w:sdtContent>
                          </w:sdt>
                          <w:r>
                            <w:rPr>
                              <w:szCs w:val="24"/>
                            </w:rPr>
                            <w:t>. D</w:t>
                          </w:r>
                          <w:r>
                            <w:rPr>
                              <w:szCs w:val="24"/>
                              <w:vertAlign w:val="subscript"/>
                            </w:rPr>
                            <w:t>plėtrin</w:t>
                          </w:r>
                          <w:r>
                            <w:rPr>
                              <w:szCs w:val="24"/>
                            </w:rPr>
                            <w:t xml:space="preserve"> – diferencijavimas pagal savivaldybės infrastruktūros plėtros poreikį;</w:t>
                          </w:r>
                        </w:p>
                      </w:sdtContent>
                    </w:sdt>
                    <w:sdt>
                      <w:sdtPr>
                        <w:alias w:val="13.4 pp."/>
                        <w:tag w:val="part_35fe8692c9284f5b956e7059e3a0e296"/>
                        <w:lock w:val="sdtLocked"/>
                        <w:richText/>
                      </w:sdtPr>
                      <w:sdtContent>
                        <w:p>
                          <w:pPr>
                            <w:tabs>
                              <w:tab w:val="left" w:pos="851"/>
                              <w:tab w:val="left" w:pos="993"/>
                              <w:tab w:val="left" w:pos="1134"/>
                            </w:tabs>
                            <w:spacing w:line="276" w:lineRule="auto"/>
                            <w:ind w:firstLine="567"/>
                            <w:jc w:val="both"/>
                            <w:rPr>
                              <w:szCs w:val="24"/>
                            </w:rPr>
                          </w:pPr>
                          <w:sdt>
                            <w:sdtPr>
                              <w:alias w:val="Numeris"/>
                              <w:tag w:val="nr_35fe8692c9284f5b956e7059e3a0e296"/>
                              <w:lock w:val="sdtLocked"/>
                              <w:richText/>
                            </w:sdtPr>
                            <w:sdtContent>
                              <w:r>
                                <w:rPr>
                                  <w:szCs w:val="24"/>
                                </w:rPr>
                                <w:t>13.4</w:t>
                              </w:r>
                            </w:sdtContent>
                          </w:sdt>
                          <w:r>
                            <w:rPr>
                              <w:szCs w:val="24"/>
                            </w:rPr>
                            <w:t>. V</w:t>
                          </w:r>
                          <w:r>
                            <w:rPr>
                              <w:szCs w:val="24"/>
                              <w:vertAlign w:val="subscript"/>
                            </w:rPr>
                            <w:t>in</w:t>
                          </w:r>
                          <w:r>
                            <w:rPr>
                              <w:color w:val="FF0000"/>
                              <w:szCs w:val="24"/>
                            </w:rPr>
                            <w:t xml:space="preserve"> </w:t>
                          </w:r>
                          <w:r>
                            <w:rPr>
                              <w:szCs w:val="24"/>
                            </w:rPr>
                            <w:t>– inžinerinės</w:t>
                          </w:r>
                          <w:r>
                            <w:rPr>
                              <w:color w:val="FF0000"/>
                              <w:szCs w:val="24"/>
                            </w:rPr>
                            <w:t xml:space="preserve"> </w:t>
                          </w:r>
                          <w:r>
                            <w:rPr>
                              <w:szCs w:val="24"/>
                            </w:rPr>
                            <w:t>savivaldybės infrastruktūros plėtros išlaidų dydis konkrečioje savivaldybės (jos dalies) teritorijoje (Eur/m</w:t>
                          </w:r>
                          <w:r>
                            <w:rPr>
                              <w:szCs w:val="24"/>
                              <w:vertAlign w:val="superscript"/>
                            </w:rPr>
                            <w:t>2</w:t>
                          </w:r>
                          <w:r>
                            <w:rPr>
                              <w:szCs w:val="24"/>
                            </w:rPr>
                            <w:t xml:space="preserve">). </w:t>
                          </w:r>
                        </w:p>
                      </w:sdtContent>
                    </w:sdt>
                  </w:sdtContent>
                </w:sdt>
                <w:sdt>
                  <w:sdtPr>
                    <w:alias w:val="14 p."/>
                    <w:tag w:val="part_5f166a644e4b4d40aa0cbd8277be33fb"/>
                    <w:lock w:val="sdtLocked"/>
                    <w:richText/>
                  </w:sdtPr>
                  <w:sdtContent>
                    <w:p>
                      <w:pPr>
                        <w:tabs>
                          <w:tab w:val="left" w:pos="851"/>
                          <w:tab w:val="left" w:pos="993"/>
                        </w:tabs>
                        <w:spacing w:line="276" w:lineRule="auto"/>
                        <w:ind w:firstLine="567"/>
                        <w:jc w:val="both"/>
                        <w:rPr>
                          <w:szCs w:val="24"/>
                        </w:rPr>
                      </w:pPr>
                      <w:sdt>
                        <w:sdtPr>
                          <w:alias w:val="Numeris"/>
                          <w:tag w:val="nr_5f166a644e4b4d40aa0cbd8277be33fb"/>
                          <w:lock w:val="sdtLocked"/>
                          <w:richText/>
                        </w:sdtPr>
                        <w:sdtContent>
                          <w:r>
                            <w:rPr>
                              <w:szCs w:val="24"/>
                            </w:rPr>
                            <w:t>14</w:t>
                          </w:r>
                        </w:sdtContent>
                      </w:sdt>
                      <w:r>
                        <w:rPr>
                          <w:szCs w:val="24"/>
                        </w:rPr>
                        <w:t>. Diferencijavimui pagal pagrindinę žemės ir (ar) pastatų naudojimo paskirtį inžinerinės savivaldybės infrastruktūros plėtrai (D</w:t>
                      </w:r>
                      <w:r>
                        <w:rPr>
                          <w:szCs w:val="24"/>
                          <w:vertAlign w:val="subscript"/>
                        </w:rPr>
                        <w:t>žpnpin</w:t>
                      </w:r>
                      <w:r>
                        <w:rPr>
                          <w:szCs w:val="24"/>
                        </w:rPr>
                        <w:t xml:space="preserve">), savivaldybės tarybai </w:t>
                      </w:r>
                      <w:r>
                        <w:rPr>
                          <w:color w:val="000000"/>
                          <w:szCs w:val="24"/>
                        </w:rPr>
                        <w:t>rekomenduotina</w:t>
                      </w:r>
                      <w:r>
                        <w:rPr>
                          <w:color w:val="FF0000"/>
                          <w:szCs w:val="24"/>
                        </w:rPr>
                        <w:t xml:space="preserve"> </w:t>
                      </w:r>
                      <w:r>
                        <w:rPr>
                          <w:szCs w:val="24"/>
                        </w:rPr>
                        <w:t xml:space="preserve">nustatyti šiuos koeficientus: </w:t>
                      </w:r>
                    </w:p>
                    <w:sdt>
                      <w:sdtPr>
                        <w:alias w:val="14.1 pp."/>
                        <w:tag w:val="part_63512fc5d62a4cf6a9a33b5e307da232"/>
                        <w:lock w:val="sdtLocked"/>
                        <w:richText/>
                      </w:sdtPr>
                      <w:sdtContent>
                        <w:p>
                          <w:pPr>
                            <w:tabs>
                              <w:tab w:val="left" w:pos="851"/>
                              <w:tab w:val="left" w:pos="993"/>
                            </w:tabs>
                            <w:spacing w:line="276" w:lineRule="auto"/>
                            <w:ind w:firstLine="567"/>
                            <w:jc w:val="both"/>
                            <w:rPr>
                              <w:szCs w:val="24"/>
                            </w:rPr>
                          </w:pPr>
                          <w:sdt>
                            <w:sdtPr>
                              <w:alias w:val="Numeris"/>
                              <w:tag w:val="nr_63512fc5d62a4cf6a9a33b5e307da232"/>
                              <w:lock w:val="sdtLocked"/>
                              <w:richText/>
                            </w:sdtPr>
                            <w:sdtContent>
                              <w:r>
                                <w:rPr>
                                  <w:szCs w:val="24"/>
                                </w:rPr>
                                <w:t>14.1</w:t>
                              </w:r>
                            </w:sdtContent>
                          </w:sdt>
                          <w:r>
                            <w:rPr>
                              <w:szCs w:val="24"/>
                            </w:rPr>
                            <w:t xml:space="preserve">. žemės ūkio paskirties žemės sklype gyvenamosios ir negyvenamosios paskirties </w:t>
                          </w:r>
                          <w:r>
                            <w:rPr>
                              <w:color w:val="000000"/>
                              <w:szCs w:val="24"/>
                            </w:rPr>
                            <w:t xml:space="preserve">pastatams </w:t>
                          </w:r>
                          <w:r>
                            <w:rPr>
                              <w:szCs w:val="24"/>
                            </w:rPr>
                            <w:t xml:space="preserve">– nuo 1 iki 2; </w:t>
                          </w:r>
                        </w:p>
                      </w:sdtContent>
                    </w:sdt>
                    <w:sdt>
                      <w:sdtPr>
                        <w:alias w:val="14.2 pp."/>
                        <w:tag w:val="part_06a08bb097034d29865f35e89138ea1a"/>
                        <w:lock w:val="sdtLocked"/>
                        <w:richText/>
                      </w:sdtPr>
                      <w:sdtContent>
                        <w:p>
                          <w:pPr>
                            <w:tabs>
                              <w:tab w:val="left" w:pos="851"/>
                              <w:tab w:val="left" w:pos="993"/>
                            </w:tabs>
                            <w:spacing w:line="276" w:lineRule="auto"/>
                            <w:ind w:firstLine="567"/>
                            <w:jc w:val="both"/>
                            <w:rPr>
                              <w:szCs w:val="24"/>
                            </w:rPr>
                          </w:pPr>
                          <w:sdt>
                            <w:sdtPr>
                              <w:alias w:val="Numeris"/>
                              <w:tag w:val="nr_06a08bb097034d29865f35e89138ea1a"/>
                              <w:lock w:val="sdtLocked"/>
                              <w:richText/>
                            </w:sdtPr>
                            <w:sdtContent>
                              <w:r>
                                <w:rPr>
                                  <w:szCs w:val="24"/>
                                </w:rPr>
                                <w:t>14.2</w:t>
                              </w:r>
                            </w:sdtContent>
                          </w:sdt>
                          <w:r>
                            <w:rPr>
                              <w:szCs w:val="24"/>
                            </w:rPr>
                            <w:t>. miškų ūkio paskirties žemės sklypui – nuo 1 iki 2;</w:t>
                          </w:r>
                        </w:p>
                      </w:sdtContent>
                    </w:sdt>
                    <w:sdt>
                      <w:sdtPr>
                        <w:alias w:val="14.3 pp."/>
                        <w:tag w:val="part_d621dab1a86b4c64a773cda6344e73d1"/>
                        <w:lock w:val="sdtLocked"/>
                        <w:richText/>
                      </w:sdtPr>
                      <w:sdtContent>
                        <w:p>
                          <w:pPr>
                            <w:tabs>
                              <w:tab w:val="left" w:pos="851"/>
                              <w:tab w:val="left" w:pos="993"/>
                            </w:tabs>
                            <w:spacing w:line="276" w:lineRule="auto"/>
                            <w:ind w:firstLine="567"/>
                            <w:jc w:val="both"/>
                            <w:rPr>
                              <w:szCs w:val="24"/>
                            </w:rPr>
                          </w:pPr>
                          <w:sdt>
                            <w:sdtPr>
                              <w:alias w:val="Numeris"/>
                              <w:tag w:val="nr_d621dab1a86b4c64a773cda6344e73d1"/>
                              <w:lock w:val="sdtLocked"/>
                              <w:richText/>
                            </w:sdtPr>
                            <w:sdtContent>
                              <w:r>
                                <w:rPr>
                                  <w:szCs w:val="24"/>
                                </w:rPr>
                                <w:t>14.3</w:t>
                              </w:r>
                            </w:sdtContent>
                          </w:sdt>
                          <w:r>
                            <w:rPr>
                              <w:szCs w:val="24"/>
                            </w:rPr>
                            <w:t>. vandens ūkio paskirties žemės sklypui – nuo 1 iki 2;</w:t>
                          </w:r>
                        </w:p>
                      </w:sdtContent>
                    </w:sdt>
                    <w:sdt>
                      <w:sdtPr>
                        <w:alias w:val="14.4 pp."/>
                        <w:tag w:val="part_e82bb0d5eaac4bb581019a8f9f801a2c"/>
                        <w:lock w:val="sdtLocked"/>
                        <w:richText/>
                      </w:sdtPr>
                      <w:sdtContent>
                        <w:p>
                          <w:pPr>
                            <w:tabs>
                              <w:tab w:val="left" w:pos="851"/>
                              <w:tab w:val="left" w:pos="993"/>
                            </w:tabs>
                            <w:spacing w:line="276" w:lineRule="auto"/>
                            <w:ind w:firstLine="567"/>
                            <w:jc w:val="both"/>
                            <w:rPr>
                              <w:szCs w:val="24"/>
                            </w:rPr>
                          </w:pPr>
                          <w:sdt>
                            <w:sdtPr>
                              <w:alias w:val="Numeris"/>
                              <w:tag w:val="nr_e82bb0d5eaac4bb581019a8f9f801a2c"/>
                              <w:lock w:val="sdtLocked"/>
                              <w:richText/>
                            </w:sdtPr>
                            <w:sdtContent>
                              <w:r>
                                <w:rPr>
                                  <w:szCs w:val="24"/>
                                </w:rPr>
                                <w:t>14.4</w:t>
                              </w:r>
                            </w:sdtContent>
                          </w:sdt>
                          <w:r>
                            <w:rPr>
                              <w:szCs w:val="24"/>
                            </w:rPr>
                            <w:t>. konservacinės paskirties žemės sklypui – nuo 1 iki 2;</w:t>
                          </w:r>
                        </w:p>
                      </w:sdtContent>
                    </w:sdt>
                    <w:sdt>
                      <w:sdtPr>
                        <w:alias w:val="14.5 pp."/>
                        <w:tag w:val="part_b109923f98d3439185a339f8c2f2c4da"/>
                        <w:lock w:val="sdtLocked"/>
                        <w:richText/>
                      </w:sdtPr>
                      <w:sdtContent>
                        <w:p>
                          <w:pPr>
                            <w:tabs>
                              <w:tab w:val="left" w:pos="851"/>
                              <w:tab w:val="left" w:pos="993"/>
                            </w:tabs>
                            <w:spacing w:line="276" w:lineRule="auto"/>
                            <w:ind w:firstLine="567"/>
                            <w:jc w:val="both"/>
                            <w:rPr>
                              <w:szCs w:val="24"/>
                            </w:rPr>
                          </w:pPr>
                          <w:sdt>
                            <w:sdtPr>
                              <w:alias w:val="Numeris"/>
                              <w:tag w:val="nr_b109923f98d3439185a339f8c2f2c4da"/>
                              <w:lock w:val="sdtLocked"/>
                              <w:richText/>
                            </w:sdtPr>
                            <w:sdtContent>
                              <w:r>
                                <w:rPr>
                                  <w:szCs w:val="24"/>
                                </w:rPr>
                                <w:t>14.5</w:t>
                              </w:r>
                            </w:sdtContent>
                          </w:sdt>
                          <w:r>
                            <w:rPr>
                              <w:szCs w:val="24"/>
                            </w:rPr>
                            <w:t>. kitos paskirties žemės sklypui:</w:t>
                          </w:r>
                        </w:p>
                        <w:sdt>
                          <w:sdtPr>
                            <w:alias w:val="14.5.1 pp."/>
                            <w:tag w:val="part_aa1d09f3a732478a97be988ff39a11e8"/>
                            <w:lock w:val="sdtLocked"/>
                            <w:richText/>
                          </w:sdtPr>
                          <w:sdtContent>
                            <w:p>
                              <w:pPr>
                                <w:tabs>
                                  <w:tab w:val="left" w:pos="0"/>
                                  <w:tab w:val="left" w:pos="851"/>
                                </w:tabs>
                                <w:spacing w:line="276" w:lineRule="auto"/>
                                <w:ind w:firstLine="567"/>
                                <w:rPr>
                                  <w:szCs w:val="24"/>
                                </w:rPr>
                              </w:pPr>
                              <w:sdt>
                                <w:sdtPr>
                                  <w:alias w:val="Numeris"/>
                                  <w:tag w:val="nr_aa1d09f3a732478a97be988ff39a11e8"/>
                                  <w:lock w:val="sdtLocked"/>
                                  <w:richText/>
                                </w:sdtPr>
                                <w:sdtContent>
                                  <w:r>
                                    <w:rPr>
                                      <w:szCs w:val="24"/>
                                    </w:rPr>
                                    <w:t>14.5.1</w:t>
                                  </w:r>
                                </w:sdtContent>
                              </w:sdt>
                              <w:r>
                                <w:rPr>
                                  <w:szCs w:val="24"/>
                                </w:rPr>
                                <w:t>. daugiabučių gyvenamųjų pastatų ir bendrabučių teritorijų – nuo 0,5 iki 2;</w:t>
                              </w:r>
                            </w:p>
                          </w:sdtContent>
                        </w:sdt>
                        <w:sdt>
                          <w:sdtPr>
                            <w:alias w:val="14.5.2 pp."/>
                            <w:tag w:val="part_a205f119efb64ebdab95957ef56603c0"/>
                            <w:lock w:val="sdtLocked"/>
                            <w:richText/>
                          </w:sdtPr>
                          <w:sdtContent>
                            <w:p>
                              <w:pPr>
                                <w:tabs>
                                  <w:tab w:val="left" w:pos="0"/>
                                  <w:tab w:val="left" w:pos="851"/>
                                  <w:tab w:val="left" w:pos="993"/>
                                </w:tabs>
                                <w:spacing w:line="276" w:lineRule="auto"/>
                                <w:ind w:firstLine="567"/>
                                <w:rPr>
                                  <w:szCs w:val="24"/>
                                </w:rPr>
                              </w:pPr>
                              <w:sdt>
                                <w:sdtPr>
                                  <w:alias w:val="Numeris"/>
                                  <w:tag w:val="nr_a205f119efb64ebdab95957ef56603c0"/>
                                  <w:lock w:val="sdtLocked"/>
                                  <w:richText/>
                                </w:sdtPr>
                                <w:sdtContent>
                                  <w:r>
                                    <w:rPr>
                                      <w:szCs w:val="24"/>
                                    </w:rPr>
                                    <w:t>14.5.2</w:t>
                                  </w:r>
                                </w:sdtContent>
                              </w:sdt>
                              <w:r>
                                <w:rPr>
                                  <w:szCs w:val="24"/>
                                </w:rPr>
                                <w:t>. vienbučių ir dvibučių gyvenamųjų pastatų teritorijų – nuo 1 iki 2;</w:t>
                              </w:r>
                            </w:p>
                          </w:sdtContent>
                        </w:sdt>
                        <w:sdt>
                          <w:sdtPr>
                            <w:alias w:val="14.5.3 pp."/>
                            <w:tag w:val="part_99e07f70b43d4328a97ce41f8a9e7f8e"/>
                            <w:lock w:val="sdtLocked"/>
                            <w:richText/>
                          </w:sdtPr>
                          <w:sdtContent>
                            <w:p>
                              <w:pPr>
                                <w:tabs>
                                  <w:tab w:val="left" w:pos="0"/>
                                  <w:tab w:val="left" w:pos="851"/>
                                  <w:tab w:val="left" w:pos="993"/>
                                </w:tabs>
                                <w:spacing w:line="276" w:lineRule="auto"/>
                                <w:ind w:firstLine="567"/>
                                <w:rPr>
                                  <w:szCs w:val="24"/>
                                </w:rPr>
                              </w:pPr>
                              <w:sdt>
                                <w:sdtPr>
                                  <w:alias w:val="Numeris"/>
                                  <w:tag w:val="nr_99e07f70b43d4328a97ce41f8a9e7f8e"/>
                                  <w:lock w:val="sdtLocked"/>
                                  <w:richText/>
                                </w:sdtPr>
                                <w:sdtContent>
                                  <w:r>
                                    <w:rPr>
                                      <w:szCs w:val="24"/>
                                    </w:rPr>
                                    <w:t>14.5.3</w:t>
                                  </w:r>
                                </w:sdtContent>
                              </w:sdt>
                              <w:r>
                                <w:rPr>
                                  <w:szCs w:val="24"/>
                                </w:rPr>
                                <w:t xml:space="preserve">. visuomeninės paskirties teritorijų – nuo 0,5 iki 1; </w:t>
                              </w:r>
                            </w:p>
                          </w:sdtContent>
                        </w:sdt>
                        <w:sdt>
                          <w:sdtPr>
                            <w:alias w:val="14.5.4 pp."/>
                            <w:tag w:val="part_c75118e7332843a389daceda623f4906"/>
                            <w:lock w:val="sdtLocked"/>
                            <w:richText/>
                          </w:sdtPr>
                          <w:sdtContent>
                            <w:p>
                              <w:pPr>
                                <w:tabs>
                                  <w:tab w:val="left" w:pos="0"/>
                                  <w:tab w:val="left" w:pos="851"/>
                                  <w:tab w:val="left" w:pos="993"/>
                                </w:tabs>
                                <w:spacing w:line="276" w:lineRule="auto"/>
                                <w:ind w:firstLine="567"/>
                                <w:rPr>
                                  <w:szCs w:val="24"/>
                                </w:rPr>
                              </w:pPr>
                              <w:sdt>
                                <w:sdtPr>
                                  <w:alias w:val="Numeris"/>
                                  <w:tag w:val="nr_c75118e7332843a389daceda623f4906"/>
                                  <w:lock w:val="sdtLocked"/>
                                  <w:richText/>
                                </w:sdtPr>
                                <w:sdtContent>
                                  <w:r>
                                    <w:rPr>
                                      <w:szCs w:val="24"/>
                                    </w:rPr>
                                    <w:t>14.5.4</w:t>
                                  </w:r>
                                </w:sdtContent>
                              </w:sdt>
                              <w:r>
                                <w:rPr>
                                  <w:szCs w:val="24"/>
                                </w:rPr>
                                <w:t>. pramonės ir sandėliavimo objektų teritorijų – nuo 0,5 iki 1;</w:t>
                              </w:r>
                            </w:p>
                          </w:sdtContent>
                        </w:sdt>
                        <w:sdt>
                          <w:sdtPr>
                            <w:alias w:val="14.5.5 pp."/>
                            <w:tag w:val="part_3c73bf53b6214e4a8c2943ae0095d3a1"/>
                            <w:lock w:val="sdtLocked"/>
                            <w:richText/>
                          </w:sdtPr>
                          <w:sdtContent>
                            <w:p>
                              <w:pPr>
                                <w:tabs>
                                  <w:tab w:val="left" w:pos="0"/>
                                  <w:tab w:val="left" w:pos="851"/>
                                  <w:tab w:val="left" w:pos="993"/>
                                  <w:tab w:val="left" w:pos="1276"/>
                                </w:tabs>
                                <w:spacing w:line="276" w:lineRule="auto"/>
                                <w:ind w:firstLine="567"/>
                                <w:rPr>
                                  <w:szCs w:val="24"/>
                                </w:rPr>
                              </w:pPr>
                              <w:sdt>
                                <w:sdtPr>
                                  <w:alias w:val="Numeris"/>
                                  <w:tag w:val="nr_3c73bf53b6214e4a8c2943ae0095d3a1"/>
                                  <w:lock w:val="sdtLocked"/>
                                  <w:richText/>
                                </w:sdtPr>
                                <w:sdtContent>
                                  <w:r>
                                    <w:rPr>
                                      <w:szCs w:val="24"/>
                                    </w:rPr>
                                    <w:t>14.5.5</w:t>
                                  </w:r>
                                </w:sdtContent>
                              </w:sdt>
                              <w:r>
                                <w:rPr>
                                  <w:szCs w:val="24"/>
                                </w:rPr>
                                <w:t>. komercinės paskirties objektų teritorijų – nuo 0,5 iki 2;</w:t>
                              </w:r>
                            </w:p>
                          </w:sdtContent>
                        </w:sdt>
                        <w:sdt>
                          <w:sdtPr>
                            <w:alias w:val="14.5.6 pp."/>
                            <w:tag w:val="part_0462a2b0341d4847a28ade8c1bb6376a"/>
                            <w:lock w:val="sdtLocked"/>
                            <w:richText/>
                          </w:sdtPr>
                          <w:sdtContent>
                            <w:p>
                              <w:pPr>
                                <w:tabs>
                                  <w:tab w:val="left" w:pos="0"/>
                                  <w:tab w:val="left" w:pos="851"/>
                                  <w:tab w:val="left" w:pos="993"/>
                                </w:tabs>
                                <w:spacing w:line="276" w:lineRule="auto"/>
                                <w:ind w:firstLine="567"/>
                                <w:rPr>
                                  <w:szCs w:val="24"/>
                                </w:rPr>
                              </w:pPr>
                              <w:sdt>
                                <w:sdtPr>
                                  <w:alias w:val="Numeris"/>
                                  <w:tag w:val="nr_0462a2b0341d4847a28ade8c1bb6376a"/>
                                  <w:lock w:val="sdtLocked"/>
                                  <w:richText/>
                                </w:sdtPr>
                                <w:sdtContent>
                                  <w:r>
                                    <w:rPr>
                                      <w:szCs w:val="24"/>
                                    </w:rPr>
                                    <w:t>14.5.6</w:t>
                                  </w:r>
                                </w:sdtContent>
                              </w:sdt>
                              <w:r>
                                <w:rPr>
                                  <w:szCs w:val="24"/>
                                </w:rPr>
                                <w:t>. rekreacinių teritorijų – nuo 1 iki 2;</w:t>
                              </w:r>
                            </w:p>
                          </w:sdtContent>
                        </w:sdt>
                        <w:sdt>
                          <w:sdtPr>
                            <w:alias w:val="14.5.7 pp."/>
                            <w:tag w:val="part_495c654c35c540ffb611ea14820bd4ce"/>
                            <w:lock w:val="sdtLocked"/>
                            <w:richText/>
                          </w:sdtPr>
                          <w:sdtContent>
                            <w:p>
                              <w:pPr>
                                <w:tabs>
                                  <w:tab w:val="left" w:pos="851"/>
                                  <w:tab w:val="left" w:pos="993"/>
                                </w:tabs>
                                <w:spacing w:line="276" w:lineRule="auto"/>
                                <w:ind w:firstLine="567"/>
                                <w:jc w:val="both"/>
                                <w:rPr>
                                  <w:szCs w:val="24"/>
                                </w:rPr>
                              </w:pPr>
                              <w:sdt>
                                <w:sdtPr>
                                  <w:alias w:val="Numeris"/>
                                  <w:tag w:val="nr_495c654c35c540ffb611ea14820bd4ce"/>
                                  <w:lock w:val="sdtLocked"/>
                                  <w:richText/>
                                </w:sdtPr>
                                <w:sdtContent>
                                  <w:r>
                                    <w:rPr>
                                      <w:szCs w:val="24"/>
                                    </w:rPr>
                                    <w:t>14.5.7</w:t>
                                  </w:r>
                                </w:sdtContent>
                              </w:sdt>
                              <w:r>
                                <w:rPr>
                                  <w:szCs w:val="24"/>
                                </w:rPr>
                                <w:t>. kitiems žemės sklypams – nuo 0,5 iki 2.</w:t>
                              </w:r>
                            </w:p>
                          </w:sdtContent>
                        </w:sdt>
                      </w:sdtContent>
                    </w:sdt>
                  </w:sdtContent>
                </w:sdt>
                <w:sdt>
                  <w:sdtPr>
                    <w:alias w:val="15 p."/>
                    <w:tag w:val="part_00fefb44a3104c3793d253f002594abf"/>
                    <w:lock w:val="sdtLocked"/>
                    <w:richText/>
                  </w:sdtPr>
                  <w:sdtContent>
                    <w:p>
                      <w:pPr>
                        <w:tabs>
                          <w:tab w:val="left" w:pos="851"/>
                          <w:tab w:val="left" w:pos="993"/>
                        </w:tabs>
                        <w:spacing w:line="276" w:lineRule="auto"/>
                        <w:ind w:firstLine="567"/>
                        <w:jc w:val="both"/>
                        <w:rPr>
                          <w:szCs w:val="24"/>
                        </w:rPr>
                      </w:pPr>
                      <w:sdt>
                        <w:sdtPr>
                          <w:alias w:val="Numeris"/>
                          <w:tag w:val="nr_00fefb44a3104c3793d253f002594abf"/>
                          <w:lock w:val="sdtLocked"/>
                          <w:richText/>
                        </w:sdtPr>
                        <w:sdtContent>
                          <w:r>
                            <w:rPr>
                              <w:szCs w:val="24"/>
                            </w:rPr>
                            <w:t>15</w:t>
                          </w:r>
                        </w:sdtContent>
                      </w:sdt>
                      <w:r>
                        <w:rPr>
                          <w:szCs w:val="24"/>
                        </w:rPr>
                        <w:t>. Diferencijavimui pagal savivaldybės infrastruktūros išvystymo lygį, numatytą teritorijų planavimo dokumentuose (D</w:t>
                      </w:r>
                      <w:r>
                        <w:rPr>
                          <w:szCs w:val="24"/>
                          <w:vertAlign w:val="subscript"/>
                        </w:rPr>
                        <w:t>išvystin</w:t>
                      </w:r>
                      <w:r>
                        <w:rPr>
                          <w:szCs w:val="24"/>
                        </w:rPr>
                        <w:t>), kuriais suplanuota savivaldybės inžinerinė infrastruktūra, ar strateginio planavimo dokumentuose, savivaldybės tarybai rekomenduotina nustatyti šiuos koeficientus:</w:t>
                      </w:r>
                    </w:p>
                    <w:sdt>
                      <w:sdtPr>
                        <w:alias w:val="15.1 pp."/>
                        <w:tag w:val="part_24aec56d48fe44228d034858ad3df792"/>
                        <w:lock w:val="sdtLocked"/>
                        <w:richText/>
                      </w:sdtPr>
                      <w:sdtContent>
                        <w:p>
                          <w:pPr>
                            <w:shd w:val="clear" w:color="auto" w:fill="FFFFFF"/>
                            <w:spacing w:line="276" w:lineRule="auto"/>
                            <w:ind w:firstLine="567"/>
                            <w:jc w:val="both"/>
                            <w:rPr>
                              <w:color w:val="201F1E"/>
                              <w:sz w:val="22"/>
                              <w:szCs w:val="22"/>
                            </w:rPr>
                          </w:pPr>
                          <w:sdt>
                            <w:sdtPr>
                              <w:alias w:val="Numeris"/>
                              <w:tag w:val="nr_24aec56d48fe44228d034858ad3df792"/>
                              <w:lock w:val="sdtLocked"/>
                              <w:richText/>
                            </w:sdtPr>
                            <w:sdtContent>
                              <w:r>
                                <w:rPr>
                                  <w:color w:val="000000"/>
                                  <w:szCs w:val="24"/>
                                  <w:bdr w:val="none" w:sz="0" w:space="0" w:color="auto" w:frame="1"/>
                                </w:rPr>
                                <w:t>15.1</w:t>
                              </w:r>
                            </w:sdtContent>
                          </w:sdt>
                          <w:r>
                            <w:rPr>
                              <w:color w:val="000000"/>
                              <w:szCs w:val="24"/>
                              <w:bdr w:val="none" w:sz="0" w:space="0" w:color="auto" w:frame="1"/>
                            </w:rPr>
                            <w:t> neurbanizuojamos teritorijos funkcinėms zonoms:</w:t>
                          </w:r>
                        </w:p>
                        <w:sdt>
                          <w:sdtPr>
                            <w:alias w:val="15.1.1 pp."/>
                            <w:tag w:val="part_838a886ce8f54cec8dcea43e560b2f7b"/>
                            <w:lock w:val="sdtLocked"/>
                            <w:richText/>
                          </w:sdtPr>
                          <w:sdtContent>
                            <w:p>
                              <w:pPr>
                                <w:shd w:val="clear" w:color="auto" w:fill="FFFFFF"/>
                                <w:spacing w:line="276" w:lineRule="auto"/>
                                <w:ind w:firstLine="567"/>
                                <w:jc w:val="both"/>
                                <w:rPr>
                                  <w:color w:val="201F1E"/>
                                  <w:sz w:val="22"/>
                                  <w:szCs w:val="22"/>
                                </w:rPr>
                              </w:pPr>
                              <w:sdt>
                                <w:sdtPr>
                                  <w:alias w:val="Numeris"/>
                                  <w:tag w:val="nr_838a886ce8f54cec8dcea43e560b2f7b"/>
                                  <w:lock w:val="sdtLocked"/>
                                  <w:richText/>
                                </w:sdtPr>
                                <w:sdtContent>
                                  <w:r>
                                    <w:rPr>
                                      <w:color w:val="000000"/>
                                      <w:szCs w:val="24"/>
                                      <w:bdr w:val="none" w:sz="0" w:space="0" w:color="auto" w:frame="1"/>
                                    </w:rPr>
                                    <w:t>15.1.1</w:t>
                                  </w:r>
                                </w:sdtContent>
                              </w:sdt>
                              <w:r>
                                <w:rPr>
                                  <w:color w:val="000000"/>
                                  <w:szCs w:val="24"/>
                                  <w:bdr w:val="none" w:sz="0" w:space="0" w:color="auto" w:frame="1"/>
                                </w:rPr>
                                <w:t>.</w:t>
                              </w:r>
                              <w:r>
                                <w:rPr>
                                  <w:bCs/>
                                  <w:color w:val="000000"/>
                                  <w:szCs w:val="24"/>
                                  <w:bdr w:val="none" w:sz="0" w:space="0" w:color="auto" w:frame="1"/>
                                </w:rPr>
                                <w:t xml:space="preserve"> miškų ir miškingų teritorijų zonai </w:t>
                              </w:r>
                              <w:r>
                                <w:rPr>
                                  <w:color w:val="000000"/>
                                  <w:szCs w:val="24"/>
                                </w:rPr>
                                <w:t xml:space="preserve"> </w:t>
                              </w:r>
                              <w:r>
                                <w:rPr>
                                  <w:szCs w:val="24"/>
                                </w:rPr>
                                <w:t xml:space="preserve">– </w:t>
                              </w:r>
                              <w:r>
                                <w:rPr>
                                  <w:bCs/>
                                  <w:color w:val="000000"/>
                                  <w:szCs w:val="24"/>
                                  <w:bdr w:val="none" w:sz="0" w:space="0" w:color="auto" w:frame="1"/>
                                </w:rPr>
                                <w:t>nuo 1 iki 2;</w:t>
                              </w:r>
                            </w:p>
                          </w:sdtContent>
                        </w:sdt>
                        <w:sdt>
                          <w:sdtPr>
                            <w:alias w:val="15.1.2 pp."/>
                            <w:tag w:val="part_0e6c5f90229d4af996e5a7624c3e52dd"/>
                            <w:lock w:val="sdtLocked"/>
                            <w:richText/>
                          </w:sdtPr>
                          <w:sdtContent>
                            <w:p>
                              <w:pPr>
                                <w:shd w:val="clear" w:color="auto" w:fill="FFFFFF"/>
                                <w:spacing w:line="276" w:lineRule="auto"/>
                                <w:ind w:firstLine="567"/>
                                <w:jc w:val="both"/>
                                <w:rPr>
                                  <w:color w:val="201F1E"/>
                                  <w:sz w:val="22"/>
                                  <w:szCs w:val="22"/>
                                </w:rPr>
                              </w:pPr>
                              <w:sdt>
                                <w:sdtPr>
                                  <w:alias w:val="Numeris"/>
                                  <w:tag w:val="nr_0e6c5f90229d4af996e5a7624c3e52dd"/>
                                  <w:lock w:val="sdtLocked"/>
                                  <w:richText/>
                                </w:sdtPr>
                                <w:sdtContent>
                                  <w:r>
                                    <w:rPr>
                                      <w:color w:val="000000"/>
                                      <w:szCs w:val="24"/>
                                      <w:bdr w:val="none" w:sz="0" w:space="0" w:color="auto" w:frame="1"/>
                                    </w:rPr>
                                    <w:t>15.1.2</w:t>
                                  </w:r>
                                </w:sdtContent>
                              </w:sdt>
                              <w:r>
                                <w:rPr>
                                  <w:color w:val="000000"/>
                                  <w:szCs w:val="24"/>
                                  <w:bdr w:val="none" w:sz="0" w:space="0" w:color="auto" w:frame="1"/>
                                </w:rPr>
                                <w:t>.</w:t>
                              </w:r>
                              <w:r>
                                <w:rPr>
                                  <w:bCs/>
                                  <w:color w:val="000000"/>
                                  <w:szCs w:val="24"/>
                                  <w:bdr w:val="none" w:sz="0" w:space="0" w:color="auto" w:frame="1"/>
                                </w:rPr>
                                <w:t> žemės ūkio teritorijų zonai:</w:t>
                              </w:r>
                            </w:p>
                            <w:sdt>
                              <w:sdtPr>
                                <w:alias w:val="15.1.2.1 pp."/>
                                <w:tag w:val="part_4db4a8343d6945ce9f8d7e72e49822c1"/>
                                <w:lock w:val="sdtLocked"/>
                                <w:richText/>
                              </w:sdtPr>
                              <w:sdtContent>
                                <w:p>
                                  <w:pPr>
                                    <w:shd w:val="clear" w:color="auto" w:fill="FFFFFF"/>
                                    <w:spacing w:line="276" w:lineRule="auto"/>
                                    <w:ind w:firstLine="567"/>
                                    <w:jc w:val="both"/>
                                    <w:rPr>
                                      <w:color w:val="201F1E"/>
                                      <w:sz w:val="22"/>
                                      <w:szCs w:val="22"/>
                                    </w:rPr>
                                  </w:pPr>
                                  <w:sdt>
                                    <w:sdtPr>
                                      <w:alias w:val="Numeris"/>
                                      <w:tag w:val="nr_4db4a8343d6945ce9f8d7e72e49822c1"/>
                                      <w:lock w:val="sdtLocked"/>
                                      <w:richText/>
                                    </w:sdtPr>
                                    <w:sdtContent>
                                      <w:r>
                                        <w:rPr>
                                          <w:color w:val="000000"/>
                                          <w:szCs w:val="24"/>
                                          <w:bdr w:val="none" w:sz="0" w:space="0" w:color="auto" w:frame="1"/>
                                        </w:rPr>
                                        <w:t>15.1.2.1</w:t>
                                      </w:r>
                                    </w:sdtContent>
                                  </w:sdt>
                                  <w:r>
                                    <w:rPr>
                                      <w:color w:val="000000"/>
                                      <w:szCs w:val="24"/>
                                      <w:bdr w:val="none" w:sz="0" w:space="0" w:color="auto" w:frame="1"/>
                                    </w:rPr>
                                    <w:t xml:space="preserve">. specializuotų ūkių ir žemės ūkio teritorijų zonai </w:t>
                                  </w:r>
                                  <w:r>
                                    <w:rPr>
                                      <w:color w:val="000000"/>
                                      <w:szCs w:val="24"/>
                                    </w:rPr>
                                    <w:t xml:space="preserve"> </w:t>
                                  </w:r>
                                  <w:r>
                                    <w:rPr>
                                      <w:szCs w:val="24"/>
                                    </w:rPr>
                                    <w:t xml:space="preserve">– </w:t>
                                  </w:r>
                                  <w:r>
                                    <w:rPr>
                                      <w:color w:val="000000"/>
                                      <w:szCs w:val="24"/>
                                      <w:bdr w:val="none" w:sz="0" w:space="0" w:color="auto" w:frame="1"/>
                                    </w:rPr>
                                    <w:t>nuo 0,1 iki 1;</w:t>
                                  </w:r>
                                </w:p>
                              </w:sdtContent>
                            </w:sdt>
                            <w:sdt>
                              <w:sdtPr>
                                <w:alias w:val="15.1.2.2 pp."/>
                                <w:tag w:val="part_10a594e61d6d488b90471d8e829c9b83"/>
                                <w:lock w:val="sdtLocked"/>
                                <w:richText/>
                              </w:sdtPr>
                              <w:sdtContent>
                                <w:p>
                                  <w:pPr>
                                    <w:shd w:val="clear" w:color="auto" w:fill="FFFFFF"/>
                                    <w:spacing w:line="276" w:lineRule="auto"/>
                                    <w:ind w:firstLine="567"/>
                                    <w:jc w:val="both"/>
                                    <w:rPr>
                                      <w:color w:val="201F1E"/>
                                      <w:sz w:val="22"/>
                                      <w:szCs w:val="22"/>
                                      <w:lang w:val="en-US"/>
                                    </w:rPr>
                                  </w:pPr>
                                  <w:sdt>
                                    <w:sdtPr>
                                      <w:alias w:val="Numeris"/>
                                      <w:tag w:val="nr_10a594e61d6d488b90471d8e829c9b83"/>
                                      <w:lock w:val="sdtLocked"/>
                                      <w:richText/>
                                    </w:sdtPr>
                                    <w:sdtContent>
                                      <w:r>
                                        <w:rPr>
                                          <w:color w:val="000000"/>
                                          <w:szCs w:val="24"/>
                                          <w:bdr w:val="none" w:sz="0" w:space="0" w:color="auto" w:frame="1"/>
                                        </w:rPr>
                                        <w:t>15.1.2.2</w:t>
                                      </w:r>
                                    </w:sdtContent>
                                  </w:sdt>
                                  <w:r>
                                    <w:rPr>
                                      <w:color w:val="000000"/>
                                      <w:szCs w:val="24"/>
                                      <w:bdr w:val="none" w:sz="0" w:space="0" w:color="auto" w:frame="1"/>
                                    </w:rPr>
                                    <w:t xml:space="preserve">. rekreacinio naudojimo žemės ūkio teritorijų zonai </w:t>
                                  </w:r>
                                  <w:r>
                                    <w:rPr>
                                      <w:color w:val="000000"/>
                                      <w:szCs w:val="24"/>
                                      <w:lang w:val="en-US"/>
                                    </w:rPr>
                                    <w:t xml:space="preserve"> </w:t>
                                  </w:r>
                                  <w:r>
                                    <w:rPr>
                                      <w:szCs w:val="24"/>
                                      <w:lang w:val="en-US"/>
                                    </w:rPr>
                                    <w:t xml:space="preserve">– </w:t>
                                  </w:r>
                                  <w:r>
                                    <w:rPr>
                                      <w:color w:val="000000"/>
                                      <w:szCs w:val="24"/>
                                      <w:bdr w:val="none" w:sz="0" w:space="0" w:color="auto" w:frame="1"/>
                                    </w:rPr>
                                    <w:t>nuo 1,5 iki 2;</w:t>
                                  </w:r>
                                </w:p>
                              </w:sdtContent>
                            </w:sdt>
                          </w:sdtContent>
                        </w:sdt>
                        <w:sdt>
                          <w:sdtPr>
                            <w:alias w:val="15.1.3 pp."/>
                            <w:tag w:val="part_b0846cde6cef473da28e9595d2120cc4"/>
                            <w:lock w:val="sdtLocked"/>
                            <w:richText/>
                          </w:sdtPr>
                          <w:sdtContent>
                            <w:p>
                              <w:pPr>
                                <w:shd w:val="clear" w:color="auto" w:fill="FFFFFF"/>
                                <w:spacing w:line="276" w:lineRule="auto"/>
                                <w:ind w:firstLine="567"/>
                                <w:jc w:val="both"/>
                                <w:rPr>
                                  <w:color w:val="201F1E"/>
                                  <w:sz w:val="22"/>
                                  <w:szCs w:val="22"/>
                                  <w:lang w:val="en-US"/>
                                </w:rPr>
                              </w:pPr>
                              <w:sdt>
                                <w:sdtPr>
                                  <w:alias w:val="Numeris"/>
                                  <w:tag w:val="nr_b0846cde6cef473da28e9595d2120cc4"/>
                                  <w:lock w:val="sdtLocked"/>
                                  <w:richText/>
                                </w:sdtPr>
                                <w:sdtContent>
                                  <w:r>
                                    <w:rPr>
                                      <w:color w:val="000000"/>
                                      <w:szCs w:val="24"/>
                                      <w:bdr w:val="none" w:sz="0" w:space="0" w:color="auto" w:frame="1"/>
                                    </w:rPr>
                                    <w:t>15.1.3</w:t>
                                  </w:r>
                                </w:sdtContent>
                              </w:sdt>
                              <w:r>
                                <w:rPr>
                                  <w:color w:val="000000"/>
                                  <w:szCs w:val="24"/>
                                  <w:bdr w:val="none" w:sz="0" w:space="0" w:color="auto" w:frame="1"/>
                                </w:rPr>
                                <w:t>. </w:t>
                              </w:r>
                              <w:r>
                                <w:rPr>
                                  <w:bCs/>
                                  <w:color w:val="000000"/>
                                  <w:szCs w:val="24"/>
                                  <w:bdr w:val="none" w:sz="0" w:space="0" w:color="auto" w:frame="1"/>
                                </w:rPr>
                                <w:t xml:space="preserve">vandenų zonai </w:t>
                              </w:r>
                              <w:r>
                                <w:rPr>
                                  <w:szCs w:val="24"/>
                                  <w:lang w:val="en-US"/>
                                </w:rPr>
                                <w:t xml:space="preserve">– </w:t>
                              </w:r>
                              <w:r>
                                <w:rPr>
                                  <w:color w:val="000000"/>
                                  <w:szCs w:val="24"/>
                                  <w:bdr w:val="none" w:sz="0" w:space="0" w:color="auto" w:frame="1"/>
                                </w:rPr>
                                <w:t>nuo 1 iki 2;</w:t>
                              </w:r>
                            </w:p>
                          </w:sdtContent>
                        </w:sdt>
                        <w:sdt>
                          <w:sdtPr>
                            <w:alias w:val="15.1.4 pp."/>
                            <w:tag w:val="part_110312cfa8f54dedabda38008f26bc82"/>
                            <w:lock w:val="sdtLocked"/>
                            <w:richText/>
                          </w:sdtPr>
                          <w:sdtContent>
                            <w:p>
                              <w:pPr>
                                <w:shd w:val="clear" w:color="auto" w:fill="FFFFFF"/>
                                <w:spacing w:line="276" w:lineRule="auto"/>
                                <w:ind w:firstLine="567"/>
                                <w:jc w:val="both"/>
                                <w:rPr>
                                  <w:color w:val="201F1E"/>
                                  <w:sz w:val="22"/>
                                  <w:szCs w:val="22"/>
                                  <w:lang w:val="en-US"/>
                                </w:rPr>
                              </w:pPr>
                              <w:sdt>
                                <w:sdtPr>
                                  <w:alias w:val="Numeris"/>
                                  <w:tag w:val="nr_110312cfa8f54dedabda38008f26bc82"/>
                                  <w:lock w:val="sdtLocked"/>
                                  <w:richText/>
                                </w:sdtPr>
                                <w:sdtContent>
                                  <w:r>
                                    <w:rPr>
                                      <w:color w:val="000000"/>
                                      <w:szCs w:val="24"/>
                                      <w:bdr w:val="none" w:sz="0" w:space="0" w:color="auto" w:frame="1"/>
                                    </w:rPr>
                                    <w:t>15.1.4</w:t>
                                  </w:r>
                                </w:sdtContent>
                              </w:sdt>
                              <w:r>
                                <w:rPr>
                                  <w:color w:val="000000"/>
                                  <w:szCs w:val="24"/>
                                  <w:bdr w:val="none" w:sz="0" w:space="0" w:color="auto" w:frame="1"/>
                                </w:rPr>
                                <w:t>. </w:t>
                              </w:r>
                              <w:r>
                                <w:rPr>
                                  <w:bCs/>
                                  <w:color w:val="000000"/>
                                  <w:szCs w:val="24"/>
                                  <w:bdr w:val="none" w:sz="0" w:space="0" w:color="auto" w:frame="1"/>
                                </w:rPr>
                                <w:t xml:space="preserve">konservacinės teritorijos zonai </w:t>
                              </w:r>
                              <w:r>
                                <w:rPr>
                                  <w:color w:val="000000"/>
                                  <w:szCs w:val="24"/>
                                  <w:lang w:val="en-US"/>
                                </w:rPr>
                                <w:t xml:space="preserve"> </w:t>
                              </w:r>
                              <w:r>
                                <w:rPr>
                                  <w:szCs w:val="24"/>
                                  <w:lang w:val="en-US"/>
                                </w:rPr>
                                <w:t xml:space="preserve">– </w:t>
                              </w:r>
                              <w:r>
                                <w:rPr>
                                  <w:bCs/>
                                  <w:color w:val="000000"/>
                                  <w:szCs w:val="24"/>
                                  <w:bdr w:val="none" w:sz="0" w:space="0" w:color="auto" w:frame="1"/>
                                </w:rPr>
                                <w:t>nuo 1 iki 2;</w:t>
                              </w:r>
                            </w:p>
                          </w:sdtContent>
                        </w:sdt>
                      </w:sdtContent>
                    </w:sdt>
                    <w:sdt>
                      <w:sdtPr>
                        <w:alias w:val="15.2 pp."/>
                        <w:tag w:val="part_ce5118804d29412b8b26cb049cf99062"/>
                        <w:lock w:val="sdtLocked"/>
                        <w:richText/>
                      </w:sdtPr>
                      <w:sdtContent>
                        <w:p>
                          <w:pPr>
                            <w:shd w:val="clear" w:color="auto" w:fill="FFFFFF"/>
                            <w:spacing w:line="276" w:lineRule="auto"/>
                            <w:ind w:firstLine="567"/>
                            <w:jc w:val="both"/>
                            <w:rPr>
                              <w:color w:val="201F1E"/>
                              <w:sz w:val="22"/>
                              <w:szCs w:val="22"/>
                              <w:lang w:val="en-US"/>
                            </w:rPr>
                          </w:pPr>
                          <w:sdt>
                            <w:sdtPr>
                              <w:alias w:val="Numeris"/>
                              <w:tag w:val="nr_ce5118804d29412b8b26cb049cf99062"/>
                              <w:lock w:val="sdtLocked"/>
                              <w:richText/>
                            </w:sdtPr>
                            <w:sdtContent>
                              <w:r>
                                <w:rPr>
                                  <w:color w:val="000000"/>
                                  <w:szCs w:val="24"/>
                                  <w:bdr w:val="none" w:sz="0" w:space="0" w:color="auto" w:frame="1"/>
                                </w:rPr>
                                <w:t>15.2</w:t>
                              </w:r>
                            </w:sdtContent>
                          </w:sdt>
                          <w:r>
                            <w:rPr>
                              <w:color w:val="000000"/>
                              <w:szCs w:val="24"/>
                              <w:bdr w:val="none" w:sz="0" w:space="0" w:color="auto" w:frame="1"/>
                            </w:rPr>
                            <w:t>. urbanizuotos ir urbanizuojamos teritorijos funkcinei zonai:</w:t>
                          </w:r>
                        </w:p>
                        <w:sdt>
                          <w:sdtPr>
                            <w:alias w:val="15.2.1 pp."/>
                            <w:tag w:val="part_1070215fc20b4382b9a80c003311eaac"/>
                            <w:lock w:val="sdtLocked"/>
                            <w:richText/>
                          </w:sdtPr>
                          <w:sdtContent>
                            <w:p>
                              <w:pPr>
                                <w:shd w:val="clear" w:color="auto" w:fill="FFFFFF"/>
                                <w:spacing w:line="276" w:lineRule="auto"/>
                                <w:ind w:firstLine="567"/>
                                <w:jc w:val="both"/>
                                <w:rPr>
                                  <w:color w:val="201F1E"/>
                                  <w:sz w:val="22"/>
                                  <w:szCs w:val="22"/>
                                  <w:lang w:val="en-US"/>
                                </w:rPr>
                              </w:pPr>
                              <w:sdt>
                                <w:sdtPr>
                                  <w:alias w:val="Numeris"/>
                                  <w:tag w:val="nr_1070215fc20b4382b9a80c003311eaac"/>
                                  <w:lock w:val="sdtLocked"/>
                                  <w:richText/>
                                </w:sdtPr>
                                <w:sdtContent>
                                  <w:r>
                                    <w:rPr>
                                      <w:color w:val="000000"/>
                                      <w:szCs w:val="24"/>
                                      <w:bdr w:val="none" w:sz="0" w:space="0" w:color="auto" w:frame="1"/>
                                    </w:rPr>
                                    <w:t>15.2.1</w:t>
                                  </w:r>
                                </w:sdtContent>
                              </w:sdt>
                              <w:r>
                                <w:rPr>
                                  <w:color w:val="000000"/>
                                  <w:szCs w:val="24"/>
                                  <w:bdr w:val="none" w:sz="0" w:space="0" w:color="auto" w:frame="1"/>
                                </w:rPr>
                                <w:t>. </w:t>
                              </w:r>
                              <w:r>
                                <w:rPr>
                                  <w:bCs/>
                                  <w:color w:val="000000"/>
                                  <w:szCs w:val="24"/>
                                  <w:bdr w:val="none" w:sz="0" w:space="0" w:color="auto" w:frame="1"/>
                                </w:rPr>
                                <w:t>gyvenamajai zonai</w:t>
                              </w:r>
                              <w:r>
                                <w:rPr>
                                  <w:color w:val="000000"/>
                                  <w:szCs w:val="24"/>
                                  <w:bdr w:val="none" w:sz="0" w:space="0" w:color="auto" w:frame="1"/>
                                </w:rPr>
                                <w:t>:</w:t>
                              </w:r>
                            </w:p>
                            <w:sdt>
                              <w:sdtPr>
                                <w:alias w:val="15.2.1.1 pp."/>
                                <w:tag w:val="part_2586780890f448a182e0562e213d55ab"/>
                                <w:lock w:val="sdtLocked"/>
                                <w:richText/>
                              </w:sdtPr>
                              <w:sdtContent>
                                <w:p>
                                  <w:pPr>
                                    <w:shd w:val="clear" w:color="auto" w:fill="FFFFFF"/>
                                    <w:spacing w:line="276" w:lineRule="auto"/>
                                    <w:ind w:firstLine="567"/>
                                    <w:jc w:val="both"/>
                                    <w:rPr>
                                      <w:color w:val="201F1E"/>
                                      <w:sz w:val="22"/>
                                      <w:szCs w:val="22"/>
                                      <w:lang w:val="en-US"/>
                                    </w:rPr>
                                  </w:pPr>
                                  <w:sdt>
                                    <w:sdtPr>
                                      <w:alias w:val="Numeris"/>
                                      <w:tag w:val="nr_2586780890f448a182e0562e213d55ab"/>
                                      <w:lock w:val="sdtLocked"/>
                                      <w:richText/>
                                    </w:sdtPr>
                                    <w:sdtContent>
                                      <w:r>
                                        <w:rPr>
                                          <w:color w:val="000000"/>
                                          <w:szCs w:val="24"/>
                                          <w:bdr w:val="none" w:sz="0" w:space="0" w:color="auto" w:frame="1"/>
                                        </w:rPr>
                                        <w:t>15.2.1.1</w:t>
                                      </w:r>
                                    </w:sdtContent>
                                  </w:sdt>
                                  <w:r>
                                    <w:rPr>
                                      <w:color w:val="000000"/>
                                      <w:szCs w:val="24"/>
                                      <w:bdr w:val="none" w:sz="0" w:space="0" w:color="auto" w:frame="1"/>
                                    </w:rPr>
                                    <w:t xml:space="preserve">. ekstensyvaus užstatymo gyvenamajai zonai </w:t>
                                  </w:r>
                                  <w:r>
                                    <w:rPr>
                                      <w:color w:val="000000"/>
                                      <w:szCs w:val="24"/>
                                      <w:lang w:val="en-US"/>
                                    </w:rPr>
                                    <w:t xml:space="preserve"> </w:t>
                                  </w:r>
                                  <w:r>
                                    <w:rPr>
                                      <w:szCs w:val="24"/>
                                      <w:lang w:val="en-US"/>
                                    </w:rPr>
                                    <w:t xml:space="preserve">– </w:t>
                                  </w:r>
                                  <w:r>
                                    <w:rPr>
                                      <w:color w:val="000000"/>
                                      <w:szCs w:val="24"/>
                                      <w:bdr w:val="none" w:sz="0" w:space="0" w:color="auto" w:frame="1"/>
                                    </w:rPr>
                                    <w:t>nuo 1 iki 2;</w:t>
                                  </w:r>
                                </w:p>
                              </w:sdtContent>
                            </w:sdt>
                            <w:sdt>
                              <w:sdtPr>
                                <w:alias w:val="15.2.1.2 pp."/>
                                <w:tag w:val="part_247a4a72f0e1498eb054d290e48fc2d0"/>
                                <w:lock w:val="sdtLocked"/>
                                <w:richText/>
                              </w:sdtPr>
                              <w:sdtContent>
                                <w:p>
                                  <w:pPr>
                                    <w:shd w:val="clear" w:color="auto" w:fill="FFFFFF"/>
                                    <w:spacing w:line="276" w:lineRule="auto"/>
                                    <w:ind w:firstLine="567"/>
                                    <w:jc w:val="both"/>
                                    <w:rPr>
                                      <w:color w:val="201F1E"/>
                                      <w:sz w:val="22"/>
                                      <w:szCs w:val="22"/>
                                      <w:lang w:val="en-US"/>
                                    </w:rPr>
                                  </w:pPr>
                                  <w:sdt>
                                    <w:sdtPr>
                                      <w:alias w:val="Numeris"/>
                                      <w:tag w:val="nr_247a4a72f0e1498eb054d290e48fc2d0"/>
                                      <w:lock w:val="sdtLocked"/>
                                      <w:richText/>
                                    </w:sdtPr>
                                    <w:sdtContent>
                                      <w:r>
                                        <w:rPr>
                                          <w:color w:val="000000"/>
                                          <w:szCs w:val="24"/>
                                          <w:bdr w:val="none" w:sz="0" w:space="0" w:color="auto" w:frame="1"/>
                                        </w:rPr>
                                        <w:t>15.2.1.2</w:t>
                                      </w:r>
                                    </w:sdtContent>
                                  </w:sdt>
                                  <w:r>
                                    <w:rPr>
                                      <w:color w:val="000000"/>
                                      <w:szCs w:val="24"/>
                                      <w:bdr w:val="none" w:sz="0" w:space="0" w:color="auto" w:frame="1"/>
                                    </w:rPr>
                                    <w:t>. mažo užstatymo intensyvumo gyvenamajai zonai</w:t>
                                  </w:r>
                                  <w:r>
                                    <w:rPr>
                                      <w:color w:val="000000"/>
                                      <w:szCs w:val="24"/>
                                      <w:lang w:val="en-US"/>
                                    </w:rPr>
                                    <w:t xml:space="preserve"> </w:t>
                                  </w:r>
                                  <w:r>
                                    <w:rPr>
                                      <w:szCs w:val="24"/>
                                      <w:lang w:val="en-US"/>
                                    </w:rPr>
                                    <w:t xml:space="preserve">– </w:t>
                                  </w:r>
                                  <w:r>
                                    <w:rPr>
                                      <w:color w:val="000000"/>
                                      <w:szCs w:val="24"/>
                                      <w:bdr w:val="none" w:sz="0" w:space="0" w:color="auto" w:frame="1"/>
                                    </w:rPr>
                                    <w:t xml:space="preserve"> nuo 0,5 iki 2;</w:t>
                                  </w:r>
                                </w:p>
                              </w:sdtContent>
                            </w:sdt>
                            <w:sdt>
                              <w:sdtPr>
                                <w:alias w:val="15.2.1.3 pp."/>
                                <w:tag w:val="part_391bbc1dc2814ae78f008f6a700eca90"/>
                                <w:lock w:val="sdtLocked"/>
                                <w:richText/>
                              </w:sdtPr>
                              <w:sdtContent>
                                <w:p>
                                  <w:pPr>
                                    <w:shd w:val="clear" w:color="auto" w:fill="FFFFFF"/>
                                    <w:spacing w:line="276" w:lineRule="auto"/>
                                    <w:ind w:firstLine="567"/>
                                    <w:jc w:val="both"/>
                                    <w:rPr>
                                      <w:color w:val="201F1E"/>
                                      <w:sz w:val="22"/>
                                      <w:szCs w:val="22"/>
                                      <w:lang w:val="en-US"/>
                                    </w:rPr>
                                  </w:pPr>
                                  <w:sdt>
                                    <w:sdtPr>
                                      <w:alias w:val="Numeris"/>
                                      <w:tag w:val="nr_391bbc1dc2814ae78f008f6a700eca90"/>
                                      <w:lock w:val="sdtLocked"/>
                                      <w:richText/>
                                    </w:sdtPr>
                                    <w:sdtContent>
                                      <w:r>
                                        <w:rPr>
                                          <w:color w:val="000000"/>
                                          <w:szCs w:val="24"/>
                                          <w:bdr w:val="none" w:sz="0" w:space="0" w:color="auto" w:frame="1"/>
                                        </w:rPr>
                                        <w:t>15.2.1.3</w:t>
                                      </w:r>
                                    </w:sdtContent>
                                  </w:sdt>
                                  <w:r>
                                    <w:rPr>
                                      <w:color w:val="000000"/>
                                      <w:szCs w:val="24"/>
                                      <w:bdr w:val="none" w:sz="0" w:space="0" w:color="auto" w:frame="1"/>
                                    </w:rPr>
                                    <w:t xml:space="preserve">. vidutinio užstatymo intensyvumo gyvenamajai zonai </w:t>
                                  </w:r>
                                  <w:r>
                                    <w:rPr>
                                      <w:color w:val="000000"/>
                                      <w:szCs w:val="24"/>
                                      <w:lang w:val="en-US"/>
                                    </w:rPr>
                                    <w:t xml:space="preserve"> </w:t>
                                  </w:r>
                                  <w:r>
                                    <w:rPr>
                                      <w:szCs w:val="24"/>
                                      <w:lang w:val="en-US"/>
                                    </w:rPr>
                                    <w:t xml:space="preserve">– </w:t>
                                  </w:r>
                                  <w:r>
                                    <w:rPr>
                                      <w:color w:val="000000"/>
                                      <w:szCs w:val="24"/>
                                      <w:bdr w:val="none" w:sz="0" w:space="0" w:color="auto" w:frame="1"/>
                                    </w:rPr>
                                    <w:t>nuo 0,1 iki 1,5;</w:t>
                                  </w:r>
                                </w:p>
                              </w:sdtContent>
                            </w:sdt>
                            <w:sdt>
                              <w:sdtPr>
                                <w:alias w:val="15.2.1.4 pp."/>
                                <w:tag w:val="part_086c845ee6e34f48b135526f4aa739a1"/>
                                <w:lock w:val="sdtLocked"/>
                                <w:richText/>
                              </w:sdtPr>
                              <w:sdtContent>
                                <w:p>
                                  <w:pPr>
                                    <w:shd w:val="clear" w:color="auto" w:fill="FFFFFF"/>
                                    <w:spacing w:line="276" w:lineRule="auto"/>
                                    <w:ind w:firstLine="567"/>
                                    <w:jc w:val="both"/>
                                    <w:rPr>
                                      <w:color w:val="201F1E"/>
                                      <w:sz w:val="22"/>
                                      <w:szCs w:val="22"/>
                                      <w:lang w:val="en-US"/>
                                    </w:rPr>
                                  </w:pPr>
                                  <w:sdt>
                                    <w:sdtPr>
                                      <w:alias w:val="Numeris"/>
                                      <w:tag w:val="nr_086c845ee6e34f48b135526f4aa739a1"/>
                                      <w:lock w:val="sdtLocked"/>
                                      <w:richText/>
                                    </w:sdtPr>
                                    <w:sdtContent>
                                      <w:r>
                                        <w:rPr>
                                          <w:color w:val="000000"/>
                                          <w:szCs w:val="24"/>
                                          <w:bdr w:val="none" w:sz="0" w:space="0" w:color="auto" w:frame="1"/>
                                        </w:rPr>
                                        <w:t>15.2.1.4</w:t>
                                      </w:r>
                                    </w:sdtContent>
                                  </w:sdt>
                                  <w:r>
                                    <w:rPr>
                                      <w:color w:val="000000"/>
                                      <w:szCs w:val="24"/>
                                      <w:bdr w:val="none" w:sz="0" w:space="0" w:color="auto" w:frame="1"/>
                                    </w:rPr>
                                    <w:t xml:space="preserve">. intensyvaus užstatymo gyvenamajai zonai </w:t>
                                  </w:r>
                                  <w:r>
                                    <w:rPr>
                                      <w:color w:val="000000"/>
                                      <w:szCs w:val="24"/>
                                      <w:lang w:val="en-US"/>
                                    </w:rPr>
                                    <w:t xml:space="preserve"> </w:t>
                                  </w:r>
                                  <w:r>
                                    <w:rPr>
                                      <w:szCs w:val="24"/>
                                      <w:lang w:val="en-US"/>
                                    </w:rPr>
                                    <w:t xml:space="preserve">– </w:t>
                                  </w:r>
                                  <w:r>
                                    <w:rPr>
                                      <w:color w:val="000000"/>
                                      <w:szCs w:val="24"/>
                                      <w:bdr w:val="none" w:sz="0" w:space="0" w:color="auto" w:frame="1"/>
                                    </w:rPr>
                                    <w:t>nuo 0,1 iki 1;</w:t>
                                  </w:r>
                                </w:p>
                              </w:sdtContent>
                            </w:sdt>
                          </w:sdtContent>
                        </w:sdt>
                        <w:sdt>
                          <w:sdtPr>
                            <w:alias w:val="15.2.2 pp."/>
                            <w:tag w:val="part_c9bf0f957996495a9959a821a0a6151c"/>
                            <w:lock w:val="sdtLocked"/>
                            <w:richText/>
                          </w:sdtPr>
                          <w:sdtContent>
                            <w:p>
                              <w:pPr>
                                <w:shd w:val="clear" w:color="auto" w:fill="FFFFFF"/>
                                <w:spacing w:line="276" w:lineRule="auto"/>
                                <w:ind w:firstLine="567"/>
                                <w:jc w:val="both"/>
                                <w:rPr>
                                  <w:color w:val="201F1E"/>
                                  <w:sz w:val="22"/>
                                  <w:szCs w:val="22"/>
                                  <w:lang w:val="en-US"/>
                                </w:rPr>
                              </w:pPr>
                              <w:sdt>
                                <w:sdtPr>
                                  <w:alias w:val="Numeris"/>
                                  <w:tag w:val="nr_c9bf0f957996495a9959a821a0a6151c"/>
                                  <w:lock w:val="sdtLocked"/>
                                  <w:richText/>
                                </w:sdtPr>
                                <w:sdtContent>
                                  <w:r>
                                    <w:rPr>
                                      <w:color w:val="000000"/>
                                      <w:szCs w:val="24"/>
                                      <w:bdr w:val="none" w:sz="0" w:space="0" w:color="auto" w:frame="1"/>
                                    </w:rPr>
                                    <w:t>15.2.2</w:t>
                                  </w:r>
                                </w:sdtContent>
                              </w:sdt>
                              <w:r>
                                <w:rPr>
                                  <w:color w:val="000000"/>
                                  <w:szCs w:val="24"/>
                                  <w:bdr w:val="none" w:sz="0" w:space="0" w:color="auto" w:frame="1"/>
                                </w:rPr>
                                <w:t>. </w:t>
                              </w:r>
                              <w:r>
                                <w:rPr>
                                  <w:bCs/>
                                  <w:color w:val="000000"/>
                                  <w:szCs w:val="24"/>
                                  <w:bdr w:val="none" w:sz="0" w:space="0" w:color="auto" w:frame="1"/>
                                </w:rPr>
                                <w:t>centrų zonai</w:t>
                              </w:r>
                              <w:r>
                                <w:rPr>
                                  <w:color w:val="000000"/>
                                  <w:szCs w:val="24"/>
                                  <w:bdr w:val="none" w:sz="0" w:space="0" w:color="auto" w:frame="1"/>
                                </w:rPr>
                                <w:t>:</w:t>
                              </w:r>
                            </w:p>
                            <w:sdt>
                              <w:sdtPr>
                                <w:alias w:val="15.2.2.1 pp."/>
                                <w:tag w:val="part_2cfefbc009e344fbad589bd6da9f8a6b"/>
                                <w:lock w:val="sdtLocked"/>
                                <w:richText/>
                              </w:sdtPr>
                              <w:sdtContent>
                                <w:p>
                                  <w:pPr>
                                    <w:shd w:val="clear" w:color="auto" w:fill="FFFFFF"/>
                                    <w:spacing w:line="276" w:lineRule="auto"/>
                                    <w:ind w:firstLine="567"/>
                                    <w:jc w:val="both"/>
                                    <w:rPr>
                                      <w:color w:val="201F1E"/>
                                      <w:sz w:val="22"/>
                                      <w:szCs w:val="22"/>
                                      <w:lang w:val="en-US"/>
                                    </w:rPr>
                                  </w:pPr>
                                  <w:sdt>
                                    <w:sdtPr>
                                      <w:alias w:val="Numeris"/>
                                      <w:tag w:val="nr_2cfefbc009e344fbad589bd6da9f8a6b"/>
                                      <w:lock w:val="sdtLocked"/>
                                      <w:richText/>
                                    </w:sdtPr>
                                    <w:sdtContent>
                                      <w:r>
                                        <w:rPr>
                                          <w:color w:val="000000"/>
                                          <w:szCs w:val="24"/>
                                          <w:bdr w:val="none" w:sz="0" w:space="0" w:color="auto" w:frame="1"/>
                                        </w:rPr>
                                        <w:t>15.2.2.1</w:t>
                                      </w:r>
                                    </w:sdtContent>
                                  </w:sdt>
                                  <w:r>
                                    <w:rPr>
                                      <w:color w:val="000000"/>
                                      <w:szCs w:val="24"/>
                                      <w:bdr w:val="none" w:sz="0" w:space="0" w:color="auto" w:frame="1"/>
                                    </w:rPr>
                                    <w:t xml:space="preserve">. pagrindinio centro zonai </w:t>
                                  </w:r>
                                  <w:r>
                                    <w:rPr>
                                      <w:color w:val="000000"/>
                                      <w:szCs w:val="24"/>
                                      <w:lang w:val="en-US"/>
                                    </w:rPr>
                                    <w:t xml:space="preserve"> </w:t>
                                  </w:r>
                                  <w:r>
                                    <w:rPr>
                                      <w:szCs w:val="24"/>
                                      <w:lang w:val="en-US"/>
                                    </w:rPr>
                                    <w:t xml:space="preserve">– </w:t>
                                  </w:r>
                                  <w:r>
                                    <w:rPr>
                                      <w:color w:val="000000"/>
                                      <w:szCs w:val="24"/>
                                      <w:bdr w:val="none" w:sz="0" w:space="0" w:color="auto" w:frame="1"/>
                                    </w:rPr>
                                    <w:t>nuo 0,1 iki 1;</w:t>
                                  </w:r>
                                </w:p>
                              </w:sdtContent>
                            </w:sdt>
                            <w:sdt>
                              <w:sdtPr>
                                <w:alias w:val="15.2.2.2 pp."/>
                                <w:tag w:val="part_ee8d476944174bc2ac3d00b99069c51a"/>
                                <w:lock w:val="sdtLocked"/>
                                <w:richText/>
                              </w:sdtPr>
                              <w:sdtContent>
                                <w:p>
                                  <w:pPr>
                                    <w:shd w:val="clear" w:color="auto" w:fill="FFFFFF"/>
                                    <w:spacing w:line="276" w:lineRule="auto"/>
                                    <w:ind w:firstLine="567"/>
                                    <w:jc w:val="both"/>
                                    <w:rPr>
                                      <w:color w:val="201F1E"/>
                                      <w:sz w:val="22"/>
                                      <w:szCs w:val="22"/>
                                      <w:lang w:val="en-US"/>
                                    </w:rPr>
                                  </w:pPr>
                                  <w:sdt>
                                    <w:sdtPr>
                                      <w:alias w:val="Numeris"/>
                                      <w:tag w:val="nr_ee8d476944174bc2ac3d00b99069c51a"/>
                                      <w:lock w:val="sdtLocked"/>
                                      <w:richText/>
                                    </w:sdtPr>
                                    <w:sdtContent>
                                      <w:r>
                                        <w:rPr>
                                          <w:color w:val="000000"/>
                                          <w:szCs w:val="24"/>
                                          <w:bdr w:val="none" w:sz="0" w:space="0" w:color="auto" w:frame="1"/>
                                        </w:rPr>
                                        <w:t>15.2.2.2</w:t>
                                      </w:r>
                                    </w:sdtContent>
                                  </w:sdt>
                                  <w:r>
                                    <w:rPr>
                                      <w:color w:val="000000"/>
                                      <w:szCs w:val="24"/>
                                      <w:bdr w:val="none" w:sz="0" w:space="0" w:color="auto" w:frame="1"/>
                                    </w:rPr>
                                    <w:t xml:space="preserve">. miesto dalių centrų zonai </w:t>
                                  </w:r>
                                  <w:r>
                                    <w:rPr>
                                      <w:color w:val="000000"/>
                                      <w:szCs w:val="24"/>
                                      <w:lang w:val="en-US"/>
                                    </w:rPr>
                                    <w:t xml:space="preserve"> </w:t>
                                  </w:r>
                                  <w:r>
                                    <w:rPr>
                                      <w:szCs w:val="24"/>
                                      <w:lang w:val="en-US"/>
                                    </w:rPr>
                                    <w:t xml:space="preserve">– </w:t>
                                  </w:r>
                                  <w:r>
                                    <w:rPr>
                                      <w:color w:val="000000"/>
                                      <w:szCs w:val="24"/>
                                      <w:bdr w:val="none" w:sz="0" w:space="0" w:color="auto" w:frame="1"/>
                                    </w:rPr>
                                    <w:t>nuo 0,1 iki 1,5;</w:t>
                                  </w:r>
                                </w:p>
                              </w:sdtContent>
                            </w:sdt>
                          </w:sdtContent>
                        </w:sdt>
                        <w:sdt>
                          <w:sdtPr>
                            <w:alias w:val="15.2.3 pp."/>
                            <w:tag w:val="part_c489360621e44e61997bfc59df00d538"/>
                            <w:lock w:val="sdtLocked"/>
                            <w:richText/>
                          </w:sdtPr>
                          <w:sdtContent>
                            <w:p>
                              <w:pPr>
                                <w:shd w:val="clear" w:color="auto" w:fill="FFFFFF"/>
                                <w:spacing w:line="276" w:lineRule="auto"/>
                                <w:ind w:firstLine="567"/>
                                <w:jc w:val="both"/>
                                <w:rPr>
                                  <w:color w:val="201F1E"/>
                                  <w:sz w:val="22"/>
                                  <w:szCs w:val="22"/>
                                  <w:lang w:val="en-US"/>
                                </w:rPr>
                              </w:pPr>
                              <w:sdt>
                                <w:sdtPr>
                                  <w:alias w:val="Numeris"/>
                                  <w:tag w:val="nr_c489360621e44e61997bfc59df00d538"/>
                                  <w:lock w:val="sdtLocked"/>
                                  <w:richText/>
                                </w:sdtPr>
                                <w:sdtContent>
                                  <w:r>
                                    <w:rPr>
                                      <w:color w:val="000000"/>
                                      <w:szCs w:val="24"/>
                                      <w:bdr w:val="none" w:sz="0" w:space="0" w:color="auto" w:frame="1"/>
                                    </w:rPr>
                                    <w:t>15.2.3</w:t>
                                  </w:r>
                                </w:sdtContent>
                              </w:sdt>
                              <w:r>
                                <w:rPr>
                                  <w:color w:val="000000"/>
                                  <w:szCs w:val="24"/>
                                  <w:bdr w:val="none" w:sz="0" w:space="0" w:color="auto" w:frame="1"/>
                                </w:rPr>
                                <w:t>. </w:t>
                              </w:r>
                              <w:r>
                                <w:rPr>
                                  <w:bCs/>
                                  <w:color w:val="000000"/>
                                  <w:szCs w:val="24"/>
                                  <w:bdr w:val="none" w:sz="0" w:space="0" w:color="auto" w:frame="1"/>
                                </w:rPr>
                                <w:t xml:space="preserve">specializuotų kompleksų zonai </w:t>
                              </w:r>
                              <w:r>
                                <w:rPr>
                                  <w:color w:val="000000"/>
                                  <w:szCs w:val="24"/>
                                  <w:lang w:val="en-US"/>
                                </w:rPr>
                                <w:t xml:space="preserve"> </w:t>
                              </w:r>
                              <w:r>
                                <w:rPr>
                                  <w:szCs w:val="24"/>
                                  <w:lang w:val="en-US"/>
                                </w:rPr>
                                <w:t xml:space="preserve">– </w:t>
                              </w:r>
                              <w:r>
                                <w:rPr>
                                  <w:bCs/>
                                  <w:color w:val="000000"/>
                                  <w:szCs w:val="24"/>
                                  <w:bdr w:val="none" w:sz="0" w:space="0" w:color="auto" w:frame="1"/>
                                </w:rPr>
                                <w:t>nuo 0,1 iki 1</w:t>
                              </w:r>
                              <w:r>
                                <w:rPr>
                                  <w:color w:val="000000"/>
                                  <w:szCs w:val="24"/>
                                  <w:bdr w:val="none" w:sz="0" w:space="0" w:color="auto" w:frame="1"/>
                                </w:rPr>
                                <w:t>;</w:t>
                              </w:r>
                            </w:p>
                          </w:sdtContent>
                        </w:sdt>
                        <w:sdt>
                          <w:sdtPr>
                            <w:alias w:val="15.2.4 pp."/>
                            <w:tag w:val="part_2ddc5c823ddc4e07869a3c30e3253f1c"/>
                            <w:lock w:val="sdtLocked"/>
                            <w:richText/>
                          </w:sdtPr>
                          <w:sdtContent>
                            <w:p>
                              <w:pPr>
                                <w:shd w:val="clear" w:color="auto" w:fill="FFFFFF"/>
                                <w:spacing w:line="276" w:lineRule="auto"/>
                                <w:ind w:firstLine="567"/>
                                <w:jc w:val="both"/>
                                <w:rPr>
                                  <w:color w:val="000000"/>
                                  <w:szCs w:val="24"/>
                                  <w:bdr w:val="none" w:sz="0" w:space="0" w:color="auto" w:frame="1"/>
                                </w:rPr>
                              </w:pPr>
                              <w:sdt>
                                <w:sdtPr>
                                  <w:alias w:val="Numeris"/>
                                  <w:tag w:val="nr_2ddc5c823ddc4e07869a3c30e3253f1c"/>
                                  <w:lock w:val="sdtLocked"/>
                                  <w:richText/>
                                </w:sdtPr>
                                <w:sdtContent>
                                  <w:r>
                                    <w:rPr>
                                      <w:color w:val="000000"/>
                                      <w:szCs w:val="24"/>
                                      <w:bdr w:val="none" w:sz="0" w:space="0" w:color="auto" w:frame="1"/>
                                    </w:rPr>
                                    <w:t>15.2.4</w:t>
                                  </w:r>
                                </w:sdtContent>
                              </w:sdt>
                              <w:r>
                                <w:rPr>
                                  <w:color w:val="000000"/>
                                  <w:szCs w:val="24"/>
                                  <w:bdr w:val="none" w:sz="0" w:space="0" w:color="auto" w:frame="1"/>
                                </w:rPr>
                                <w:t xml:space="preserve">. </w:t>
                              </w:r>
                              <w:r>
                                <w:rPr>
                                  <w:bCs/>
                                  <w:color w:val="000000"/>
                                  <w:szCs w:val="24"/>
                                  <w:bdr w:val="none" w:sz="0" w:space="0" w:color="auto" w:frame="1"/>
                                  <w:shd w:val="clear" w:color="auto" w:fill="FFFFFF"/>
                                  <w:lang w:val="en-US"/>
                                </w:rPr>
                                <w:t>sodininkų bendrijų zonai:</w:t>
                              </w:r>
                            </w:p>
                            <w:sdt>
                              <w:sdtPr>
                                <w:alias w:val="15.2.4.1 pp."/>
                                <w:tag w:val="part_4e4c67b51fe6451f8c0fef5bc5b3c01a"/>
                                <w:lock w:val="sdtLocked"/>
                                <w:richText/>
                              </w:sdtPr>
                              <w:sdtContent>
                                <w:p>
                                  <w:pPr>
                                    <w:shd w:val="clear" w:color="auto" w:fill="FFFFFF"/>
                                    <w:spacing w:line="276" w:lineRule="auto"/>
                                    <w:ind w:firstLine="567"/>
                                    <w:jc w:val="both"/>
                                    <w:rPr>
                                      <w:bCs/>
                                      <w:color w:val="000000"/>
                                      <w:szCs w:val="24"/>
                                      <w:bdr w:val="none" w:sz="0" w:space="0" w:color="auto" w:frame="1"/>
                                      <w:shd w:val="clear" w:color="auto" w:fill="FFFFFF"/>
                                      <w:lang w:val="en-US"/>
                                    </w:rPr>
                                  </w:pPr>
                                  <w:sdt>
                                    <w:sdtPr>
                                      <w:alias w:val="Numeris"/>
                                      <w:tag w:val="nr_4e4c67b51fe6451f8c0fef5bc5b3c01a"/>
                                      <w:lock w:val="sdtLocked"/>
                                      <w:richText/>
                                    </w:sdtPr>
                                    <w:sdtContent>
                                      <w:r>
                                        <w:rPr>
                                          <w:bCs/>
                                          <w:color w:val="000000"/>
                                          <w:szCs w:val="24"/>
                                          <w:bdr w:val="none" w:sz="0" w:space="0" w:color="auto" w:frame="1"/>
                                        </w:rPr>
                                        <w:t>15.2.4.1</w:t>
                                      </w:r>
                                    </w:sdtContent>
                                  </w:sdt>
                                  <w:r>
                                    <w:rPr>
                                      <w:bCs/>
                                      <w:color w:val="000000"/>
                                      <w:szCs w:val="24"/>
                                      <w:bdr w:val="none" w:sz="0" w:space="0" w:color="auto" w:frame="1"/>
                                    </w:rPr>
                                    <w:t xml:space="preserve">. </w:t>
                                  </w:r>
                                  <w:r>
                                    <w:rPr>
                                      <w:bCs/>
                                      <w:color w:val="000000"/>
                                      <w:szCs w:val="24"/>
                                      <w:bdr w:val="none" w:sz="0" w:space="0" w:color="auto" w:frame="1"/>
                                      <w:shd w:val="clear" w:color="auto" w:fill="FFFFFF"/>
                                      <w:lang w:val="en-US"/>
                                    </w:rPr>
                                    <w:t xml:space="preserve">sodininkų bendrijų zonai (kai pagal savivaldybių bendruosius planus numatoma konversija) – nuo 0,1 iki 1; </w:t>
                                  </w:r>
                                </w:p>
                              </w:sdtContent>
                            </w:sdt>
                            <w:sdt>
                              <w:sdtPr>
                                <w:alias w:val="15.2.4.2 pp."/>
                                <w:tag w:val="part_ad8f7ee30516428986f19b70f774df5a"/>
                                <w:lock w:val="sdtLocked"/>
                                <w:richText/>
                              </w:sdtPr>
                              <w:sdtContent>
                                <w:p>
                                  <w:pPr>
                                    <w:shd w:val="clear" w:color="auto" w:fill="FFFFFF"/>
                                    <w:spacing w:line="276" w:lineRule="auto"/>
                                    <w:ind w:firstLine="567"/>
                                    <w:jc w:val="both"/>
                                    <w:rPr>
                                      <w:rFonts w:ascii="Calibri" w:hAnsi="Calibri" w:cs="Calibri"/>
                                      <w:color w:val="201F1E"/>
                                      <w:szCs w:val="24"/>
                                      <w:lang w:val="en-US"/>
                                    </w:rPr>
                                  </w:pPr>
                                  <w:sdt>
                                    <w:sdtPr>
                                      <w:alias w:val="Numeris"/>
                                      <w:tag w:val="nr_ad8f7ee30516428986f19b70f774df5a"/>
                                      <w:lock w:val="sdtLocked"/>
                                      <w:richText/>
                                    </w:sdtPr>
                                    <w:sdtContent>
                                      <w:r>
                                        <w:rPr>
                                          <w:bCs/>
                                          <w:color w:val="000000"/>
                                          <w:szCs w:val="24"/>
                                          <w:bdr w:val="none" w:sz="0" w:space="0" w:color="auto" w:frame="1"/>
                                          <w:shd w:val="clear" w:color="auto" w:fill="FFFFFF"/>
                                          <w:lang w:val="en-US"/>
                                        </w:rPr>
                                        <w:t>15.2.4.2</w:t>
                                      </w:r>
                                    </w:sdtContent>
                                  </w:sdt>
                                  <w:r>
                                    <w:rPr>
                                      <w:bCs/>
                                      <w:color w:val="000000"/>
                                      <w:szCs w:val="24"/>
                                      <w:bdr w:val="none" w:sz="0" w:space="0" w:color="auto" w:frame="1"/>
                                      <w:shd w:val="clear" w:color="auto" w:fill="FFFFFF"/>
                                      <w:lang w:val="en-US"/>
                                    </w:rPr>
                                    <w:t>. sodininkų bendrijų zonai (kai pagal savivaldybių bendruosius planus konversija nenumatoma) – nuo 1 iki 2;</w:t>
                                  </w:r>
                                </w:p>
                              </w:sdtContent>
                            </w:sdt>
                          </w:sdtContent>
                        </w:sdt>
                        <w:sdt>
                          <w:sdtPr>
                            <w:alias w:val="15.2.5 pp."/>
                            <w:tag w:val="part_209193370b1b4372bb7d596657e1a661"/>
                            <w:lock w:val="sdtLocked"/>
                            <w:richText/>
                          </w:sdtPr>
                          <w:sdtContent>
                            <w:p>
                              <w:pPr>
                                <w:shd w:val="clear" w:color="auto" w:fill="FFFFFF"/>
                                <w:spacing w:line="276" w:lineRule="auto"/>
                                <w:ind w:firstLine="567"/>
                                <w:jc w:val="both"/>
                                <w:rPr>
                                  <w:color w:val="201F1E"/>
                                  <w:sz w:val="22"/>
                                  <w:szCs w:val="22"/>
                                  <w:lang w:val="en-US"/>
                                </w:rPr>
                              </w:pPr>
                              <w:sdt>
                                <w:sdtPr>
                                  <w:alias w:val="Numeris"/>
                                  <w:tag w:val="nr_209193370b1b4372bb7d596657e1a661"/>
                                  <w:lock w:val="sdtLocked"/>
                                  <w:richText/>
                                </w:sdtPr>
                                <w:sdtContent>
                                  <w:r>
                                    <w:rPr>
                                      <w:color w:val="000000"/>
                                      <w:szCs w:val="24"/>
                                      <w:bdr w:val="none" w:sz="0" w:space="0" w:color="auto" w:frame="1"/>
                                    </w:rPr>
                                    <w:t>15.2.5</w:t>
                                  </w:r>
                                </w:sdtContent>
                              </w:sdt>
                              <w:r>
                                <w:rPr>
                                  <w:color w:val="000000"/>
                                  <w:szCs w:val="24"/>
                                  <w:bdr w:val="none" w:sz="0" w:space="0" w:color="auto" w:frame="1"/>
                                </w:rPr>
                                <w:t>. </w:t>
                              </w:r>
                              <w:r>
                                <w:rPr>
                                  <w:bCs/>
                                  <w:color w:val="000000"/>
                                  <w:szCs w:val="24"/>
                                  <w:bdr w:val="none" w:sz="0" w:space="0" w:color="auto" w:frame="1"/>
                                </w:rPr>
                                <w:t xml:space="preserve">pramonės ir sandėliavimo zonai </w:t>
                              </w:r>
                              <w:r>
                                <w:rPr>
                                  <w:color w:val="000000"/>
                                  <w:szCs w:val="24"/>
                                  <w:lang w:val="en-US"/>
                                </w:rPr>
                                <w:t xml:space="preserve"> </w:t>
                              </w:r>
                              <w:r>
                                <w:rPr>
                                  <w:szCs w:val="24"/>
                                  <w:lang w:val="en-US"/>
                                </w:rPr>
                                <w:t xml:space="preserve">– </w:t>
                              </w:r>
                              <w:r>
                                <w:rPr>
                                  <w:bCs/>
                                  <w:color w:val="000000"/>
                                  <w:szCs w:val="24"/>
                                  <w:bdr w:val="none" w:sz="0" w:space="0" w:color="auto" w:frame="1"/>
                                </w:rPr>
                                <w:t>nuo 0,1 iki 1;</w:t>
                              </w:r>
                            </w:p>
                          </w:sdtContent>
                        </w:sdt>
                        <w:sdt>
                          <w:sdtPr>
                            <w:alias w:val="15.2.6 pp."/>
                            <w:tag w:val="part_bc2043ace0ea42a4b1192d04a4fb89ac"/>
                            <w:lock w:val="sdtLocked"/>
                            <w:richText/>
                          </w:sdtPr>
                          <w:sdtContent>
                            <w:p>
                              <w:pPr>
                                <w:shd w:val="clear" w:color="auto" w:fill="FFFFFF"/>
                                <w:spacing w:line="276" w:lineRule="auto"/>
                                <w:ind w:firstLine="567"/>
                                <w:jc w:val="both"/>
                                <w:rPr>
                                  <w:color w:val="201F1E"/>
                                  <w:sz w:val="22"/>
                                  <w:szCs w:val="22"/>
                                  <w:lang w:val="en-US"/>
                                </w:rPr>
                              </w:pPr>
                              <w:sdt>
                                <w:sdtPr>
                                  <w:alias w:val="Numeris"/>
                                  <w:tag w:val="nr_bc2043ace0ea42a4b1192d04a4fb89ac"/>
                                  <w:lock w:val="sdtLocked"/>
                                  <w:richText/>
                                </w:sdtPr>
                                <w:sdtContent>
                                  <w:r>
                                    <w:rPr>
                                      <w:color w:val="000000"/>
                                      <w:szCs w:val="24"/>
                                      <w:bdr w:val="none" w:sz="0" w:space="0" w:color="auto" w:frame="1"/>
                                    </w:rPr>
                                    <w:t>15.2.6</w:t>
                                  </w:r>
                                </w:sdtContent>
                              </w:sdt>
                              <w:r>
                                <w:rPr>
                                  <w:color w:val="000000"/>
                                  <w:szCs w:val="24"/>
                                  <w:bdr w:val="none" w:sz="0" w:space="0" w:color="auto" w:frame="1"/>
                                </w:rPr>
                                <w:t>. </w:t>
                              </w:r>
                              <w:r>
                                <w:rPr>
                                  <w:bCs/>
                                  <w:color w:val="000000"/>
                                  <w:szCs w:val="24"/>
                                  <w:bdr w:val="none" w:sz="0" w:space="0" w:color="auto" w:frame="1"/>
                                </w:rPr>
                                <w:t xml:space="preserve">inžinerinės infrastuktūros zonai </w:t>
                              </w:r>
                              <w:r>
                                <w:rPr>
                                  <w:color w:val="000000"/>
                                  <w:szCs w:val="24"/>
                                  <w:lang w:val="en-US"/>
                                </w:rPr>
                                <w:t xml:space="preserve"> </w:t>
                              </w:r>
                              <w:r>
                                <w:rPr>
                                  <w:szCs w:val="24"/>
                                  <w:lang w:val="en-US"/>
                                </w:rPr>
                                <w:t xml:space="preserve">– </w:t>
                              </w:r>
                              <w:r>
                                <w:rPr>
                                  <w:bCs/>
                                  <w:color w:val="000000"/>
                                  <w:szCs w:val="24"/>
                                  <w:bdr w:val="none" w:sz="0" w:space="0" w:color="auto" w:frame="1"/>
                                </w:rPr>
                                <w:t>nuo 0,1 iki 1;</w:t>
                              </w:r>
                            </w:p>
                          </w:sdtContent>
                        </w:sdt>
                        <w:sdt>
                          <w:sdtPr>
                            <w:alias w:val="15.2.7 pp."/>
                            <w:tag w:val="part_f26de1b2132b41328a6189de30208ce1"/>
                            <w:lock w:val="sdtLocked"/>
                            <w:richText/>
                          </w:sdtPr>
                          <w:sdtContent>
                            <w:p>
                              <w:pPr>
                                <w:shd w:val="clear" w:color="auto" w:fill="FFFFFF"/>
                                <w:spacing w:line="276" w:lineRule="auto"/>
                                <w:ind w:firstLine="567"/>
                                <w:jc w:val="both"/>
                                <w:rPr>
                                  <w:color w:val="201F1E"/>
                                  <w:sz w:val="22"/>
                                  <w:szCs w:val="22"/>
                                  <w:lang w:val="en-US"/>
                                </w:rPr>
                              </w:pPr>
                              <w:sdt>
                                <w:sdtPr>
                                  <w:alias w:val="Numeris"/>
                                  <w:tag w:val="nr_f26de1b2132b41328a6189de30208ce1"/>
                                  <w:lock w:val="sdtLocked"/>
                                  <w:richText/>
                                </w:sdtPr>
                                <w:sdtContent>
                                  <w:r>
                                    <w:rPr>
                                      <w:color w:val="000000"/>
                                      <w:szCs w:val="24"/>
                                      <w:bdr w:val="none" w:sz="0" w:space="0" w:color="auto" w:frame="1"/>
                                    </w:rPr>
                                    <w:t>15.2.7</w:t>
                                  </w:r>
                                </w:sdtContent>
                              </w:sdt>
                              <w:r>
                                <w:rPr>
                                  <w:color w:val="000000"/>
                                  <w:szCs w:val="24"/>
                                  <w:bdr w:val="none" w:sz="0" w:space="0" w:color="auto" w:frame="1"/>
                                </w:rPr>
                                <w:t>. </w:t>
                              </w:r>
                              <w:r>
                                <w:rPr>
                                  <w:bCs/>
                                  <w:color w:val="000000"/>
                                  <w:szCs w:val="24"/>
                                  <w:bdr w:val="none" w:sz="0" w:space="0" w:color="auto" w:frame="1"/>
                                </w:rPr>
                                <w:t xml:space="preserve">inžinerinės infrastuktūros koridorių zonai </w:t>
                              </w:r>
                              <w:r>
                                <w:rPr>
                                  <w:color w:val="000000"/>
                                  <w:szCs w:val="24"/>
                                  <w:lang w:val="en-US"/>
                                </w:rPr>
                                <w:t xml:space="preserve"> </w:t>
                              </w:r>
                              <w:r>
                                <w:rPr>
                                  <w:szCs w:val="24"/>
                                  <w:lang w:val="en-US"/>
                                </w:rPr>
                                <w:t xml:space="preserve">– </w:t>
                              </w:r>
                              <w:r>
                                <w:rPr>
                                  <w:bCs/>
                                  <w:color w:val="000000"/>
                                  <w:szCs w:val="24"/>
                                  <w:bdr w:val="none" w:sz="0" w:space="0" w:color="auto" w:frame="1"/>
                                </w:rPr>
                                <w:t>nuo 0,1 iki 1;</w:t>
                              </w:r>
                            </w:p>
                          </w:sdtContent>
                        </w:sdt>
                        <w:sdt>
                          <w:sdtPr>
                            <w:alias w:val="15.2.8 pp."/>
                            <w:tag w:val="part_9f0eaf25a39047eab3d711e3af47cd3b"/>
                            <w:lock w:val="sdtLocked"/>
                            <w:richText/>
                          </w:sdtPr>
                          <w:sdtContent>
                            <w:p>
                              <w:pPr>
                                <w:shd w:val="clear" w:color="auto" w:fill="FFFFFF"/>
                                <w:spacing w:line="276" w:lineRule="auto"/>
                                <w:ind w:firstLine="567"/>
                                <w:jc w:val="both"/>
                                <w:rPr>
                                  <w:color w:val="201F1E"/>
                                  <w:sz w:val="22"/>
                                  <w:szCs w:val="22"/>
                                  <w:lang w:val="en-US"/>
                                </w:rPr>
                              </w:pPr>
                              <w:sdt>
                                <w:sdtPr>
                                  <w:alias w:val="Numeris"/>
                                  <w:tag w:val="nr_9f0eaf25a39047eab3d711e3af47cd3b"/>
                                  <w:lock w:val="sdtLocked"/>
                                  <w:richText/>
                                </w:sdtPr>
                                <w:sdtContent>
                                  <w:r>
                                    <w:rPr>
                                      <w:color w:val="000000"/>
                                      <w:szCs w:val="24"/>
                                      <w:bdr w:val="none" w:sz="0" w:space="0" w:color="auto" w:frame="1"/>
                                    </w:rPr>
                                    <w:t>15.2.8</w:t>
                                  </w:r>
                                </w:sdtContent>
                              </w:sdt>
                              <w:r>
                                <w:rPr>
                                  <w:color w:val="000000"/>
                                  <w:szCs w:val="24"/>
                                  <w:bdr w:val="none" w:sz="0" w:space="0" w:color="auto" w:frame="1"/>
                                </w:rPr>
                                <w:t>. </w:t>
                              </w:r>
                              <w:r>
                                <w:rPr>
                                  <w:bCs/>
                                  <w:color w:val="000000"/>
                                  <w:szCs w:val="24"/>
                                  <w:bdr w:val="none" w:sz="0" w:space="0" w:color="auto" w:frame="1"/>
                                </w:rPr>
                                <w:t>bendro naudojimo erdvių, atskirųjų želdynų zonai</w:t>
                              </w:r>
                              <w:r>
                                <w:rPr>
                                  <w:color w:val="000000"/>
                                  <w:szCs w:val="24"/>
                                  <w:bdr w:val="none" w:sz="0" w:space="0" w:color="auto" w:frame="1"/>
                                </w:rPr>
                                <w:t>:</w:t>
                              </w:r>
                            </w:p>
                            <w:sdt>
                              <w:sdtPr>
                                <w:alias w:val="15.2.8.1 pp."/>
                                <w:tag w:val="part_8120a1e996754f63b99df1b54c2d6c45"/>
                                <w:lock w:val="sdtLocked"/>
                                <w:richText/>
                              </w:sdtPr>
                              <w:sdtContent>
                                <w:p>
                                  <w:pPr>
                                    <w:shd w:val="clear" w:color="auto" w:fill="FFFFFF"/>
                                    <w:spacing w:line="276" w:lineRule="auto"/>
                                    <w:ind w:firstLine="567"/>
                                    <w:jc w:val="both"/>
                                    <w:rPr>
                                      <w:color w:val="201F1E"/>
                                      <w:sz w:val="22"/>
                                      <w:szCs w:val="22"/>
                                      <w:lang w:val="en-US"/>
                                    </w:rPr>
                                  </w:pPr>
                                  <w:sdt>
                                    <w:sdtPr>
                                      <w:alias w:val="Numeris"/>
                                      <w:tag w:val="nr_8120a1e996754f63b99df1b54c2d6c45"/>
                                      <w:lock w:val="sdtLocked"/>
                                      <w:richText/>
                                    </w:sdtPr>
                                    <w:sdtContent>
                                      <w:r>
                                        <w:rPr>
                                          <w:color w:val="000000"/>
                                          <w:szCs w:val="24"/>
                                          <w:bdr w:val="none" w:sz="0" w:space="0" w:color="auto" w:frame="1"/>
                                        </w:rPr>
                                        <w:t>15.2.8.1</w:t>
                                      </w:r>
                                    </w:sdtContent>
                                  </w:sdt>
                                  <w:r>
                                    <w:rPr>
                                      <w:color w:val="000000"/>
                                      <w:szCs w:val="24"/>
                                      <w:bdr w:val="none" w:sz="0" w:space="0" w:color="auto" w:frame="1"/>
                                    </w:rPr>
                                    <w:t xml:space="preserve">. intensyviai naudojamų želdynų zonai </w:t>
                                  </w:r>
                                  <w:r>
                                    <w:rPr>
                                      <w:color w:val="000000"/>
                                      <w:szCs w:val="24"/>
                                      <w:lang w:val="en-US"/>
                                    </w:rPr>
                                    <w:t xml:space="preserve"> </w:t>
                                  </w:r>
                                  <w:r>
                                    <w:rPr>
                                      <w:szCs w:val="24"/>
                                      <w:lang w:val="en-US"/>
                                    </w:rPr>
                                    <w:t xml:space="preserve">– </w:t>
                                  </w:r>
                                  <w:r>
                                    <w:rPr>
                                      <w:color w:val="000000"/>
                                      <w:szCs w:val="24"/>
                                      <w:bdr w:val="none" w:sz="0" w:space="0" w:color="auto" w:frame="1"/>
                                    </w:rPr>
                                    <w:t>nuo 0, 5 iki 1,5;</w:t>
                                  </w:r>
                                </w:p>
                              </w:sdtContent>
                            </w:sdt>
                            <w:sdt>
                              <w:sdtPr>
                                <w:alias w:val="15.2.8.2 pp."/>
                                <w:tag w:val="part_18f0db7eb8d6486db25bca33df46dbb1"/>
                                <w:lock w:val="sdtLocked"/>
                                <w:richText/>
                              </w:sdtPr>
                              <w:sdtContent>
                                <w:p>
                                  <w:pPr>
                                    <w:shd w:val="clear" w:color="auto" w:fill="FFFFFF"/>
                                    <w:spacing w:line="276" w:lineRule="auto"/>
                                    <w:ind w:firstLine="567"/>
                                    <w:jc w:val="both"/>
                                    <w:rPr>
                                      <w:color w:val="201F1E"/>
                                      <w:sz w:val="22"/>
                                      <w:szCs w:val="22"/>
                                      <w:lang w:val="en-US"/>
                                    </w:rPr>
                                  </w:pPr>
                                  <w:sdt>
                                    <w:sdtPr>
                                      <w:alias w:val="Numeris"/>
                                      <w:tag w:val="nr_18f0db7eb8d6486db25bca33df46dbb1"/>
                                      <w:lock w:val="sdtLocked"/>
                                      <w:richText/>
                                    </w:sdtPr>
                                    <w:sdtContent>
                                      <w:r>
                                        <w:rPr>
                                          <w:color w:val="000000"/>
                                          <w:szCs w:val="24"/>
                                          <w:bdr w:val="none" w:sz="0" w:space="0" w:color="auto" w:frame="1"/>
                                        </w:rPr>
                                        <w:t>15.2.8.2</w:t>
                                      </w:r>
                                    </w:sdtContent>
                                  </w:sdt>
                                  <w:r>
                                    <w:rPr>
                                      <w:color w:val="000000"/>
                                      <w:szCs w:val="24"/>
                                      <w:bdr w:val="none" w:sz="0" w:space="0" w:color="auto" w:frame="1"/>
                                    </w:rPr>
                                    <w:t xml:space="preserve">. ekstensyviai naudojamų želdynų zonai </w:t>
                                  </w:r>
                                  <w:r>
                                    <w:rPr>
                                      <w:color w:val="000000"/>
                                      <w:szCs w:val="24"/>
                                      <w:lang w:val="en-US"/>
                                    </w:rPr>
                                    <w:t xml:space="preserve"> </w:t>
                                  </w:r>
                                  <w:r>
                                    <w:rPr>
                                      <w:szCs w:val="24"/>
                                      <w:lang w:val="en-US"/>
                                    </w:rPr>
                                    <w:t xml:space="preserve">– </w:t>
                                  </w:r>
                                  <w:r>
                                    <w:rPr>
                                      <w:color w:val="000000"/>
                                      <w:szCs w:val="24"/>
                                      <w:bdr w:val="none" w:sz="0" w:space="0" w:color="auto" w:frame="1"/>
                                    </w:rPr>
                                    <w:t>nuo 1,5 iki 2;</w:t>
                                  </w:r>
                                </w:p>
                              </w:sdtContent>
                            </w:sdt>
                          </w:sdtContent>
                        </w:sdt>
                      </w:sdtContent>
                    </w:sdt>
                    <w:sdt>
                      <w:sdtPr>
                        <w:alias w:val="15.3 pp."/>
                        <w:tag w:val="part_109e0a86129744d9adadc7ad6919d209"/>
                        <w:lock w:val="sdtLocked"/>
                        <w:richText/>
                      </w:sdtPr>
                      <w:sdtContent>
                        <w:p>
                          <w:pPr>
                            <w:shd w:val="clear" w:color="auto" w:fill="FFFFFF"/>
                            <w:spacing w:line="276" w:lineRule="auto"/>
                            <w:ind w:firstLine="567"/>
                            <w:jc w:val="both"/>
                            <w:rPr>
                              <w:color w:val="201F1E"/>
                              <w:sz w:val="22"/>
                              <w:szCs w:val="22"/>
                              <w:lang w:val="en-US"/>
                            </w:rPr>
                          </w:pPr>
                          <w:sdt>
                            <w:sdtPr>
                              <w:alias w:val="Numeris"/>
                              <w:tag w:val="nr_109e0a86129744d9adadc7ad6919d209"/>
                              <w:lock w:val="sdtLocked"/>
                              <w:richText/>
                            </w:sdtPr>
                            <w:sdtContent>
                              <w:r>
                                <w:rPr>
                                  <w:color w:val="000000"/>
                                  <w:szCs w:val="24"/>
                                  <w:bdr w:val="none" w:sz="0" w:space="0" w:color="auto" w:frame="1"/>
                                </w:rPr>
                                <w:t>15.3</w:t>
                              </w:r>
                            </w:sdtContent>
                          </w:sdt>
                          <w:r>
                            <w:rPr>
                              <w:color w:val="000000"/>
                              <w:szCs w:val="24"/>
                              <w:bdr w:val="none" w:sz="0" w:space="0" w:color="auto" w:frame="1"/>
                            </w:rPr>
                            <w:t xml:space="preserve">. teritorijų planavimo dokumentuose nustatytoms kitoms, nenurodytoms Metodikos 15.1. ir 15.2 papunkčiuose, specifinėms funkcinėms zonoms </w:t>
                          </w:r>
                          <w:r>
                            <w:rPr>
                              <w:szCs w:val="24"/>
                              <w:lang w:val="en-US"/>
                            </w:rPr>
                            <w:t xml:space="preserve">– </w:t>
                          </w:r>
                          <w:r>
                            <w:rPr>
                              <w:color w:val="000000"/>
                              <w:szCs w:val="24"/>
                              <w:bdr w:val="none" w:sz="0" w:space="0" w:color="auto" w:frame="1"/>
                            </w:rPr>
                            <w:t>nuo 0,</w:t>
                          </w:r>
                          <w:r>
                            <w:rPr>
                              <w:color w:val="000000"/>
                              <w:szCs w:val="24"/>
                              <w:bdr w:val="none" w:sz="0" w:space="0" w:color="auto" w:frame="1"/>
                              <w:lang w:val="en-US"/>
                            </w:rPr>
                            <w:t>1 iki 2</w:t>
                          </w:r>
                          <w:r>
                            <w:rPr>
                              <w:color w:val="000000"/>
                              <w:szCs w:val="24"/>
                              <w:bdr w:val="none" w:sz="0" w:space="0" w:color="auto" w:frame="1"/>
                            </w:rPr>
                            <w:t>.</w:t>
                          </w:r>
                        </w:p>
                      </w:sdtContent>
                    </w:sdt>
                  </w:sdtContent>
                </w:sdt>
                <w:sdt>
                  <w:sdtPr>
                    <w:alias w:val="16 p."/>
                    <w:tag w:val="part_b3ebc9d3547f4e7d9d9b43dd82e2b18d"/>
                    <w:lock w:val="sdtLocked"/>
                    <w:richText/>
                  </w:sdtPr>
                  <w:sdtContent>
                    <w:p>
                      <w:pPr>
                        <w:shd w:val="clear" w:color="auto" w:fill="FFFFFF"/>
                        <w:spacing w:line="276" w:lineRule="auto"/>
                        <w:ind w:firstLine="620"/>
                        <w:jc w:val="both"/>
                        <w:rPr>
                          <w:color w:val="201F1E"/>
                          <w:sz w:val="22"/>
                          <w:szCs w:val="22"/>
                          <w:lang w:val="en-US"/>
                        </w:rPr>
                      </w:pPr>
                      <w:sdt>
                        <w:sdtPr>
                          <w:alias w:val="Numeris"/>
                          <w:tag w:val="nr_b3ebc9d3547f4e7d9d9b43dd82e2b18d"/>
                          <w:lock w:val="sdtLocked"/>
                          <w:richText/>
                        </w:sdtPr>
                        <w:sdtContent>
                          <w:r>
                            <w:rPr>
                              <w:szCs w:val="24"/>
                              <w:lang w:val="en-US"/>
                            </w:rPr>
                            <w:t>16</w:t>
                          </w:r>
                        </w:sdtContent>
                      </w:sdt>
                      <w:r>
                        <w:rPr>
                          <w:szCs w:val="24"/>
                          <w:lang w:val="en-US"/>
                        </w:rPr>
                        <w:t xml:space="preserve">.  Diferencijavimui pagal savivaldybės infrastruktūros plėtros poreikį, numatytą teritorijų planavimo dokumentuose (D</w:t>
                      </w:r>
                      <w:r>
                        <w:rPr>
                          <w:szCs w:val="24"/>
                          <w:vertAlign w:val="subscript"/>
                          <w:lang w:val="en-US"/>
                        </w:rPr>
                        <w:t>plėtrin</w:t>
                      </w:r>
                      <w:r>
                        <w:rPr>
                          <w:szCs w:val="24"/>
                          <w:lang w:val="en-US"/>
                        </w:rPr>
                        <w:t>), kuriais suplanuota savivaldybės inžinerinė infrastruktūra, ar strateginio planavimo dokumentuose, savivaldybės tarybai rekomenduotina nustatyti šiuos koeficientus:</w:t>
                      </w:r>
                    </w:p>
                    <w:sdt>
                      <w:sdtPr>
                        <w:alias w:val="16.1 pp."/>
                        <w:tag w:val="part_82da2635c11649bd98b0aa49a361b227"/>
                        <w:lock w:val="sdtLocked"/>
                        <w:richText/>
                      </w:sdtPr>
                      <w:sdtContent>
                        <w:p>
                          <w:pPr>
                            <w:tabs>
                              <w:tab w:val="left" w:pos="851"/>
                              <w:tab w:val="left" w:pos="993"/>
                            </w:tabs>
                            <w:spacing w:line="276" w:lineRule="auto"/>
                            <w:ind w:firstLine="567"/>
                            <w:jc w:val="both"/>
                            <w:rPr>
                              <w:szCs w:val="24"/>
                            </w:rPr>
                          </w:pPr>
                          <w:sdt>
                            <w:sdtPr>
                              <w:alias w:val="Numeris"/>
                              <w:tag w:val="nr_82da2635c11649bd98b0aa49a361b227"/>
                              <w:lock w:val="sdtLocked"/>
                              <w:richText/>
                            </w:sdtPr>
                            <w:sdtContent>
                              <w:r>
                                <w:rPr>
                                  <w:szCs w:val="24"/>
                                </w:rPr>
                                <w:t>16.1</w:t>
                              </w:r>
                            </w:sdtContent>
                          </w:sdt>
                          <w:r>
                            <w:rPr>
                              <w:szCs w:val="24"/>
                            </w:rPr>
                            <w:t xml:space="preserve">. konversijos teritorijoms – nuo 0,5 iki 1;  </w:t>
                          </w:r>
                        </w:p>
                      </w:sdtContent>
                    </w:sdt>
                    <w:sdt>
                      <w:sdtPr>
                        <w:alias w:val="16.2 pp."/>
                        <w:tag w:val="part_66820ab345e947399b2f805a21f53670"/>
                        <w:lock w:val="sdtLocked"/>
                        <w:richText/>
                      </w:sdtPr>
                      <w:sdtContent>
                        <w:p>
                          <w:pPr>
                            <w:tabs>
                              <w:tab w:val="left" w:pos="851"/>
                              <w:tab w:val="left" w:pos="993"/>
                            </w:tabs>
                            <w:spacing w:line="276" w:lineRule="auto"/>
                            <w:ind w:firstLine="567"/>
                            <w:jc w:val="both"/>
                            <w:rPr>
                              <w:szCs w:val="24"/>
                            </w:rPr>
                          </w:pPr>
                          <w:sdt>
                            <w:sdtPr>
                              <w:alias w:val="Numeris"/>
                              <w:tag w:val="nr_66820ab345e947399b2f805a21f53670"/>
                              <w:lock w:val="sdtLocked"/>
                              <w:richText/>
                            </w:sdtPr>
                            <w:sdtContent>
                              <w:r>
                                <w:rPr>
                                  <w:szCs w:val="24"/>
                                </w:rPr>
                                <w:t>16.2</w:t>
                              </w:r>
                            </w:sdtContent>
                          </w:sdt>
                          <w:r>
                            <w:rPr>
                              <w:szCs w:val="24"/>
                            </w:rPr>
                            <w:t xml:space="preserve">. numatomų vystyti (perspektyvinių) daugiabučių kvartalų zonai –  nuo 0,5 iki 2;</w:t>
                          </w:r>
                        </w:p>
                      </w:sdtContent>
                    </w:sdt>
                    <w:sdt>
                      <w:sdtPr>
                        <w:alias w:val="16.3 pp."/>
                        <w:tag w:val="part_62296848ae314cccb2d46ca86a9365f7"/>
                        <w:lock w:val="sdtLocked"/>
                        <w:richText/>
                      </w:sdtPr>
                      <w:sdtContent>
                        <w:p>
                          <w:pPr>
                            <w:tabs>
                              <w:tab w:val="left" w:pos="851"/>
                              <w:tab w:val="left" w:pos="993"/>
                            </w:tabs>
                            <w:spacing w:line="276" w:lineRule="auto"/>
                            <w:ind w:firstLine="567"/>
                            <w:jc w:val="both"/>
                            <w:rPr>
                              <w:szCs w:val="24"/>
                            </w:rPr>
                          </w:pPr>
                          <w:sdt>
                            <w:sdtPr>
                              <w:alias w:val="Numeris"/>
                              <w:tag w:val="nr_62296848ae314cccb2d46ca86a9365f7"/>
                              <w:lock w:val="sdtLocked"/>
                              <w:richText/>
                            </w:sdtPr>
                            <w:sdtContent>
                              <w:r>
                                <w:rPr>
                                  <w:szCs w:val="24"/>
                                </w:rPr>
                                <w:t>16.3</w:t>
                              </w:r>
                            </w:sdtContent>
                          </w:sdt>
                          <w:r>
                            <w:rPr>
                              <w:szCs w:val="24"/>
                            </w:rPr>
                            <w:t xml:space="preserve">. planuojamų gamybinių teritorijų zonai – nuo 0,5 iki 2. </w:t>
                          </w:r>
                        </w:p>
                      </w:sdtContent>
                    </w:sdt>
                  </w:sdtContent>
                </w:sdt>
                <w:sdt>
                  <w:sdtPr>
                    <w:alias w:val="17 p."/>
                    <w:tag w:val="part_d971e249d0074ad4bb23ab1f48861588"/>
                    <w:lock w:val="sdtLocked"/>
                    <w:richText/>
                  </w:sdtPr>
                  <w:sdtContent>
                    <w:p>
                      <w:pPr>
                        <w:tabs>
                          <w:tab w:val="left" w:pos="567"/>
                          <w:tab w:val="left" w:pos="851"/>
                          <w:tab w:val="left" w:pos="993"/>
                        </w:tabs>
                        <w:spacing w:line="276" w:lineRule="auto"/>
                        <w:ind w:firstLine="567"/>
                        <w:jc w:val="both"/>
                        <w:rPr>
                          <w:szCs w:val="24"/>
                          <w:lang w:eastAsia="lt-LT"/>
                        </w:rPr>
                      </w:pPr>
                      <w:sdt>
                        <w:sdtPr>
                          <w:alias w:val="Numeris"/>
                          <w:tag w:val="nr_d971e249d0074ad4bb23ab1f48861588"/>
                          <w:lock w:val="sdtLocked"/>
                          <w:richText/>
                        </w:sdtPr>
                        <w:sdtContent>
                          <w:r>
                            <w:rPr>
                              <w:szCs w:val="24"/>
                              <w:lang w:eastAsia="lt-LT"/>
                            </w:rPr>
                            <w:t>17</w:t>
                          </w:r>
                        </w:sdtContent>
                      </w:sdt>
                      <w:r>
                        <w:rPr>
                          <w:szCs w:val="24"/>
                          <w:lang w:eastAsia="lt-LT"/>
                        </w:rPr>
                        <w:t>. Inžinerinės savivaldybės infrastruktūros plėtros išlaidų dydį (V</w:t>
                      </w:r>
                      <w:r>
                        <w:rPr>
                          <w:szCs w:val="24"/>
                          <w:vertAlign w:val="subscript"/>
                          <w:lang w:eastAsia="lt-LT"/>
                        </w:rPr>
                        <w:t>in</w:t>
                      </w:r>
                      <w:r>
                        <w:rPr>
                          <w:szCs w:val="24"/>
                          <w:lang w:eastAsia="lt-LT"/>
                        </w:rPr>
                        <w:t>) nustato savivaldybės taryba. Šį išlaidų dydį – inžinerinės savivaldybės infrastruktūros plėtros išlaidų dalį, tenkančią savivaldybės teritorijos (jos dalies, kurioje suplanuota inžinerinės infrastruktūros plėtra) vienam kvadratiniam metrui (Eur/m</w:t>
                      </w:r>
                      <w:r>
                        <w:rPr>
                          <w:szCs w:val="24"/>
                          <w:vertAlign w:val="superscript"/>
                          <w:lang w:eastAsia="lt-LT"/>
                        </w:rPr>
                        <w:t>2</w:t>
                      </w:r>
                      <w:r>
                        <w:rPr>
                          <w:szCs w:val="24"/>
                          <w:lang w:eastAsia="lt-LT"/>
                        </w:rPr>
                        <w:t>) – rekomenduotina apskaičiuoti pagal formulę:</w:t>
                      </w:r>
                    </w:p>
                    <w:p>
                      <w:pPr>
                        <w:tabs>
                          <w:tab w:val="left" w:pos="567"/>
                          <w:tab w:val="left" w:pos="851"/>
                          <w:tab w:val="left" w:pos="993"/>
                        </w:tabs>
                        <w:spacing w:line="276" w:lineRule="auto"/>
                        <w:ind w:firstLine="567"/>
                        <w:rPr>
                          <w:szCs w:val="24"/>
                          <w:lang w:val="en-GB" w:eastAsia="lt-LT"/>
                        </w:rPr>
                      </w:pPr>
                      <w:r>
                        <w:rPr>
                          <w:szCs w:val="24"/>
                          <w:lang w:eastAsia="lt-LT"/>
                        </w:rPr>
                        <w:t>V</w:t>
                      </w:r>
                      <w:r>
                        <w:rPr>
                          <w:szCs w:val="24"/>
                          <w:vertAlign w:val="subscript"/>
                          <w:lang w:eastAsia="lt-LT"/>
                        </w:rPr>
                        <w:t>in</w:t>
                      </w:r>
                      <w:r>
                        <w:rPr>
                          <w:szCs w:val="24"/>
                          <w:lang w:eastAsia="lt-LT"/>
                        </w:rPr>
                        <w:t xml:space="preserve"> </w:t>
                      </w:r>
                      <w:r>
                        <w:rPr>
                          <w:szCs w:val="24"/>
                          <w:lang w:val="en-GB" w:eastAsia="lt-LT"/>
                        </w:rPr>
                        <w:t>= I</w:t>
                      </w:r>
                      <w:r>
                        <w:rPr>
                          <w:szCs w:val="24"/>
                          <w:vertAlign w:val="subscript"/>
                          <w:lang w:val="en-GB" w:eastAsia="lt-LT"/>
                        </w:rPr>
                        <w:t>in</w:t>
                      </w:r>
                      <w:r>
                        <w:rPr>
                          <w:szCs w:val="24"/>
                          <w:lang w:val="en-GB" w:eastAsia="lt-LT"/>
                        </w:rPr>
                        <w:t xml:space="preserve"> : P : UI</w:t>
                      </w:r>
                    </w:p>
                    <w:p>
                      <w:pPr>
                        <w:tabs>
                          <w:tab w:val="left" w:pos="567"/>
                        </w:tabs>
                        <w:spacing w:line="276" w:lineRule="auto"/>
                        <w:ind w:firstLine="567"/>
                        <w:jc w:val="both"/>
                        <w:rPr>
                          <w:szCs w:val="24"/>
                          <w:lang w:eastAsia="lt-LT"/>
                        </w:rPr>
                      </w:pPr>
                      <w:r>
                        <w:rPr>
                          <w:szCs w:val="24"/>
                          <w:lang w:eastAsia="lt-LT"/>
                        </w:rPr>
                        <w:t>čia:</w:t>
                      </w:r>
                    </w:p>
                    <w:p>
                      <w:pPr>
                        <w:tabs>
                          <w:tab w:val="left" w:pos="567"/>
                          <w:tab w:val="left" w:pos="851"/>
                          <w:tab w:val="left" w:pos="993"/>
                        </w:tabs>
                        <w:spacing w:line="276" w:lineRule="auto"/>
                        <w:ind w:firstLine="567"/>
                        <w:jc w:val="both"/>
                        <w:rPr>
                          <w:szCs w:val="24"/>
                          <w:lang w:eastAsia="lt-LT"/>
                        </w:rPr>
                      </w:pPr>
                      <w:r>
                        <w:rPr>
                          <w:szCs w:val="24"/>
                          <w:lang w:eastAsia="lt-LT"/>
                        </w:rPr>
                        <w:t>I</w:t>
                      </w:r>
                      <w:r>
                        <w:rPr>
                          <w:szCs w:val="24"/>
                          <w:vertAlign w:val="subscript"/>
                          <w:lang w:eastAsia="lt-LT"/>
                        </w:rPr>
                        <w:t>in</w:t>
                      </w:r>
                      <w:r>
                        <w:rPr>
                          <w:szCs w:val="24"/>
                          <w:lang w:eastAsia="lt-LT"/>
                        </w:rPr>
                        <w:t xml:space="preserve"> – inžinerinės savivaldybės infrastruktūros plėtros sąnaudos savivaldybės (jos dalies) teritorijoje. Kai atitinkamoje savivaldybės (jos dalies) teritorijoje inžinerinė savivaldybės infrastruktūra neišvystyta ir numatoma jos plėtra, inžinerinės savivaldybės infrastruktūros plėtros sąnaudas rekomenduotina apskaičiuoti pagal šios teritorijos vystymui reikalingos inžinerinės savivaldybės infrastruktūros plėtros (projektavimo ir statybos, ir (ar) įrengimo) kainą. Projektavimo darbų kainą rekomenduotina nustatyti </w:t>
                      </w:r>
                      <w:r>
                        <w:rPr>
                          <w:rFonts w:eastAsia="Calibri"/>
                          <w:szCs w:val="24"/>
                          <w:lang w:eastAsia="lt-LT"/>
                        </w:rPr>
                        <w:t xml:space="preserve">atsižvelgiant į aplinkos ministro įsakymu patvirtintas statinių projektavimo darbų kainų skaičiavimo rekomendacijas, statybos ir (ar) įrengimo darbų kainą – į aplinkos ministro įsakymu patvirtintus statybos skaičiuojamosios kainos nustatymo principus </w:t>
                      </w:r>
                      <w:r>
                        <w:rPr>
                          <w:szCs w:val="24"/>
                          <w:lang w:eastAsia="en-GB"/>
                        </w:rPr>
                        <w:t>ir želdinių atkuriamosios vertės įkainius</w:t>
                      </w:r>
                      <w:r>
                        <w:rPr>
                          <w:rFonts w:eastAsia="Calibri"/>
                          <w:szCs w:val="24"/>
                          <w:lang w:eastAsia="lt-LT"/>
                        </w:rPr>
                        <w:t xml:space="preserve">. </w:t>
                      </w:r>
                      <w:r>
                        <w:rPr>
                          <w:szCs w:val="24"/>
                          <w:lang w:eastAsia="lt-LT"/>
                        </w:rPr>
                        <w:t>Kai savivaldybės teritorijos dalis išvystyta, inžinerinės savivaldybės infrastruktūros plėtros sąnaudas rekomenduotina apskaičiuoti atsižvelgiant į praėjusių 3 metų išlaidas plėtojant inžinerinę savivaldybės infrastruktūrą atitinkamoje teritorijoje;</w:t>
                      </w:r>
                    </w:p>
                    <w:p>
                      <w:pPr>
                        <w:tabs>
                          <w:tab w:val="left" w:pos="567"/>
                          <w:tab w:val="left" w:pos="851"/>
                          <w:tab w:val="left" w:pos="993"/>
                        </w:tabs>
                        <w:spacing w:line="276" w:lineRule="auto"/>
                        <w:ind w:firstLine="567"/>
                        <w:jc w:val="both"/>
                        <w:rPr>
                          <w:szCs w:val="24"/>
                          <w:lang w:eastAsia="lt-LT"/>
                        </w:rPr>
                      </w:pPr>
                      <w:r>
                        <w:rPr>
                          <w:szCs w:val="24"/>
                          <w:lang w:eastAsia="lt-LT"/>
                        </w:rPr>
                        <w:t>P – savivaldybės teritorijos (jos dalies) plotas (m</w:t>
                      </w:r>
                      <w:r>
                        <w:rPr>
                          <w:szCs w:val="24"/>
                          <w:vertAlign w:val="superscript"/>
                          <w:lang w:eastAsia="lt-LT"/>
                        </w:rPr>
                        <w:t>2</w:t>
                      </w:r>
                      <w:r>
                        <w:rPr>
                          <w:szCs w:val="24"/>
                          <w:lang w:eastAsia="lt-LT"/>
                        </w:rPr>
                        <w:t>), kuriame skaičiuojamos inžinerinės savivaldybės infrastruktūros plėtros sąnaudos;</w:t>
                      </w:r>
                    </w:p>
                    <w:p>
                      <w:pPr>
                        <w:tabs>
                          <w:tab w:val="left" w:pos="567"/>
                          <w:tab w:val="left" w:pos="851"/>
                          <w:tab w:val="left" w:pos="993"/>
                        </w:tabs>
                        <w:spacing w:line="276" w:lineRule="auto"/>
                        <w:ind w:firstLine="567"/>
                        <w:jc w:val="both"/>
                        <w:rPr>
                          <w:szCs w:val="24"/>
                        </w:rPr>
                      </w:pPr>
                      <w:r>
                        <w:rPr>
                          <w:lang w:eastAsia="lt-LT"/>
                        </w:rPr>
                        <w:t>UI – savivaldybės teritorijos dalies, kurioje skaičiuojamos inžinerinės savivaldybės infrastruktūros plėtros sąnaudos, užstatymo intensyvumas.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Content>
                </w:sdt>
                <w:sdt>
                  <w:sdtPr>
                    <w:alias w:val="18 p."/>
                    <w:tag w:val="part_a170b5507072421da981f8a8992734f0"/>
                    <w:lock w:val="sdtLocked"/>
                    <w:richText/>
                  </w:sdtPr>
                  <w:sdtContent>
                    <w:p>
                      <w:pPr>
                        <w:tabs>
                          <w:tab w:val="left" w:pos="851"/>
                          <w:tab w:val="left" w:pos="993"/>
                        </w:tabs>
                        <w:spacing w:line="276" w:lineRule="auto"/>
                        <w:ind w:firstLine="567"/>
                        <w:jc w:val="both"/>
                        <w:rPr>
                          <w:szCs w:val="24"/>
                        </w:rPr>
                      </w:pPr>
                      <w:sdt>
                        <w:sdtPr>
                          <w:alias w:val="Numeris"/>
                          <w:tag w:val="nr_a170b5507072421da981f8a8992734f0"/>
                          <w:lock w:val="sdtLocked"/>
                          <w:richText/>
                        </w:sdtPr>
                        <w:sdtContent>
                          <w:r>
                            <w:rPr>
                              <w:szCs w:val="24"/>
                            </w:rPr>
                            <w:t>18</w:t>
                          </w:r>
                        </w:sdtContent>
                      </w:sdt>
                      <w:r>
                        <w:rPr>
                          <w:szCs w:val="24"/>
                        </w:rPr>
                        <w:t>. Savivaldybės tarybai, tvirtinant įmokos tarifo dalį, kuria siekiama nustatyti įmokos tarifo dydį (T</w:t>
                      </w:r>
                      <w:r>
                        <w:rPr>
                          <w:szCs w:val="24"/>
                          <w:vertAlign w:val="subscript"/>
                        </w:rPr>
                        <w:t>2</w:t>
                      </w:r>
                      <w:r>
                        <w:rPr>
                          <w:szCs w:val="24"/>
                        </w:rPr>
                        <w:t>) socialinės savivaldybės infrastruktūros (reikalingos daugiabučių gyvenamųjų pastatų ir bendrabučių teritorijų, vienbučių ir dvibučių gyvenamųjų pastatų teritorijų, visuomeninės paskirties teritorijų ir rekreacinių teritorijų vystymui) plėtrai konkrečioje savivaldybės (jos dalies) teritorijoje, rekomenduotina ją diferencijuoti atsižvelgiant į pagrindinę žemės sklypo naudojimo paskirtį ir (ar) pastatų naudojimo paskirtį, socialinės savivaldybės infrastruktūros išvystymą ir reikalingą plėtrą, numatytą teritorijų planavimo dokumentuose ir strateginio planavimo dokumentuose, ir apskaičiuoti pagal formulę:</w:t>
                      </w:r>
                    </w:p>
                    <w:p>
                      <w:pPr>
                        <w:tabs>
                          <w:tab w:val="left" w:pos="851"/>
                          <w:tab w:val="left" w:pos="993"/>
                        </w:tabs>
                        <w:spacing w:line="276" w:lineRule="auto"/>
                        <w:ind w:firstLine="567"/>
                        <w:jc w:val="both"/>
                        <w:rPr>
                          <w:szCs w:val="24"/>
                        </w:rPr>
                      </w:pPr>
                      <w:r>
                        <w:rPr>
                          <w:szCs w:val="24"/>
                        </w:rPr>
                        <w:t>T</w:t>
                      </w:r>
                      <w:r>
                        <w:rPr>
                          <w:szCs w:val="24"/>
                          <w:vertAlign w:val="subscript"/>
                        </w:rPr>
                        <w:t>2</w:t>
                      </w:r>
                      <w:r>
                        <w:rPr>
                          <w:szCs w:val="24"/>
                        </w:rPr>
                        <w:t xml:space="preserve"> = D</w:t>
                      </w:r>
                      <w:r>
                        <w:rPr>
                          <w:szCs w:val="24"/>
                          <w:vertAlign w:val="subscript"/>
                        </w:rPr>
                        <w:t>žpnpsoc</w:t>
                      </w:r>
                      <w:r>
                        <w:rPr>
                          <w:szCs w:val="24"/>
                        </w:rPr>
                        <w:t xml:space="preserve"> x</w:t>
                      </w:r>
                      <w:r>
                        <w:rPr>
                          <w:szCs w:val="24"/>
                          <w:vertAlign w:val="subscript"/>
                        </w:rPr>
                        <w:t xml:space="preserve"> </w:t>
                      </w:r>
                      <w:r>
                        <w:rPr>
                          <w:szCs w:val="24"/>
                        </w:rPr>
                        <w:t>D</w:t>
                      </w:r>
                      <w:r>
                        <w:rPr>
                          <w:szCs w:val="24"/>
                          <w:vertAlign w:val="subscript"/>
                        </w:rPr>
                        <w:t xml:space="preserve">išvystsoc </w:t>
                      </w:r>
                      <w:r>
                        <w:rPr>
                          <w:szCs w:val="24"/>
                        </w:rPr>
                        <w:t>x D</w:t>
                      </w:r>
                      <w:r>
                        <w:rPr>
                          <w:szCs w:val="24"/>
                          <w:vertAlign w:val="subscript"/>
                        </w:rPr>
                        <w:t>plėtrsoc</w:t>
                      </w:r>
                      <w:r>
                        <w:rPr>
                          <w:szCs w:val="24"/>
                        </w:rPr>
                        <w:t xml:space="preserve"> x V</w:t>
                      </w:r>
                      <w:r>
                        <w:rPr>
                          <w:szCs w:val="24"/>
                          <w:vertAlign w:val="subscript"/>
                        </w:rPr>
                        <w:t>soc</w:t>
                      </w:r>
                      <w:r>
                        <w:rPr>
                          <w:szCs w:val="24"/>
                        </w:rPr>
                        <w:t>.</w:t>
                      </w:r>
                    </w:p>
                    <w:p>
                      <w:pPr>
                        <w:spacing w:line="276" w:lineRule="auto"/>
                        <w:ind w:firstLine="567"/>
                        <w:jc w:val="both"/>
                        <w:rPr>
                          <w:szCs w:val="24"/>
                        </w:rPr>
                      </w:pPr>
                      <w:r>
                        <w:rPr>
                          <w:szCs w:val="24"/>
                        </w:rPr>
                        <w:t>čia:</w:t>
                      </w:r>
                    </w:p>
                    <w:p>
                      <w:pPr>
                        <w:tabs>
                          <w:tab w:val="left" w:pos="851"/>
                          <w:tab w:val="left" w:pos="993"/>
                          <w:tab w:val="left" w:pos="1134"/>
                        </w:tabs>
                        <w:spacing w:line="276" w:lineRule="auto"/>
                        <w:ind w:firstLine="567"/>
                        <w:jc w:val="both"/>
                        <w:rPr>
                          <w:szCs w:val="24"/>
                        </w:rPr>
                      </w:pPr>
                      <w:r>
                        <w:rPr>
                          <w:szCs w:val="24"/>
                        </w:rPr>
                        <w:t>D</w:t>
                      </w:r>
                      <w:r>
                        <w:rPr>
                          <w:szCs w:val="24"/>
                          <w:vertAlign w:val="subscript"/>
                        </w:rPr>
                        <w:t>žpnpsoc</w:t>
                      </w:r>
                      <w:r>
                        <w:rPr>
                          <w:szCs w:val="24"/>
                        </w:rPr>
                        <w:t xml:space="preserve"> – diferencijavimas pagal pagrindinę žemės ir (ar) pastatų naudojimo paskirtį socialinės savivaldybės infrastruktūros plėtrai. Apskaičiuojamas pagal Metodikos 19 punktą;</w:t>
                      </w:r>
                    </w:p>
                    <w:p>
                      <w:pPr>
                        <w:tabs>
                          <w:tab w:val="left" w:pos="851"/>
                          <w:tab w:val="left" w:pos="993"/>
                          <w:tab w:val="left" w:pos="1134"/>
                        </w:tabs>
                        <w:spacing w:line="276" w:lineRule="auto"/>
                        <w:ind w:firstLine="567"/>
                        <w:jc w:val="both"/>
                        <w:rPr>
                          <w:szCs w:val="24"/>
                        </w:rPr>
                      </w:pPr>
                      <w:r>
                        <w:rPr>
                          <w:szCs w:val="24"/>
                        </w:rPr>
                        <w:t>D</w:t>
                      </w:r>
                      <w:r>
                        <w:rPr>
                          <w:szCs w:val="24"/>
                          <w:vertAlign w:val="subscript"/>
                        </w:rPr>
                        <w:t>išvystsoc</w:t>
                      </w:r>
                      <w:r>
                        <w:rPr>
                          <w:szCs w:val="24"/>
                        </w:rPr>
                        <w:t xml:space="preserve"> – diferencijavimas pagal socialinės savivaldybės infrastruktūros išvystymo lygį. Apskaičiuojamas pagal Metodikos 15 punktą, atitinkamai vertinant socialinę, bet ne inžinerinę infrastruktūrą;</w:t>
                      </w:r>
                    </w:p>
                    <w:p>
                      <w:pPr>
                        <w:tabs>
                          <w:tab w:val="left" w:pos="851"/>
                          <w:tab w:val="left" w:pos="993"/>
                          <w:tab w:val="left" w:pos="1134"/>
                        </w:tabs>
                        <w:spacing w:line="276" w:lineRule="auto"/>
                        <w:ind w:firstLine="567"/>
                        <w:jc w:val="both"/>
                        <w:rPr>
                          <w:szCs w:val="24"/>
                        </w:rPr>
                      </w:pPr>
                      <w:r>
                        <w:rPr>
                          <w:szCs w:val="24"/>
                        </w:rPr>
                        <w:t>D</w:t>
                      </w:r>
                      <w:r>
                        <w:rPr>
                          <w:szCs w:val="24"/>
                          <w:vertAlign w:val="subscript"/>
                        </w:rPr>
                        <w:t>plėtrsoc</w:t>
                      </w:r>
                      <w:r>
                        <w:rPr>
                          <w:szCs w:val="24"/>
                        </w:rPr>
                        <w:t xml:space="preserve"> – diferencijavimas pagal socialinės savivaldybės infrastruktūros plėtros poreikį. Apskaičiuojamas pagal Metodikos 16 punktą, atitinkamai vertinant socialinę infrastruktūrą;</w:t>
                      </w:r>
                    </w:p>
                    <w:p>
                      <w:pPr>
                        <w:tabs>
                          <w:tab w:val="left" w:pos="1418"/>
                        </w:tabs>
                        <w:spacing w:line="276" w:lineRule="auto"/>
                        <w:ind w:firstLine="567"/>
                        <w:jc w:val="both"/>
                        <w:rPr>
                          <w:szCs w:val="24"/>
                        </w:rPr>
                      </w:pPr>
                      <w:r>
                        <w:rPr>
                          <w:szCs w:val="24"/>
                        </w:rPr>
                        <w:t>V</w:t>
                      </w:r>
                      <w:r>
                        <w:rPr>
                          <w:szCs w:val="24"/>
                          <w:vertAlign w:val="subscript"/>
                        </w:rPr>
                        <w:t>soc</w:t>
                      </w:r>
                      <w:r>
                        <w:rPr>
                          <w:szCs w:val="24"/>
                        </w:rPr>
                        <w:t xml:space="preserve"> – socialinės savivaldybės infrastruktūros plėtros išlaidų dydis savivaldybės (jos dalies) teritorijoje (Eur/m</w:t>
                      </w:r>
                      <w:r>
                        <w:rPr>
                          <w:szCs w:val="24"/>
                          <w:vertAlign w:val="superscript"/>
                        </w:rPr>
                        <w:t>2</w:t>
                      </w:r>
                      <w:r>
                        <w:rPr>
                          <w:szCs w:val="24"/>
                        </w:rPr>
                        <w:t>) apskaičiuojamas pagal Metodikos 17 punktą, atitinkamai vertinant socialinę infrastruktūrą.</w:t>
                      </w:r>
                    </w:p>
                  </w:sdtContent>
                </w:sdt>
                <w:sdt>
                  <w:sdtPr>
                    <w:alias w:val="19 p."/>
                    <w:tag w:val="part_45c099eaafe5496188dd2f0208784a5b"/>
                    <w:lock w:val="sdtLocked"/>
                    <w:richText/>
                  </w:sdtPr>
                  <w:sdtContent>
                    <w:p>
                      <w:pPr>
                        <w:tabs>
                          <w:tab w:val="left" w:pos="851"/>
                          <w:tab w:val="left" w:pos="993"/>
                        </w:tabs>
                        <w:spacing w:line="276" w:lineRule="auto"/>
                        <w:ind w:firstLine="567"/>
                        <w:jc w:val="both"/>
                        <w:rPr>
                          <w:szCs w:val="24"/>
                        </w:rPr>
                      </w:pPr>
                      <w:sdt>
                        <w:sdtPr>
                          <w:alias w:val="Numeris"/>
                          <w:tag w:val="nr_45c099eaafe5496188dd2f0208784a5b"/>
                          <w:lock w:val="sdtLocked"/>
                          <w:richText/>
                        </w:sdtPr>
                        <w:sdtContent>
                          <w:r>
                            <w:rPr>
                              <w:szCs w:val="24"/>
                            </w:rPr>
                            <w:t>19</w:t>
                          </w:r>
                        </w:sdtContent>
                      </w:sdt>
                      <w:r>
                        <w:rPr>
                          <w:szCs w:val="24"/>
                        </w:rPr>
                        <w:t>. Savivaldybės tarybai, tvirtinant įmokos tarifo dalį, kuria siekiama nustatyti įmokos tarifo dydį socialinės savivaldybės infrastruktūros plėtrai, rekomenduotina jį diferencijuoti atsižvelgiant į pagrindinę žemės sklypo naudojimo paskirtį ir (ar) pastatų naudojimo paskirtį. Diferencijavimui pagal pagrindinę žemės sklypo naudojimo paskirtį ir (ar) pastatų naudojimo paskirtį (D</w:t>
                      </w:r>
                      <w:r>
                        <w:rPr>
                          <w:szCs w:val="24"/>
                          <w:vertAlign w:val="subscript"/>
                        </w:rPr>
                        <w:t>žpnpsoc</w:t>
                      </w:r>
                      <w:r>
                        <w:rPr>
                          <w:szCs w:val="24"/>
                        </w:rPr>
                        <w:t xml:space="preserve">) socialinės savivaldybės infrastruktūros plėtrai savivaldybės tarybai rekomenduotina nustatyti šiuos koeficientus: </w:t>
                      </w:r>
                    </w:p>
                    <w:sdt>
                      <w:sdtPr>
                        <w:alias w:val="19.1 pp."/>
                        <w:tag w:val="part_a7713dcb6ee34255927354ea4b09b3fb"/>
                        <w:lock w:val="sdtLocked"/>
                        <w:richText/>
                      </w:sdtPr>
                      <w:sdtContent>
                        <w:p>
                          <w:pPr>
                            <w:tabs>
                              <w:tab w:val="left" w:pos="0"/>
                              <w:tab w:val="left" w:pos="851"/>
                            </w:tabs>
                            <w:spacing w:line="276" w:lineRule="auto"/>
                            <w:ind w:firstLine="567"/>
                            <w:jc w:val="both"/>
                            <w:rPr>
                              <w:szCs w:val="24"/>
                            </w:rPr>
                          </w:pPr>
                          <w:sdt>
                            <w:sdtPr>
                              <w:alias w:val="Numeris"/>
                              <w:tag w:val="nr_a7713dcb6ee34255927354ea4b09b3fb"/>
                              <w:lock w:val="sdtLocked"/>
                              <w:richText/>
                            </w:sdtPr>
                            <w:sdtContent>
                              <w:r>
                                <w:rPr>
                                  <w:szCs w:val="24"/>
                                </w:rPr>
                                <w:t>19.1</w:t>
                              </w:r>
                            </w:sdtContent>
                          </w:sdt>
                          <w:r>
                            <w:rPr>
                              <w:szCs w:val="24"/>
                            </w:rPr>
                            <w:t>. žemės ūkio paskirties žemės sklypui gyvenamosios paskirtiems pastatams – nuo 1 iki 2;</w:t>
                          </w:r>
                        </w:p>
                      </w:sdtContent>
                    </w:sdt>
                    <w:sdt>
                      <w:sdtPr>
                        <w:alias w:val="19.2 pp."/>
                        <w:tag w:val="part_43ec89d97a724d1381d0ba78ca21008d"/>
                        <w:lock w:val="sdtLocked"/>
                        <w:richText/>
                      </w:sdtPr>
                      <w:sdtContent>
                        <w:p>
                          <w:pPr>
                            <w:tabs>
                              <w:tab w:val="left" w:pos="0"/>
                              <w:tab w:val="left" w:pos="851"/>
                            </w:tabs>
                            <w:spacing w:line="276" w:lineRule="auto"/>
                            <w:ind w:firstLine="567"/>
                            <w:jc w:val="both"/>
                            <w:rPr>
                              <w:szCs w:val="24"/>
                            </w:rPr>
                          </w:pPr>
                          <w:sdt>
                            <w:sdtPr>
                              <w:alias w:val="Numeris"/>
                              <w:tag w:val="nr_43ec89d97a724d1381d0ba78ca21008d"/>
                              <w:lock w:val="sdtLocked"/>
                              <w:richText/>
                            </w:sdtPr>
                            <w:sdtContent>
                              <w:r>
                                <w:rPr>
                                  <w:szCs w:val="24"/>
                                </w:rPr>
                                <w:t>19.2</w:t>
                              </w:r>
                            </w:sdtContent>
                          </w:sdt>
                          <w:r>
                            <w:rPr>
                              <w:szCs w:val="24"/>
                            </w:rPr>
                            <w:t>. daugiabučių gyvenamųjų pastatų ir bendrabučių teritorijų žemės sklypui – nuo 0,5 iki 2;</w:t>
                          </w:r>
                        </w:p>
                      </w:sdtContent>
                    </w:sdt>
                    <w:sdt>
                      <w:sdtPr>
                        <w:alias w:val="19.3 pp."/>
                        <w:tag w:val="part_ed700a12a75345eaa058698183d2a2b4"/>
                        <w:lock w:val="sdtLocked"/>
                        <w:richText/>
                      </w:sdtPr>
                      <w:sdtContent>
                        <w:p>
                          <w:pPr>
                            <w:tabs>
                              <w:tab w:val="left" w:pos="851"/>
                              <w:tab w:val="left" w:pos="993"/>
                            </w:tabs>
                            <w:spacing w:line="276" w:lineRule="auto"/>
                            <w:ind w:firstLine="567"/>
                            <w:jc w:val="both"/>
                            <w:rPr>
                              <w:szCs w:val="24"/>
                            </w:rPr>
                          </w:pPr>
                          <w:sdt>
                            <w:sdtPr>
                              <w:alias w:val="Numeris"/>
                              <w:tag w:val="nr_ed700a12a75345eaa058698183d2a2b4"/>
                              <w:lock w:val="sdtLocked"/>
                              <w:richText/>
                            </w:sdtPr>
                            <w:sdtContent>
                              <w:r>
                                <w:rPr>
                                  <w:szCs w:val="24"/>
                                </w:rPr>
                                <w:t>19.3</w:t>
                              </w:r>
                            </w:sdtContent>
                          </w:sdt>
                          <w:r>
                            <w:rPr>
                              <w:szCs w:val="24"/>
                            </w:rPr>
                            <w:t>. vienbučių ir dvibučių gyvenamųjų pastatų teritorijų žemės sklypui – nuo 1 iki 2;</w:t>
                          </w:r>
                        </w:p>
                      </w:sdtContent>
                    </w:sdt>
                    <w:sdt>
                      <w:sdtPr>
                        <w:alias w:val="19.4 pp."/>
                        <w:tag w:val="part_f3fddcb9c7554e8ab5c119c3044cf66d"/>
                        <w:lock w:val="sdtLocked"/>
                        <w:richText/>
                      </w:sdtPr>
                      <w:sdtContent>
                        <w:p>
                          <w:pPr>
                            <w:tabs>
                              <w:tab w:val="left" w:pos="851"/>
                              <w:tab w:val="left" w:pos="993"/>
                            </w:tabs>
                            <w:spacing w:line="276" w:lineRule="auto"/>
                            <w:ind w:firstLine="567"/>
                            <w:jc w:val="both"/>
                            <w:rPr>
                              <w:szCs w:val="24"/>
                            </w:rPr>
                          </w:pPr>
                          <w:sdt>
                            <w:sdtPr>
                              <w:alias w:val="Numeris"/>
                              <w:tag w:val="nr_f3fddcb9c7554e8ab5c119c3044cf66d"/>
                              <w:lock w:val="sdtLocked"/>
                              <w:richText/>
                            </w:sdtPr>
                            <w:sdtContent>
                              <w:r>
                                <w:rPr>
                                  <w:szCs w:val="24"/>
                                </w:rPr>
                                <w:t>19.4</w:t>
                              </w:r>
                            </w:sdtContent>
                          </w:sdt>
                          <w:r>
                            <w:rPr>
                              <w:szCs w:val="24"/>
                            </w:rPr>
                            <w:t xml:space="preserve">. visuomeninės paskirties teritorijų žemės sklypui – nuo 0,5 iki 1; </w:t>
                          </w:r>
                        </w:p>
                      </w:sdtContent>
                    </w:sdt>
                    <w:sdt>
                      <w:sdtPr>
                        <w:alias w:val="19.5 pp."/>
                        <w:tag w:val="part_91a8ab59f5ee42bbbd15fc55775598ca"/>
                        <w:lock w:val="sdtLocked"/>
                        <w:richText/>
                      </w:sdtPr>
                      <w:sdtContent>
                        <w:p>
                          <w:pPr>
                            <w:tabs>
                              <w:tab w:val="left" w:pos="851"/>
                              <w:tab w:val="left" w:pos="993"/>
                            </w:tabs>
                            <w:spacing w:line="276" w:lineRule="auto"/>
                            <w:ind w:firstLine="567"/>
                            <w:jc w:val="both"/>
                            <w:rPr>
                              <w:b/>
                              <w:bCs/>
                              <w:szCs w:val="24"/>
                              <w:lang w:val="en-GB"/>
                            </w:rPr>
                          </w:pPr>
                          <w:sdt>
                            <w:sdtPr>
                              <w:alias w:val="Numeris"/>
                              <w:tag w:val="nr_91a8ab59f5ee42bbbd15fc55775598ca"/>
                              <w:lock w:val="sdtLocked"/>
                              <w:richText/>
                            </w:sdtPr>
                            <w:sdtContent>
                              <w:r>
                                <w:rPr>
                                  <w:szCs w:val="24"/>
                                </w:rPr>
                                <w:t>19.5</w:t>
                              </w:r>
                            </w:sdtContent>
                          </w:sdt>
                          <w:r>
                            <w:rPr>
                              <w:szCs w:val="24"/>
                            </w:rPr>
                            <w:t>. rekreacinių teritorijų žemės sklypui – nuo 0,5 iki 2.</w:t>
                          </w:r>
                        </w:p>
                      </w:sdtContent>
                    </w:sdt>
                  </w:sdtContent>
                </w:sdt>
                <w:sdt>
                  <w:sdtPr>
                    <w:alias w:val="20 p."/>
                    <w:tag w:val="part_934c54af04cc4e739917a44e56f35f34"/>
                    <w:lock w:val="sdtLocked"/>
                    <w:richText/>
                  </w:sdtPr>
                  <w:sdtContent>
                    <w:p>
                      <w:pPr>
                        <w:tabs>
                          <w:tab w:val="left" w:pos="851"/>
                          <w:tab w:val="left" w:pos="993"/>
                        </w:tabs>
                        <w:spacing w:line="276" w:lineRule="auto"/>
                        <w:ind w:firstLine="567"/>
                        <w:jc w:val="both"/>
                        <w:rPr>
                          <w:b/>
                          <w:bCs/>
                          <w:szCs w:val="24"/>
                          <w:lang w:val="en-GB"/>
                        </w:rPr>
                      </w:pPr>
                      <w:sdt>
                        <w:sdtPr>
                          <w:alias w:val="Numeris"/>
                          <w:tag w:val="nr_934c54af04cc4e739917a44e56f35f34"/>
                          <w:lock w:val="sdtLocked"/>
                          <w:richText/>
                        </w:sdtPr>
                        <w:sdtContent>
                          <w:r>
                            <w:rPr>
                              <w:szCs w:val="24"/>
                            </w:rPr>
                            <w:t>20</w:t>
                          </w:r>
                        </w:sdtContent>
                      </w:sdt>
                      <w:r>
                        <w:rPr>
                          <w:szCs w:val="24"/>
                        </w:rPr>
                        <w:t>. Kai savivaldybės taryba nėra įtvirtinusi savivaldybės infrastruktūros tarifo dydžio diferencijavimo koeficientų, laikoma, kad įmokos tarifo dydžio nustatymo formulės reikšmės „</w:t>
                      </w:r>
                      <w:r>
                        <w:rPr>
                          <w:szCs w:val="24"/>
                          <w:lang w:val="en-GB"/>
                        </w:rPr>
                        <w:t>D</w:t>
                      </w:r>
                      <w:r>
                        <w:rPr>
                          <w:szCs w:val="24"/>
                          <w:vertAlign w:val="subscript"/>
                        </w:rPr>
                        <w:t>žpnpin</w:t>
                      </w:r>
                      <w:r>
                        <w:rPr>
                          <w:szCs w:val="24"/>
                        </w:rPr>
                        <w:t>“, „</w:t>
                      </w:r>
                      <w:r>
                        <w:rPr>
                          <w:szCs w:val="24"/>
                          <w:lang w:val="en-GB"/>
                        </w:rPr>
                        <w:t>D</w:t>
                      </w:r>
                      <w:r>
                        <w:rPr>
                          <w:szCs w:val="24"/>
                          <w:vertAlign w:val="subscript"/>
                        </w:rPr>
                        <w:t>žpnpsoc</w:t>
                      </w:r>
                      <w:r>
                        <w:rPr>
                          <w:szCs w:val="24"/>
                        </w:rPr>
                        <w:t>“, „D</w:t>
                      </w:r>
                      <w:r>
                        <w:rPr>
                          <w:szCs w:val="24"/>
                          <w:vertAlign w:val="subscript"/>
                        </w:rPr>
                        <w:t>išvystin</w:t>
                      </w:r>
                      <w:r>
                        <w:rPr>
                          <w:szCs w:val="24"/>
                        </w:rPr>
                        <w:t>“,</w:t>
                      </w:r>
                      <w:r>
                        <w:rPr>
                          <w:szCs w:val="24"/>
                          <w:vertAlign w:val="subscript"/>
                        </w:rPr>
                        <w:t xml:space="preserve"> </w:t>
                      </w:r>
                      <w:r>
                        <w:rPr>
                          <w:szCs w:val="24"/>
                        </w:rPr>
                        <w:t>„D</w:t>
                      </w:r>
                      <w:r>
                        <w:rPr>
                          <w:szCs w:val="24"/>
                          <w:vertAlign w:val="subscript"/>
                        </w:rPr>
                        <w:t>išvystsoc</w:t>
                      </w:r>
                      <w:r>
                        <w:rPr>
                          <w:szCs w:val="24"/>
                        </w:rPr>
                        <w:t>“, „D</w:t>
                      </w:r>
                      <w:r>
                        <w:rPr>
                          <w:szCs w:val="24"/>
                          <w:vertAlign w:val="subscript"/>
                        </w:rPr>
                        <w:t>plėtrsin</w:t>
                      </w:r>
                      <w:r>
                        <w:rPr>
                          <w:szCs w:val="24"/>
                        </w:rPr>
                        <w:t>“ ir „D</w:t>
                      </w:r>
                      <w:r>
                        <w:rPr>
                          <w:szCs w:val="24"/>
                          <w:vertAlign w:val="subscript"/>
                        </w:rPr>
                        <w:t>plėtrsoc</w:t>
                      </w:r>
                      <w:r>
                        <w:rPr>
                          <w:szCs w:val="24"/>
                        </w:rPr>
                        <w:t xml:space="preserve">“ lygios 1. </w:t>
                      </w:r>
                    </w:p>
                  </w:sdtContent>
                </w:sdt>
                <w:sdt>
                  <w:sdtPr>
                    <w:alias w:val="21 p."/>
                    <w:tag w:val="part_59ff79ed333246d38f58c09385e8ba16"/>
                    <w:lock w:val="sdtLocked"/>
                    <w:richText/>
                  </w:sdtPr>
                  <w:sdtContent>
                    <w:p>
                      <w:pPr>
                        <w:tabs>
                          <w:tab w:val="left" w:pos="993"/>
                        </w:tabs>
                        <w:spacing w:line="276" w:lineRule="auto"/>
                        <w:ind w:firstLine="567"/>
                        <w:jc w:val="both"/>
                        <w:rPr>
                          <w:szCs w:val="24"/>
                        </w:rPr>
                      </w:pPr>
                      <w:sdt>
                        <w:sdtPr>
                          <w:alias w:val="Numeris"/>
                          <w:tag w:val="nr_59ff79ed333246d38f58c09385e8ba16"/>
                          <w:lock w:val="sdtLocked"/>
                          <w:richText/>
                        </w:sdtPr>
                        <w:sdtContent>
                          <w:r>
                            <w:rPr>
                              <w:szCs w:val="24"/>
                            </w:rPr>
                            <w:t>21</w:t>
                          </w:r>
                        </w:sdtContent>
                      </w:sdt>
                      <w:r>
                        <w:rPr>
                          <w:szCs w:val="24"/>
                        </w:rPr>
                        <w:t xml:space="preserve">.  Mokėtojo mokėtina įmokos dalis, skirta žemės paėmimui visuomenės poreikiams finansuoti, apskaičiuojama Įstatymo 14 straipsnio 3 dalyje nustatyta tvarka.</w:t>
                      </w:r>
                    </w:p>
                  </w:sdtContent>
                </w:sdt>
                <w:sdt>
                  <w:sdtPr>
                    <w:alias w:val="22 p."/>
                    <w:tag w:val="part_92ab841b03a9448a9e7e3c7243f5c679"/>
                    <w:lock w:val="sdtLocked"/>
                    <w:richText/>
                  </w:sdtPr>
                  <w:sdtContent>
                    <w:p>
                      <w:pPr>
                        <w:tabs>
                          <w:tab w:val="left" w:pos="993"/>
                        </w:tabs>
                        <w:spacing w:line="276" w:lineRule="auto"/>
                        <w:ind w:firstLine="567"/>
                        <w:jc w:val="both"/>
                        <w:rPr>
                          <w:szCs w:val="24"/>
                        </w:rPr>
                      </w:pPr>
                      <w:sdt>
                        <w:sdtPr>
                          <w:alias w:val="Numeris"/>
                          <w:tag w:val="nr_92ab841b03a9448a9e7e3c7243f5c679"/>
                          <w:lock w:val="sdtLocked"/>
                          <w:richText/>
                        </w:sdtPr>
                        <w:sdtContent>
                          <w:r>
                            <w:rPr>
                              <w:szCs w:val="24"/>
                            </w:rPr>
                            <w:t>22</w:t>
                          </w:r>
                        </w:sdtContent>
                      </w:sdt>
                      <w:r>
                        <w:rPr>
                          <w:szCs w:val="24"/>
                        </w:rPr>
                        <w:t>. M</w:t>
                      </w:r>
                      <w:r>
                        <w:rPr>
                          <w:color w:val="201F1E"/>
                          <w:szCs w:val="24"/>
                          <w:bdr w:val="none" w:sz="0" w:space="0" w:color="auto" w:frame="1"/>
                          <w:shd w:val="clear" w:color="auto" w:fill="FFFFFF"/>
                        </w:rPr>
                        <w:t>okėtojas, norėdamas gauti naują statybą leidžiantį dokumentą, kai keičiami esminiai statinio projekto sprendiniai, prieš teikdamas prašymą išduoti naują statybą leidžiantį dokumentą, turi organizatoriui pateikti Metodikos 1 priede nurodytos formos prašymą perskaičiuoti įmokos dydį. Įmokos dydis perskaičiuojamas taikant Metodikos 9 punktą. Jeigu perskaičiuota įmoka yra mažesnė už organizatoriaus nurodytą Įmokos apskaičiavimo akte, skirtumas grąžinimas mokėtojui per 3 mėnesius nuo prašymo grąžinti įmoką pateikimo. Jeigu perskaičiuota įmoka yra didesnė už organizatoriaus nurodytą Įmokos apskaičiavimo akte, mokėtojas sumoka organizatoriui skirtumą tarp apskaičiuotos ir perskaičiuotos įmokos dydžių iki prašymo išduoti naują statybą leidžiantį dokumentą pateikimo dienos.</w:t>
                      </w:r>
                    </w:p>
                    <w:p>
                      <w:pPr>
                        <w:tabs>
                          <w:tab w:val="left" w:pos="993"/>
                        </w:tabs>
                        <w:spacing w:line="276" w:lineRule="auto"/>
                        <w:ind w:firstLine="567"/>
                        <w:jc w:val="both"/>
                        <w:rPr>
                          <w:szCs w:val="24"/>
                        </w:rPr>
                      </w:pPr>
                    </w:p>
                  </w:sdtContent>
                </w:sdt>
              </w:sdtContent>
            </w:sdt>
            <w:sdt>
              <w:sdtPr>
                <w:alias w:val="skirsnis"/>
                <w:tag w:val="part_98da55b441d64bfe84e9f428f21f7b5e"/>
                <w:lock w:val="sdtLocked"/>
                <w:richText/>
              </w:sdtPr>
              <w:sdtContent>
                <w:p>
                  <w:pPr>
                    <w:tabs>
                      <w:tab w:val="left" w:pos="993"/>
                    </w:tabs>
                    <w:jc w:val="center"/>
                    <w:rPr>
                      <w:rFonts w:eastAsia="Calibri"/>
                      <w:b/>
                      <w:bCs/>
                      <w:szCs w:val="22"/>
                    </w:rPr>
                  </w:pPr>
                  <w:sdt>
                    <w:sdtPr>
                      <w:alias w:val="Numeris"/>
                      <w:tag w:val="nr_98da55b441d64bfe84e9f428f21f7b5e"/>
                      <w:lock w:val="sdtLocked"/>
                      <w:richText/>
                    </w:sdtPr>
                    <w:sdtContent>
                      <w:r>
                        <w:rPr>
                          <w:rFonts w:eastAsia="Calibri"/>
                          <w:b/>
                          <w:bCs/>
                        </w:rPr>
                        <w:t>ANTRASIS</w:t>
                      </w:r>
                    </w:sdtContent>
                  </w:sdt>
                  <w:r>
                    <w:rPr>
                      <w:rFonts w:eastAsia="Calibri"/>
                      <w:b/>
                      <w:bCs/>
                    </w:rPr>
                    <w:t xml:space="preserve"> SKIRSNIS </w:t>
                  </w:r>
                </w:p>
                <w:p>
                  <w:pPr>
                    <w:tabs>
                      <w:tab w:val="left" w:pos="993"/>
                    </w:tabs>
                    <w:jc w:val="center"/>
                    <w:rPr>
                      <w:b/>
                      <w:bCs/>
                      <w:szCs w:val="24"/>
                    </w:rPr>
                  </w:pPr>
                  <w:sdt>
                    <w:sdtPr>
                      <w:alias w:val="Pavadinimas"/>
                      <w:tag w:val="title_98da55b441d64bfe84e9f428f21f7b5e"/>
                      <w:lock w:val="sdtLocked"/>
                      <w:richText/>
                    </w:sdtPr>
                    <w:sdtContent>
                      <w:r>
                        <w:rPr>
                          <w:b/>
                          <w:bCs/>
                          <w:szCs w:val="24"/>
                        </w:rPr>
                        <w:t xml:space="preserve">ĮMOKOS APSKAIČIAVIMO TVARKA, KAI SUDAROMA SAVIVALDYBĖS INFRASTRUKTŪROS PLĖTROS SUTARTIS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44490dc5b11eead77e967e3995264">
                    <w:r w:rsidRPr="00532B9F">
                      <w:rPr>
                        <w:rFonts w:ascii="Times New Roman" w:eastAsia="MS Mincho" w:hAnsi="Times New Roman"/>
                        <w:sz w:val="20"/>
                        <w:i/>
                        <w:iCs/>
                        <w:color w:val="0000FF" w:themeColor="hyperlink"/>
                        <w:u w:val="single"/>
                      </w:rPr>
                      <w:t>167</w:t>
                    </w:r>
                  </w:fldSimple>
                  <w:r>
                    <w:rPr>
                      <w:rFonts w:ascii="Times New Roman" w:eastAsia="MS Mincho" w:hAnsi="Times New Roman"/>
                      <w:sz w:val="20"/>
                      <w:i/>
                      <w:iCs/>
                    </w:rPr>
                    <w:t>,
2024-03-06,
paskelbta TAR 2024-03-07, i. k. 2024-04290        </w:t>
                  </w:r>
                </w:p>
                <w:p/>
                <w:sdt>
                  <w:sdtPr>
                    <w:alias w:val="23 p."/>
                    <w:tag w:val="part_1d91142a404f4c279b9ce7c96e7ef72e"/>
                    <w:lock w:val="sdtLocked"/>
                    <w:richText/>
                  </w:sdtPr>
                  <w:sdtContent>
                    <w:p>
                      <w:pPr>
                        <w:tabs>
                          <w:tab w:val="left" w:pos="993"/>
                        </w:tabs>
                        <w:spacing w:line="276" w:lineRule="auto"/>
                        <w:ind w:firstLine="567"/>
                        <w:jc w:val="both"/>
                        <w:rPr>
                          <w:szCs w:val="24"/>
                        </w:rPr>
                      </w:pPr>
                      <w:sdt>
                        <w:sdtPr>
                          <w:alias w:val="Numeris"/>
                          <w:tag w:val="nr_1d91142a404f4c279b9ce7c96e7ef72e"/>
                          <w:lock w:val="sdtLocked"/>
                          <w:richText/>
                        </w:sdtPr>
                        <w:sdtContent>
                          <w:r>
                            <w:rPr>
                              <w:szCs w:val="24"/>
                            </w:rPr>
                            <w:t>23</w:t>
                          </w:r>
                        </w:sdtContent>
                      </w:sdt>
                      <w:r>
                        <w:rPr>
                          <w:szCs w:val="24"/>
                        </w:rPr>
                        <w:t>. Organizatorius, vadovaudamasis Įstatymo 14 straipsnio nuostatomis,</w:t>
                      </w:r>
                      <w:r>
                        <w:rPr>
                          <w:color w:val="FF0000"/>
                          <w:szCs w:val="24"/>
                        </w:rPr>
                        <w:t xml:space="preserve"> </w:t>
                      </w:r>
                      <w:r>
                        <w:rPr>
                          <w:rFonts w:eastAsia="Calibri"/>
                          <w:szCs w:val="24"/>
                        </w:rPr>
                        <w:t>statinio projektu, kai pagal Statybos įstatymą statybą leidžiantis dokumentas privalomas,</w:t>
                      </w:r>
                      <w:r>
                        <w:rPr>
                          <w:szCs w:val="24"/>
                        </w:rPr>
                        <w:t xml:space="preserve"> Metodikos 3 ir 4 punktuose nurodyta informacija ir dokumentais, apskaičiuoja įmoką ir parengia Įmokos apskaičiavimo aktą (pagal Metodikos 2 priede pateiktą formą). </w:t>
                      </w:r>
                    </w:p>
                  </w:sdtContent>
                </w:sdt>
                <w:sdt>
                  <w:sdtPr>
                    <w:alias w:val="24 p."/>
                    <w:tag w:val="part_9f5fde370af9436ea41c800c1ae69729"/>
                    <w:lock w:val="sdtLocked"/>
                    <w:richText/>
                  </w:sdtPr>
                  <w:sdtContent>
                    <w:p>
                      <w:pPr>
                        <w:tabs>
                          <w:tab w:val="left" w:pos="993"/>
                        </w:tabs>
                        <w:spacing w:line="276" w:lineRule="auto"/>
                        <w:ind w:firstLine="567"/>
                        <w:jc w:val="both"/>
                        <w:rPr>
                          <w:b/>
                          <w:bCs/>
                          <w:szCs w:val="24"/>
                        </w:rPr>
                      </w:pPr>
                      <w:sdt>
                        <w:sdtPr>
                          <w:alias w:val="Numeris"/>
                          <w:tag w:val="nr_9f5fde370af9436ea41c800c1ae69729"/>
                          <w:lock w:val="sdtLocked"/>
                          <w:richText/>
                        </w:sdtPr>
                        <w:sdtContent>
                          <w:r>
                            <w:rPr>
                              <w:szCs w:val="24"/>
                            </w:rPr>
                            <w:t>24</w:t>
                          </w:r>
                        </w:sdtContent>
                      </w:sdt>
                      <w:r>
                        <w:rPr>
                          <w:szCs w:val="24"/>
                        </w:rPr>
                        <w:t>. Organizatorius įmokos dydį (Į) (Eur) apskaičiuoja pagal formulę:</w:t>
                      </w:r>
                    </w:p>
                    <w:p>
                      <w:pPr>
                        <w:tabs>
                          <w:tab w:val="left" w:pos="851"/>
                        </w:tabs>
                        <w:spacing w:line="276" w:lineRule="auto"/>
                        <w:ind w:firstLine="567"/>
                        <w:jc w:val="both"/>
                        <w:rPr>
                          <w:szCs w:val="24"/>
                        </w:rPr>
                      </w:pPr>
                      <w:r>
                        <w:rPr>
                          <w:szCs w:val="24"/>
                        </w:rPr>
                        <w:t>Į = S</w:t>
                      </w:r>
                      <w:r>
                        <w:rPr>
                          <w:szCs w:val="24"/>
                          <w:vertAlign w:val="subscript"/>
                        </w:rPr>
                        <w:t>psį</w:t>
                      </w:r>
                      <w:r>
                        <w:rPr>
                          <w:szCs w:val="24"/>
                        </w:rPr>
                        <w:t xml:space="preserve"> + Ž</w:t>
                      </w:r>
                      <w:r>
                        <w:rPr>
                          <w:szCs w:val="24"/>
                          <w:vertAlign w:val="subscript"/>
                        </w:rPr>
                        <w:t>paėmimo</w:t>
                      </w:r>
                      <w:r>
                        <w:rPr>
                          <w:szCs w:val="24"/>
                        </w:rPr>
                        <w:t xml:space="preserve">  - I.</w:t>
                      </w:r>
                    </w:p>
                    <w:p>
                      <w:pPr>
                        <w:spacing w:line="276" w:lineRule="auto"/>
                        <w:ind w:firstLine="567"/>
                        <w:jc w:val="both"/>
                        <w:rPr>
                          <w:szCs w:val="24"/>
                        </w:rPr>
                      </w:pPr>
                      <w:r>
                        <w:rPr>
                          <w:szCs w:val="24"/>
                        </w:rPr>
                        <w:t>čia:</w:t>
                      </w:r>
                    </w:p>
                    <w:p>
                      <w:pPr>
                        <w:tabs>
                          <w:tab w:val="left" w:pos="851"/>
                          <w:tab w:val="left" w:pos="993"/>
                          <w:tab w:val="left" w:pos="1134"/>
                        </w:tabs>
                        <w:spacing w:line="276" w:lineRule="auto"/>
                        <w:ind w:firstLine="567"/>
                        <w:jc w:val="both"/>
                        <w:rPr>
                          <w:szCs w:val="24"/>
                        </w:rPr>
                      </w:pPr>
                      <w:r>
                        <w:rPr>
                          <w:szCs w:val="24"/>
                        </w:rPr>
                        <w:t>S</w:t>
                      </w:r>
                      <w:r>
                        <w:rPr>
                          <w:szCs w:val="24"/>
                          <w:vertAlign w:val="subscript"/>
                        </w:rPr>
                        <w:t xml:space="preserve">psį </w:t>
                      </w:r>
                      <w:r>
                        <w:rPr>
                          <w:szCs w:val="24"/>
                        </w:rPr>
                        <w:t xml:space="preserve">– savivaldybės infrastruktūros projektavimo, statybos ir (ar) įrengimo finansavimas, apskaičiuojamas Metodikos 10–21 punktuose nustatyta tvarka; </w:t>
                      </w:r>
                    </w:p>
                    <w:p>
                      <w:pPr>
                        <w:tabs>
                          <w:tab w:val="left" w:pos="851"/>
                          <w:tab w:val="left" w:pos="993"/>
                          <w:tab w:val="left" w:pos="1134"/>
                        </w:tabs>
                        <w:spacing w:line="276" w:lineRule="auto"/>
                        <w:ind w:firstLine="567"/>
                        <w:jc w:val="both"/>
                        <w:rPr>
                          <w:strike/>
                          <w:szCs w:val="24"/>
                        </w:rPr>
                      </w:pPr>
                      <w:r>
                        <w:rPr>
                          <w:szCs w:val="24"/>
                        </w:rPr>
                        <w:t>Ž</w:t>
                      </w:r>
                      <w:r>
                        <w:rPr>
                          <w:szCs w:val="24"/>
                          <w:vertAlign w:val="subscript"/>
                        </w:rPr>
                        <w:t>paėmimo</w:t>
                      </w:r>
                      <w:r>
                        <w:rPr>
                          <w:szCs w:val="24"/>
                        </w:rPr>
                        <w:t xml:space="preserve"> – žemės paėmimo visuomenės poreikiams finansavimas, apskaičiuojamas Įstatymo 14 straipsnio 3 dalies nustatyta tvarka;</w:t>
                      </w:r>
                    </w:p>
                    <w:p>
                      <w:pPr>
                        <w:tabs>
                          <w:tab w:val="left" w:pos="851"/>
                          <w:tab w:val="left" w:pos="993"/>
                          <w:tab w:val="left" w:pos="1134"/>
                        </w:tabs>
                        <w:spacing w:line="276" w:lineRule="auto"/>
                        <w:ind w:firstLine="567"/>
                        <w:jc w:val="both"/>
                        <w:rPr>
                          <w:rFonts w:eastAsia="Calibri"/>
                          <w:strike/>
                          <w:szCs w:val="22"/>
                        </w:rPr>
                      </w:pPr>
                      <w:r>
                        <w:rPr>
                          <w:szCs w:val="24"/>
                        </w:rPr>
                        <w:t xml:space="preserve">I –  sutarties sudarymo sąlygose nurodyta savivaldybės infrastruktūros projektavimo kaina nustatoma </w:t>
                      </w:r>
                      <w:r>
                        <w:rPr>
                          <w:rFonts w:eastAsia="Calibri"/>
                        </w:rPr>
                        <w:t>vadovaujantis aplinkos ministro įsakymu patvirtintomis Statinių projektavimo darbų kainų skaičiavimo rekomendacijomis,</w:t>
                      </w:r>
                      <w:r>
                        <w:rPr>
                          <w:szCs w:val="24"/>
                        </w:rPr>
                        <w:t xml:space="preserve"> </w:t>
                      </w:r>
                      <w:r>
                        <w:rPr>
                          <w:rFonts w:eastAsia="Calibri"/>
                        </w:rPr>
                        <w:t>statybos ir (ar) įrengimo kaina – aplinkos ministro įsakymu patvirtintais Statybos skaičiuojamosios kainos nustatymo principais</w:t>
                      </w:r>
                      <w:r>
                        <w:rPr>
                          <w:szCs w:val="24"/>
                        </w:rPr>
                        <w:t xml:space="preserve"> (Eur)</w:t>
                      </w:r>
                      <w:r>
                        <w:rPr>
                          <w:rFonts w:eastAsia="Calibri"/>
                        </w:rPr>
                        <w:t>.</w:t>
                      </w:r>
                    </w:p>
                  </w:sdtContent>
                </w:sdt>
                <w:sdt>
                  <w:sdtPr>
                    <w:alias w:val="25 p."/>
                    <w:tag w:val="part_08eee909dad8402095d94c70eac487b9"/>
                    <w:lock w:val="sdtLocked"/>
                    <w:richText/>
                  </w:sdtPr>
                  <w:sdtContent>
                    <w:p>
                      <w:pPr>
                        <w:tabs>
                          <w:tab w:val="left" w:pos="993"/>
                        </w:tabs>
                        <w:spacing w:line="276" w:lineRule="auto"/>
                        <w:ind w:firstLine="567"/>
                        <w:jc w:val="both"/>
                        <w:rPr>
                          <w:szCs w:val="24"/>
                        </w:rPr>
                      </w:pPr>
                      <w:sdt>
                        <w:sdtPr>
                          <w:alias w:val="Numeris"/>
                          <w:tag w:val="nr_08eee909dad8402095d94c70eac487b9"/>
                          <w:lock w:val="sdtLocked"/>
                          <w:richText/>
                        </w:sdtPr>
                        <w:sdtContent>
                          <w:r>
                            <w:rPr>
                              <w:szCs w:val="24"/>
                            </w:rPr>
                            <w:t>25</w:t>
                          </w:r>
                        </w:sdtContent>
                      </w:sdt>
                      <w:r>
                        <w:rPr>
                          <w:szCs w:val="24"/>
                        </w:rPr>
                        <w:t>. M</w:t>
                      </w:r>
                      <w:r>
                        <w:rPr>
                          <w:color w:val="201F1E"/>
                          <w:szCs w:val="24"/>
                          <w:bdr w:val="none" w:sz="0" w:space="0" w:color="auto" w:frame="1"/>
                          <w:shd w:val="clear" w:color="auto" w:fill="FFFFFF"/>
                        </w:rPr>
                        <w:t>okėtojas, norėdamas gauti naują statybą leidžiantį dokumentą, kai keičiami esminiai statinio projekto sprendiniai, prieš teikdamas prašymą išduoti naują statybą leidžiantį dokumentą, turi organizatoriui pateikti Metodikos 1 priede nurodytos formos prašymą perskaičiuoti įmokos dydį. Įmokos dydis perskaičiuojamas taikant Metodikos 24 punktą. Jeigu perskaičiuota įmoka yra mažesnė už organizatoriaus nurodytą Įmokos apskaičiavimo akte, skirtumas grąžinimas mokėtojui per 3 mėnesius nuo prašymo grąžinti įmoką pateikimo. Jeigu perskaičiuota įmoka yra didesnė už organizatoriaus nurodytą Įmokos apskaičiavimo akte, mokėtojas sumoka organizatoriui skirtumą tarp apskaičiuotos ir perskaičiuotos įmokos dydžių iki prašymo išduoti naują statybą leidžiantį dokumentą pateikimo dienos.</w:t>
                      </w:r>
                    </w:p>
                    <w:p>
                      <w:pPr>
                        <w:tabs>
                          <w:tab w:val="left" w:pos="993"/>
                        </w:tabs>
                        <w:spacing w:line="276" w:lineRule="auto"/>
                        <w:ind w:firstLine="568"/>
                        <w:jc w:val="both"/>
                        <w:rPr>
                          <w:szCs w:val="24"/>
                          <w:bdr w:val="none" w:sz="0" w:space="0" w:color="auto" w:frame="1"/>
                          <w:shd w:val="clear" w:color="auto" w:fill="FFFFFF"/>
                        </w:rPr>
                      </w:pPr>
                    </w:p>
                    <w:p>
                      <w:pPr>
                        <w:tabs>
                          <w:tab w:val="left" w:pos="993"/>
                        </w:tabs>
                        <w:spacing w:line="276" w:lineRule="auto"/>
                        <w:ind w:firstLine="568"/>
                        <w:jc w:val="both"/>
                        <w:rPr>
                          <w:szCs w:val="24"/>
                          <w:bdr w:val="none" w:sz="0" w:space="0" w:color="auto" w:frame="1"/>
                          <w:shd w:val="clear" w:color="auto" w:fill="FFFFFF"/>
                        </w:rPr>
                      </w:pPr>
                    </w:p>
                    <w:p>
                      <w:pPr>
                        <w:tabs>
                          <w:tab w:val="left" w:pos="993"/>
                        </w:tabs>
                        <w:spacing w:line="276" w:lineRule="auto"/>
                        <w:ind w:firstLine="568"/>
                        <w:jc w:val="both"/>
                        <w:rPr>
                          <w:szCs w:val="24"/>
                          <w:bdr w:val="none" w:sz="0" w:space="0" w:color="auto" w:frame="1"/>
                          <w:shd w:val="clear" w:color="auto" w:fill="FFFFFF"/>
                        </w:rPr>
                      </w:pPr>
                    </w:p>
                  </w:sdtContent>
                </w:sdt>
              </w:sdtContent>
            </w:sdt>
          </w:sdtContent>
        </w:sdt>
        <w:sdt>
          <w:sdtPr>
            <w:alias w:val="skyrius"/>
            <w:tag w:val="part_b276d1093b14477c9965f74370f3627a"/>
            <w:lock w:val="sdtLocked"/>
            <w:richText/>
          </w:sdtPr>
          <w:sdtContent>
            <w:p>
              <w:pPr>
                <w:tabs>
                  <w:tab w:val="left" w:pos="993"/>
                </w:tabs>
                <w:jc w:val="center"/>
                <w:rPr>
                  <w:b/>
                  <w:szCs w:val="24"/>
                </w:rPr>
              </w:pPr>
              <w:sdt>
                <w:sdtPr>
                  <w:alias w:val="Numeris"/>
                  <w:tag w:val="nr_b276d1093b14477c9965f74370f3627a"/>
                  <w:lock w:val="sdtLocked"/>
                  <w:richText/>
                </w:sdtPr>
                <w:sdtContent>
                  <w:r>
                    <w:rPr>
                      <w:b/>
                      <w:szCs w:val="24"/>
                    </w:rPr>
                    <w:t>IV</w:t>
                  </w:r>
                </w:sdtContent>
              </w:sdt>
              <w:r>
                <w:rPr>
                  <w:b/>
                  <w:szCs w:val="24"/>
                </w:rPr>
                <w:t xml:space="preserve"> SKYRIUS</w:t>
              </w:r>
            </w:p>
            <w:p>
              <w:pPr>
                <w:tabs>
                  <w:tab w:val="left" w:pos="993"/>
                </w:tabs>
                <w:jc w:val="center"/>
                <w:rPr>
                  <w:b/>
                  <w:szCs w:val="24"/>
                </w:rPr>
              </w:pPr>
              <w:sdt>
                <w:sdtPr>
                  <w:alias w:val="Pavadinimas"/>
                  <w:tag w:val="title_b276d1093b14477c9965f74370f3627a"/>
                  <w:lock w:val="sdtLocked"/>
                  <w:richText/>
                </w:sdtPr>
                <w:sdtContent>
                  <w:r>
                    <w:rPr>
                      <w:b/>
                      <w:szCs w:val="24"/>
                    </w:rPr>
                    <w:t>BAIGIAMOSIOS NUOSTATOS</w:t>
                  </w:r>
                </w:sdtContent>
              </w:sdt>
            </w:p>
            <w:p>
              <w:pPr>
                <w:tabs>
                  <w:tab w:val="left" w:pos="993"/>
                </w:tabs>
                <w:jc w:val="center"/>
                <w:rPr>
                  <w:b/>
                  <w:szCs w:val="24"/>
                </w:rPr>
              </w:pPr>
            </w:p>
            <w:sdt>
              <w:sdtPr>
                <w:alias w:val="26 p."/>
                <w:tag w:val="part_6a6e17a25ec045fd992b1899363c9a47"/>
                <w:lock w:val="sdtLocked"/>
                <w:richText/>
              </w:sdtPr>
              <w:sdtContent>
                <w:p>
                  <w:pPr>
                    <w:spacing w:line="276" w:lineRule="auto"/>
                    <w:ind w:firstLine="567"/>
                    <w:jc w:val="both"/>
                    <w:rPr>
                      <w:szCs w:val="24"/>
                      <w:bdr w:val="none" w:sz="0" w:space="0" w:color="auto" w:frame="1"/>
                    </w:rPr>
                  </w:pPr>
                  <w:sdt>
                    <w:sdtPr>
                      <w:alias w:val="Numeris"/>
                      <w:tag w:val="nr_6a6e17a25ec045fd992b1899363c9a47"/>
                      <w:lock w:val="sdtLocked"/>
                      <w:richText/>
                    </w:sdtPr>
                    <w:sdtContent>
                      <w:r>
                        <w:rPr>
                          <w:szCs w:val="24"/>
                        </w:rPr>
                        <w:t>26</w:t>
                      </w:r>
                    </w:sdtContent>
                  </w:sdt>
                  <w:r>
                    <w:rPr>
                      <w:szCs w:val="24"/>
                    </w:rPr>
                    <w:t>. M</w:t>
                  </w:r>
                  <w:r>
                    <w:rPr>
                      <w:color w:val="201F1E"/>
                      <w:szCs w:val="24"/>
                      <w:bdr w:val="none" w:sz="0" w:space="0" w:color="auto" w:frame="1"/>
                      <w:shd w:val="clear" w:color="auto" w:fill="FFFFFF"/>
                    </w:rPr>
                    <w:t xml:space="preserve">okėtojas, atlikęs statinio statybos darbus ir parengęs statinio kadastro duomenų bylą, </w:t>
                  </w:r>
                  <w:r>
                    <w:rPr>
                      <w:szCs w:val="24"/>
                      <w:bdr w:val="none" w:sz="0" w:space="0" w:color="auto" w:frame="1"/>
                      <w:shd w:val="clear" w:color="auto" w:fill="FFFFFF"/>
                    </w:rPr>
                    <w:t xml:space="preserve">prieš pateikdamas prašymą išduoti statybos užbaigimo aktą arba surašydamas deklaraciją apie statybos užbaigimą, privalo šią bylą pateikti </w:t>
                  </w:r>
                  <w:r>
                    <w:rPr>
                      <w:color w:val="201F1E"/>
                      <w:szCs w:val="24"/>
                      <w:bdr w:val="none" w:sz="0" w:space="0" w:color="auto" w:frame="1"/>
                      <w:shd w:val="clear" w:color="auto" w:fill="FFFFFF"/>
                    </w:rPr>
                    <w:t>organizatoriui, kuris patikrina</w:t>
                  </w:r>
                  <w:r>
                    <w:rPr>
                      <w:szCs w:val="24"/>
                      <w:bdr w:val="none" w:sz="0" w:space="0" w:color="auto" w:frame="1"/>
                    </w:rPr>
                    <w:t xml:space="preserve">, ar  prašyme ir statinio projekto bendrojoje dalyje (kai šį dokumentą privaloma pateikti pagal Metodikos 4.3 papunktį) nurodyti statinio rodikliai nesiskiria  nuo nurodytų statinio kadastro duomenų byloje. </w:t>
                  </w:r>
                </w:p>
              </w:sdtContent>
            </w:sdt>
            <w:sdt>
              <w:sdtPr>
                <w:alias w:val="27 p."/>
                <w:tag w:val="part_d75891c64f33456b89b50e11ff12590c"/>
                <w:lock w:val="sdtLocked"/>
                <w:richText/>
              </w:sdtPr>
              <w:sdtContent>
                <w:p>
                  <w:pPr>
                    <w:tabs>
                      <w:tab w:val="left" w:pos="993"/>
                    </w:tabs>
                    <w:spacing w:line="276" w:lineRule="auto"/>
                    <w:ind w:firstLine="568"/>
                    <w:jc w:val="both"/>
                    <w:rPr>
                      <w:szCs w:val="24"/>
                      <w:bdr w:val="none" w:sz="0" w:space="0" w:color="auto" w:frame="1"/>
                      <w:shd w:val="clear" w:color="auto" w:fill="FFFFFF"/>
                    </w:rPr>
                  </w:pPr>
                  <w:sdt>
                    <w:sdtPr>
                      <w:alias w:val="Numeris"/>
                      <w:tag w:val="nr_d75891c64f33456b89b50e11ff12590c"/>
                      <w:lock w:val="sdtLocked"/>
                      <w:richText/>
                    </w:sdtPr>
                    <w:sdtContent>
                      <w:r>
                        <w:rPr>
                          <w:color w:val="201F1E"/>
                          <w:szCs w:val="24"/>
                          <w:bdr w:val="none" w:sz="0" w:space="0" w:color="auto" w:frame="1"/>
                          <w:shd w:val="clear" w:color="auto" w:fill="FFFFFF"/>
                        </w:rPr>
                        <w:t>27</w:t>
                      </w:r>
                    </w:sdtContent>
                  </w:sdt>
                  <w:r>
                    <w:rPr>
                      <w:color w:val="201F1E"/>
                      <w:szCs w:val="24"/>
                      <w:bdr w:val="none" w:sz="0" w:space="0" w:color="auto" w:frame="1"/>
                      <w:shd w:val="clear" w:color="auto" w:fill="FFFFFF"/>
                    </w:rPr>
                    <w:t xml:space="preserve">. Organizatorius, nustatęs, </w:t>
                  </w:r>
                  <w:r>
                    <w:rPr>
                      <w:szCs w:val="24"/>
                      <w:bdr w:val="none" w:sz="0" w:space="0" w:color="auto" w:frame="1"/>
                    </w:rPr>
                    <w:t>kad statinio kadastro duomenų byloje nurodyti statinio rodikliai skiriasi nuo prašyme</w:t>
                  </w:r>
                  <w:r>
                    <w:t xml:space="preserve"> </w:t>
                  </w:r>
                  <w:r>
                    <w:rPr>
                      <w:szCs w:val="24"/>
                      <w:bdr w:val="none" w:sz="0" w:space="0" w:color="auto" w:frame="1"/>
                    </w:rPr>
                    <w:t>bei statinio projekto bendrojoje dalyje (kai šį dokumentą privaloma pateikti pagal Metodikos 4.3 papunktį) nurodytų, per 10 darbo dienų nuo statinio kadastro duomenų bylos gavimo dienos, perskaičiuoja įmokos dydį (</w:t>
                  </w:r>
                  <w:r>
                    <w:rPr>
                      <w:color w:val="201F1E"/>
                      <w:szCs w:val="24"/>
                      <w:bdr w:val="none" w:sz="0" w:space="0" w:color="auto" w:frame="1"/>
                      <w:shd w:val="clear" w:color="auto" w:fill="FFFFFF"/>
                    </w:rPr>
                    <w:t>atitinkamai taikant Metodikos 9 punktą, kai nesudaroma sutartis, arba Metodikos 24 punktą, kai sutartis sudaryta)</w:t>
                  </w:r>
                  <w:r>
                    <w:rPr>
                      <w:szCs w:val="24"/>
                      <w:bdr w:val="none" w:sz="0" w:space="0" w:color="auto" w:frame="1"/>
                    </w:rPr>
                    <w:t xml:space="preserve"> ir, prašyme nurodytu informavimo būdu, informuoja mokėtoją apie įmokos dydžio pokytį. </w:t>
                  </w:r>
                  <w:r>
                    <w:rPr>
                      <w:color w:val="201F1E"/>
                      <w:szCs w:val="24"/>
                      <w:bdr w:val="none" w:sz="0" w:space="0" w:color="auto" w:frame="1"/>
                      <w:shd w:val="clear" w:color="auto" w:fill="FFFFFF"/>
                    </w:rPr>
                    <w:t xml:space="preserve">Jeigu perskaičiuota įmoka mažesnė už nurodytą Įmokos apskaičiavimo akte, organizatorius šį skirtumą grąžina mokėtojui per 3 mėnesius nuo prašymo grąžinti įmoką gavimo. Jeigu perskaičiuota įmoka didesnė už nurodytą Įmokos apskaičiavimo akte, mokėtojas šį skirtumą privalo sumokėti </w:t>
                  </w:r>
                  <w:r>
                    <w:rPr>
                      <w:szCs w:val="24"/>
                      <w:bdr w:val="none" w:sz="0" w:space="0" w:color="auto" w:frame="1"/>
                      <w:shd w:val="clear" w:color="auto" w:fill="FFFFFF"/>
                    </w:rPr>
                    <w:t>iki prašymo išduoti statybos užbaigimo aktą pateikimo dienos arba deklaracijos apie statybos užbaigimą surašymo dienos.</w:t>
                  </w:r>
                </w:p>
                <w:p>
                  <w:pPr>
                    <w:tabs>
                      <w:tab w:val="left" w:pos="993"/>
                    </w:tabs>
                    <w:spacing w:line="276" w:lineRule="auto"/>
                    <w:ind w:firstLine="568"/>
                    <w:jc w:val="both"/>
                    <w:rPr>
                      <w:szCs w:val="24"/>
                      <w:bdr w:val="none" w:sz="0" w:space="0" w:color="auto" w:frame="1"/>
                      <w:shd w:val="clear" w:color="auto" w:fill="FFFFFF"/>
                    </w:rPr>
                  </w:pPr>
                </w:p>
              </w:sdtContent>
            </w:sdt>
          </w:sdtContent>
        </w:sdt>
        <w:sdt>
          <w:sdtPr>
            <w:alias w:val="pabaiga"/>
            <w:tag w:val="part_95655330b4a5481cb938dd426dd29f14"/>
            <w:lock w:val="sdtLocked"/>
            <w:richText/>
          </w:sdtPr>
          <w:sdtContent>
            <w:p>
              <w:pPr>
                <w:tabs>
                  <w:tab w:val="center" w:pos="4819"/>
                  <w:tab w:val="left" w:pos="6942"/>
                </w:tabs>
                <w:jc w:val="center"/>
                <w:textAlignment w:val="baseline"/>
                <w:rPr>
                  <w:szCs w:val="24"/>
                </w:rPr>
              </w:pPr>
              <w:r>
                <w:rPr>
                  <w:szCs w:val="24"/>
                </w:rPr>
                <w:t>________________________</w:t>
              </w:r>
            </w:p>
            <w:p/>
          </w:sdtContent>
        </w:sdt>
      </w:sdtContent>
    </w:sdt>
    <w:sdt>
      <w:sdtPr>
        <w:alias w:val="1 pr."/>
        <w:tag w:val="part_3c6e233fd24545eaab20c075a08831cb"/>
        <w:lock w:val="sdtLocked"/>
        <w:richText/>
      </w:sdtPr>
      <w:sdtContent>
        <w:p>
          <w:pPr>
            <w:tabs>
              <w:tab w:val="left" w:pos="993"/>
            </w:tabs>
            <w:ind w:left="6804"/>
            <w:jc w:val="both"/>
            <w:sectPr>
              <w:pgSz w:w="11906" w:h="16838"/>
              <w:pgMar w:top="1134" w:right="567" w:bottom="1134" w:left="1701" w:header="709" w:footer="709" w:gutter="0"/>
              <w:pgNumType w:start="1"/>
              <w:cols w:space="1296"/>
              <w:titlePg/>
              <w:docGrid w:linePitch="326"/>
            </w:sectPr>
          </w:pPr>
        </w:p>
        <w:p>
          <w:pPr>
            <w:tabs>
              <w:tab w:val="left" w:pos="993"/>
            </w:tabs>
            <w:ind w:left="6804"/>
            <w:jc w:val="both"/>
            <w:rPr>
              <w:rFonts w:eastAsia="Calibri"/>
            </w:rPr>
          </w:pPr>
          <w:r>
            <w:rPr>
              <w:rFonts w:eastAsia="Calibri"/>
            </w:rPr>
            <w:t xml:space="preserve">Savivaldybės infrastruktūros </w:t>
          </w:r>
        </w:p>
        <w:p>
          <w:pPr>
            <w:tabs>
              <w:tab w:val="left" w:pos="993"/>
            </w:tabs>
            <w:ind w:left="6804"/>
            <w:jc w:val="both"/>
            <w:rPr>
              <w:rFonts w:eastAsia="Calibri"/>
            </w:rPr>
          </w:pPr>
          <w:r>
            <w:rPr>
              <w:rFonts w:eastAsia="Calibri"/>
            </w:rPr>
            <w:t xml:space="preserve">plėtros įmokos nustatymo </w:t>
          </w:r>
        </w:p>
        <w:p>
          <w:pPr>
            <w:tabs>
              <w:tab w:val="left" w:pos="993"/>
            </w:tabs>
            <w:ind w:left="6804"/>
            <w:jc w:val="both"/>
            <w:rPr>
              <w:rFonts w:eastAsia="Calibri"/>
              <w:szCs w:val="22"/>
            </w:rPr>
          </w:pPr>
          <w:r>
            <w:rPr>
              <w:rFonts w:eastAsia="Calibri"/>
            </w:rPr>
            <w:t xml:space="preserve">metodikos </w:t>
          </w:r>
        </w:p>
        <w:p>
          <w:pPr>
            <w:tabs>
              <w:tab w:val="left" w:pos="993"/>
            </w:tabs>
            <w:ind w:left="6804"/>
            <w:jc w:val="both"/>
            <w:rPr>
              <w:szCs w:val="24"/>
            </w:rPr>
          </w:pPr>
          <w:sdt>
            <w:sdtPr>
              <w:alias w:val="Numeris"/>
              <w:tag w:val="nr_3c6e233fd24545eaab20c075a08831cb"/>
              <w:lock w:val="sdtLocked"/>
              <w:richText/>
            </w:sdtPr>
            <w:sdtContent>
              <w:r>
                <w:rPr>
                  <w:szCs w:val="24"/>
                  <w:lang w:val="en-GB"/>
                </w:rPr>
                <w:t>1</w:t>
              </w:r>
            </w:sdtContent>
          </w:sdt>
          <w:r>
            <w:rPr>
              <w:szCs w:val="24"/>
            </w:rPr>
            <w:t xml:space="preserve"> priedas</w:t>
          </w:r>
        </w:p>
        <w:p>
          <w:pPr>
            <w:jc w:val="center"/>
            <w:rPr>
              <w:bCs/>
              <w:color w:val="000000"/>
              <w:sz w:val="20"/>
              <w:lang w:eastAsia="lt-LT"/>
            </w:rPr>
          </w:pPr>
          <w:r>
            <w:rPr>
              <w:bCs/>
              <w:color w:val="000000"/>
              <w:sz w:val="20"/>
              <w:lang w:eastAsia="lt-LT"/>
            </w:rPr>
            <w:t>(</w:t>
          </w:r>
          <w:r>
            <w:rPr>
              <w:b/>
              <w:bCs/>
              <w:color w:val="000000"/>
              <w:sz w:val="20"/>
              <w:lang w:eastAsia="lt-LT"/>
            </w:rPr>
            <w:t>Prašymo forma</w:t>
          </w:r>
          <w:r>
            <w:rPr>
              <w:bCs/>
              <w:color w:val="000000"/>
              <w:sz w:val="20"/>
              <w:lang w:eastAsia="lt-LT"/>
            </w:rPr>
            <w:t>)</w:t>
          </w:r>
        </w:p>
        <w:p>
          <w:pPr>
            <w:jc w:val="center"/>
            <w:rPr>
              <w:bCs/>
              <w:color w:val="000000"/>
              <w:sz w:val="20"/>
              <w:lang w:eastAsia="lt-LT"/>
            </w:rPr>
          </w:pPr>
        </w:p>
        <w:p>
          <w:pPr>
            <w:jc w:val="center"/>
            <w:rPr>
              <w:bCs/>
              <w:color w:val="000000"/>
              <w:sz w:val="20"/>
              <w:lang w:eastAsia="lt-LT"/>
            </w:rPr>
          </w:pPr>
          <w:r>
            <w:rPr>
              <w:bCs/>
              <w:color w:val="000000"/>
              <w:sz w:val="20"/>
              <w:lang w:eastAsia="lt-LT"/>
            </w:rPr>
            <w:t>_______________________________________________________________________________________________</w:t>
          </w:r>
        </w:p>
        <w:p>
          <w:pPr>
            <w:ind w:firstLine="48"/>
            <w:jc w:val="center"/>
            <w:rPr>
              <w:sz w:val="18"/>
              <w:szCs w:val="18"/>
            </w:rPr>
          </w:pPr>
          <w:r>
            <w:rPr>
              <w:sz w:val="18"/>
              <w:szCs w:val="18"/>
            </w:rPr>
            <w:t>(sudarytojo pavadinimas)</w:t>
          </w:r>
        </w:p>
        <w:p>
          <w:pPr>
            <w:jc w:val="center"/>
            <w:rPr>
              <w:bCs/>
              <w:color w:val="000000"/>
              <w:sz w:val="20"/>
              <w:lang w:eastAsia="lt-LT"/>
            </w:rPr>
          </w:pPr>
          <w:r>
            <w:rPr>
              <w:bCs/>
              <w:color w:val="000000"/>
              <w:sz w:val="20"/>
              <w:lang w:eastAsia="lt-LT"/>
            </w:rPr>
            <w:t>_______________________________________________________________________________________________</w:t>
          </w:r>
        </w:p>
        <w:p>
          <w:pPr>
            <w:ind w:firstLine="48"/>
            <w:jc w:val="center"/>
            <w:rPr>
              <w:sz w:val="18"/>
              <w:szCs w:val="18"/>
            </w:rPr>
          </w:pPr>
          <w:r>
            <w:rPr>
              <w:sz w:val="18"/>
              <w:szCs w:val="18"/>
            </w:rPr>
            <w:t xml:space="preserve">(sudarytojo  duomenys)</w:t>
          </w:r>
        </w:p>
        <w:p>
          <w:pPr>
            <w:tabs>
              <w:tab w:val="center" w:pos="4819"/>
            </w:tabs>
            <w:ind w:firstLine="62"/>
            <w:jc w:val="both"/>
            <w:rPr>
              <w:szCs w:val="24"/>
            </w:rPr>
          </w:pPr>
        </w:p>
        <w:p>
          <w:pPr>
            <w:tabs>
              <w:tab w:val="center" w:pos="4819"/>
            </w:tabs>
            <w:jc w:val="both"/>
            <w:rPr>
              <w:szCs w:val="24"/>
            </w:rPr>
          </w:pPr>
          <w:r>
            <w:rPr>
              <w:szCs w:val="24"/>
            </w:rPr>
            <w:t>____________________________________________</w:t>
            <w:tab/>
          </w:r>
        </w:p>
        <w:p>
          <w:pPr>
            <w:rPr>
              <w:sz w:val="22"/>
              <w:szCs w:val="22"/>
            </w:rPr>
          </w:pPr>
          <w:r>
            <w:t>(</w:t>
          </w:r>
          <w:r>
            <w:rPr>
              <w:sz w:val="20"/>
            </w:rPr>
            <w:t>savivaldybės infrastruktūros plėtros organizatoriaus pavadinimas</w:t>
          </w:r>
          <w:r>
            <w:t>)</w:t>
          </w:r>
        </w:p>
        <w:p>
          <w:pPr>
            <w:jc w:val="center"/>
            <w:rPr>
              <w:b/>
              <w:bCs/>
              <w:szCs w:val="24"/>
            </w:rPr>
          </w:pPr>
        </w:p>
        <w:p>
          <w:pPr>
            <w:jc w:val="center"/>
            <w:rPr>
              <w:b/>
              <w:bCs/>
              <w:szCs w:val="24"/>
            </w:rPr>
          </w:pPr>
          <w:r>
            <w:rPr>
              <w:b/>
              <w:bCs/>
              <w:szCs w:val="24"/>
            </w:rPr>
            <w:t>PRAŠYMAS</w:t>
          </w:r>
        </w:p>
        <w:p>
          <w:pPr>
            <w:jc w:val="center"/>
            <w:rPr>
              <w:b/>
              <w:szCs w:val="24"/>
            </w:rPr>
          </w:pPr>
          <w:r>
            <w:rPr>
              <w:b/>
              <w:szCs w:val="24"/>
            </w:rPr>
            <w:t>DĖL SAVIVALDYBĖS INFRASTRUKTŪROS PLĖTROS ĮMOKOS</w:t>
          </w:r>
        </w:p>
        <w:p>
          <w:pPr>
            <w:ind w:firstLine="62"/>
            <w:jc w:val="center"/>
            <w:rPr>
              <w:b/>
              <w:szCs w:val="24"/>
            </w:rPr>
          </w:pPr>
          <w:r>
            <w:rPr>
              <w:b/>
              <w:szCs w:val="24"/>
            </w:rPr>
            <w:t>APSKAIČIAVIMO</w:t>
          </w:r>
        </w:p>
        <w:p>
          <w:pPr>
            <w:jc w:val="center"/>
            <w:rPr>
              <w:b/>
              <w:bCs/>
              <w:szCs w:val="24"/>
            </w:rPr>
          </w:pPr>
        </w:p>
        <w:p>
          <w:pPr>
            <w:ind w:firstLine="496"/>
            <w:jc w:val="center"/>
            <w:rPr>
              <w:szCs w:val="24"/>
            </w:rPr>
          </w:pPr>
          <w:r>
            <w:rPr>
              <w:szCs w:val="24"/>
            </w:rPr>
            <w:t xml:space="preserve">___________  Nr. ________________</w:t>
          </w:r>
        </w:p>
        <w:p>
          <w:pPr>
            <w:ind w:firstLine="3984"/>
            <w:rPr>
              <w:rFonts w:eastAsia="Calibri"/>
              <w:sz w:val="20"/>
            </w:rPr>
          </w:pPr>
          <w:r>
            <w:rPr>
              <w:sz w:val="18"/>
              <w:szCs w:val="18"/>
            </w:rPr>
            <w:t>(data)</w:t>
          </w:r>
          <w:r>
            <w:rPr>
              <w:color w:val="000000"/>
              <w:sz w:val="20"/>
              <w:lang w:eastAsia="lt-LT"/>
            </w:rPr>
            <w:t xml:space="preserve">                     (</w:t>
          </w:r>
          <w:r>
            <w:rPr>
              <w:rFonts w:eastAsia="Calibri"/>
              <w:sz w:val="20"/>
            </w:rPr>
            <w:t>registracijos numeris)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7"/>
            <w:gridCol w:w="4217"/>
          </w:tblGrid>
          <w:tr>
            <w:tc>
              <w:tcPr>
                <w:tcW w:w="5637" w:type="dxa"/>
                <w:tcBorders>
                  <w:top w:val="single" w:sz="4" w:space="0" w:color="auto"/>
                  <w:left w:val="single" w:sz="4" w:space="0" w:color="auto"/>
                  <w:bottom w:val="single" w:sz="4" w:space="0" w:color="auto"/>
                  <w:right w:val="single" w:sz="4" w:space="0" w:color="auto"/>
                </w:tcBorders>
                <w:hideMark/>
              </w:tcPr>
              <w:p>
                <w:pPr>
                  <w:tabs>
                    <w:tab w:val="left" w:pos="284"/>
                    <w:tab w:val="left" w:pos="426"/>
                    <w:tab w:val="left" w:pos="567"/>
                  </w:tabs>
                  <w:jc w:val="both"/>
                  <w:rPr>
                    <w:rFonts w:eastAsia="Calibri"/>
                    <w:szCs w:val="24"/>
                  </w:rPr>
                </w:pPr>
                <w:r>
                  <w:rPr>
                    <w:rFonts w:eastAsia="Calibri"/>
                    <w:szCs w:val="24"/>
                  </w:rPr>
                  <w:t>1. Pastato ar inžinerinio statinio rekonstravimo į pastatą projekte nurodytas pastato bendrasis plotas (m</w:t>
                </w:r>
                <w:r>
                  <w:rPr>
                    <w:rFonts w:eastAsia="Calibri"/>
                    <w:szCs w:val="24"/>
                    <w:vertAlign w:val="superscript"/>
                  </w:rPr>
                  <w:t>2</w:t>
                </w:r>
                <w:r>
                  <w:rPr>
                    <w:rFonts w:eastAsia="Calibri"/>
                    <w:szCs w:val="24"/>
                  </w:rPr>
                  <w:t>) ir (ar) inžineriniu statiniu, kuris nėra savivaldybės infrastruktūra ir jo naudojimui reikalinga savivaldybės infrastruktūra, užstatytas plotas (m</w:t>
                </w:r>
                <w:r>
                  <w:rPr>
                    <w:rFonts w:eastAsia="Calibri"/>
                    <w:szCs w:val="24"/>
                    <w:vertAlign w:val="superscript"/>
                  </w:rPr>
                  <w:t>2</w:t>
                </w:r>
                <w:r>
                  <w:rPr>
                    <w:rFonts w:eastAsia="Calibri"/>
                    <w:szCs w:val="24"/>
                  </w:rPr>
                  <w:t>). Rekonstruojant pastatą nurodoma rekonstruojamo pastato padidėjusi bendrojo ploto dalis (m</w:t>
                </w:r>
                <w:r>
                  <w:rPr>
                    <w:rFonts w:eastAsia="Calibri"/>
                    <w:szCs w:val="24"/>
                    <w:vertAlign w:val="superscript"/>
                  </w:rPr>
                  <w:t>2</w:t>
                </w:r>
                <w:r>
                  <w:rPr>
                    <w:rFonts w:eastAsia="Calibri"/>
                    <w:szCs w:val="24"/>
                  </w:rPr>
                  <w:t>). Rekonstruojant inžinerinį statinį – padidėjusi užstatyto ploto dalis (m</w:t>
                </w:r>
                <w:r>
                  <w:rPr>
                    <w:rFonts w:eastAsia="Calibri"/>
                    <w:szCs w:val="24"/>
                    <w:vertAlign w:val="superscript"/>
                  </w:rPr>
                  <w:t>2</w:t>
                </w:r>
                <w:r>
                  <w:rPr>
                    <w:rFonts w:eastAsia="Calibri"/>
                    <w:szCs w:val="24"/>
                  </w:rPr>
                  <w:t>)</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 w:val="22"/>
                    <w:szCs w:val="22"/>
                  </w:rPr>
                </w:pPr>
              </w:p>
              <w:p>
                <w:pPr>
                  <w:jc w:val="center"/>
                  <w:rPr>
                    <w:szCs w:val="24"/>
                    <w:vertAlign w:val="superscript"/>
                  </w:rPr>
                </w:pPr>
                <w:r>
                  <w:rPr>
                    <w:szCs w:val="24"/>
                  </w:rPr>
                  <w:t>_______________ m</w:t>
                </w:r>
                <w:r>
                  <w:rPr>
                    <w:szCs w:val="24"/>
                    <w:vertAlign w:val="superscript"/>
                  </w:rPr>
                  <w:t>2</w:t>
                </w:r>
              </w:p>
            </w:tc>
          </w:tr>
          <w:tr>
            <w:tc>
              <w:tcPr>
                <w:tcW w:w="5637" w:type="dxa"/>
                <w:tcBorders>
                  <w:top w:val="single" w:sz="4" w:space="0" w:color="auto"/>
                  <w:left w:val="single" w:sz="4" w:space="0" w:color="auto"/>
                  <w:bottom w:val="single" w:sz="4" w:space="0" w:color="auto"/>
                  <w:right w:val="single" w:sz="4" w:space="0" w:color="auto"/>
                </w:tcBorders>
                <w:hideMark/>
              </w:tcPr>
              <w:p>
                <w:pPr>
                  <w:jc w:val="both"/>
                  <w:rPr>
                    <w:szCs w:val="24"/>
                  </w:rPr>
                </w:pPr>
                <w:r>
                  <w:rPr>
                    <w:rFonts w:eastAsia="Calibri"/>
                    <w:szCs w:val="24"/>
                  </w:rPr>
                  <w:t>2. Informacija dėl poreikio savivaldybės infrastruktūros plėtrai paimti žemę visuomenės poreikiams</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Cs w:val="24"/>
                  </w:rPr>
                </w:pPr>
                <w:r>
                  <w:rPr>
                    <w:szCs w:val="24"/>
                  </w:rPr>
                  <w:t>Paėmimas visuomenės poreikiams numatytas / nenumatytas</w:t>
                </w:r>
              </w:p>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3. Infrastruktūros plėtros sutarties numeris ir data, jei sutartis sudaryta</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jc w:val="both"/>
                  <w:rPr>
                    <w:szCs w:val="24"/>
                  </w:rPr>
                </w:pPr>
                <w:r>
                  <w:rPr>
                    <w:rFonts w:eastAsia="Calibri"/>
                    <w:szCs w:val="24"/>
                  </w:rPr>
                  <w:t>4. Mokėtojo</w:t>
                </w:r>
                <w:r>
                  <w:rPr>
                    <w:szCs w:val="24"/>
                  </w:rPr>
                  <w:t xml:space="preserve"> pasirinktas </w:t>
                </w:r>
                <w:r>
                  <w:rPr>
                    <w:rFonts w:eastAsia="Calibri"/>
                    <w:szCs w:val="24"/>
                  </w:rPr>
                  <w:t xml:space="preserve">informavimo apie prašymo priėmimą, nagrinėjimą ir sprendimo priėmimą būdas (siunčiant paštu prašyme nurodytu adresu, ar elektroniniu paštu) </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szCs w:val="24"/>
                  </w:rPr>
                  <w:t>5. Nuoroda į statinio projektą, kai statinio projektas patalpintas Lietuvos Respublikos statybos leidimų ir statybos valstybinės priežiūros informacinėje sistemoje „Infostatyba“</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tabs>
                    <w:tab w:val="left" w:pos="993"/>
                  </w:tabs>
                  <w:jc w:val="both"/>
                  <w:rPr>
                    <w:rFonts w:eastAsia="Calibri"/>
                    <w:szCs w:val="24"/>
                    <w:highlight w:val="yellow"/>
                  </w:rPr>
                </w:pPr>
                <w:r>
                  <w:rPr>
                    <w:color w:val="000000"/>
                    <w:szCs w:val="24"/>
                    <w:bdr w:val="none" w:sz="0" w:space="0" w:color="auto" w:frame="1"/>
                    <w:shd w:val="clear" w:color="auto" w:fill="FFFFFF"/>
                  </w:rPr>
                  <w:t>6.</w:t>
                </w:r>
                <w:r>
                  <w:rPr>
                    <w:rFonts w:eastAsia="Calibri"/>
                    <w:szCs w:val="24"/>
                  </w:rPr>
                  <w:t xml:space="preserve"> Nuoroda į teritorijų planavimo dokumento, kuriame numatomas žemės paėmimas visuomenės poreikiams, registraciją </w:t>
                </w:r>
                <w:r>
                  <w:rPr>
                    <w:szCs w:val="24"/>
                  </w:rPr>
                  <w:t xml:space="preserve">Lietuvos Respublikos teritorijų planavimo dokumentų registre </w:t>
                </w:r>
                <w:r>
                  <w:rPr>
                    <w:rFonts w:eastAsia="Calibri"/>
                    <w:szCs w:val="24"/>
                  </w:rPr>
                  <w:t>(toliau – TPDR)</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tabs>
                    <w:tab w:val="left" w:pos="993"/>
                  </w:tabs>
                  <w:jc w:val="both"/>
                  <w:rPr>
                    <w:rFonts w:eastAsia="Calibri"/>
                    <w:szCs w:val="24"/>
                  </w:rPr>
                </w:pPr>
                <w:r>
                  <w:rPr>
                    <w:rFonts w:eastAsia="Calibri"/>
                    <w:szCs w:val="24"/>
                  </w:rPr>
                  <w:t xml:space="preserve">7. Nuoroda į teritorijų planavimo dokumento, kuriuo suplanuota savivaldybės infrastruktūra,  registraciją TPDR </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5637" w:type="dxa"/>
                <w:tcBorders>
                  <w:top w:val="single" w:sz="4" w:space="0" w:color="auto"/>
                  <w:left w:val="single" w:sz="4" w:space="0" w:color="auto"/>
                  <w:bottom w:val="single" w:sz="4" w:space="0" w:color="auto"/>
                  <w:right w:val="single" w:sz="4" w:space="0" w:color="auto"/>
                </w:tcBorders>
                <w:hideMark/>
              </w:tcPr>
              <w:p>
                <w:pPr>
                  <w:tabs>
                    <w:tab w:val="left" w:pos="993"/>
                  </w:tabs>
                  <w:jc w:val="both"/>
                  <w:rPr>
                    <w:color w:val="000000"/>
                    <w:sz w:val="22"/>
                    <w:szCs w:val="22"/>
                  </w:rPr>
                </w:pPr>
                <w:r>
                  <w:rPr>
                    <w:rFonts w:eastAsia="Calibri"/>
                    <w:szCs w:val="24"/>
                  </w:rPr>
                  <w:t xml:space="preserve">8. </w:t>
                </w:r>
                <w:r>
                  <w:rPr>
                    <w:rFonts w:eastAsia="Calibri"/>
                    <w:iCs/>
                    <w:szCs w:val="24"/>
                  </w:rPr>
                  <w:t>Kita informacija, kuri mokėtojo nuomone, gali turėti reikšmės įmokos dydžio apskaičiavimui</w:t>
                </w:r>
              </w:p>
            </w:tc>
            <w:tc>
              <w:tcPr>
                <w:tcW w:w="42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jc w:val="both"/>
            <w:rPr>
              <w:b/>
              <w:bCs/>
              <w:color w:val="000000"/>
              <w:sz w:val="22"/>
              <w:szCs w:val="22"/>
              <w:u w:val="single"/>
            </w:rPr>
          </w:pPr>
        </w:p>
        <w:p>
          <w:pPr>
            <w:jc w:val="both"/>
            <w:rPr>
              <w:bCs/>
              <w:color w:val="000000"/>
              <w:szCs w:val="24"/>
            </w:rPr>
          </w:pPr>
        </w:p>
        <w:p>
          <w:pPr>
            <w:jc w:val="both"/>
            <w:rPr>
              <w:sz w:val="20"/>
            </w:rPr>
          </w:pPr>
          <w:r>
            <w:rPr>
              <w:bCs/>
              <w:color w:val="000000"/>
              <w:szCs w:val="24"/>
            </w:rPr>
            <w:t>PRIDEDAMA</w:t>
          </w:r>
          <w:r>
            <w:rPr>
              <w:bCs/>
              <w:color w:val="000000"/>
              <w:sz w:val="20"/>
            </w:rPr>
            <w:t>:</w:t>
          </w:r>
        </w:p>
        <w:p>
          <w:pPr>
            <w:jc w:val="both"/>
            <w:rPr>
              <w:sz w:val="22"/>
              <w:szCs w:val="22"/>
            </w:rPr>
          </w:pPr>
          <w:r>
            <w:t>______________________________________________________________</w:t>
          </w:r>
        </w:p>
        <w:p>
          <w:pPr>
            <w:jc w:val="both"/>
          </w:pPr>
          <w:r>
            <w:rPr>
              <w:sz w:val="20"/>
            </w:rPr>
            <w:t>(Išvardijami pridedami dokumentai ir nurodomas jų lapų skaičius)</w:t>
          </w:r>
        </w:p>
        <w:p>
          <w:pPr>
            <w:jc w:val="both"/>
          </w:pPr>
          <w:r>
            <w:rPr>
              <w:szCs w:val="24"/>
            </w:rPr>
            <w:t>1.</w:t>
          </w:r>
          <w:r>
            <w:t xml:space="preserve"> ________________________________________________________________________________</w:t>
          </w:r>
        </w:p>
        <w:p>
          <w:pPr>
            <w:jc w:val="both"/>
            <w:rPr>
              <w:rFonts w:eastAsia="Calibri"/>
              <w:szCs w:val="24"/>
            </w:rPr>
          </w:pPr>
        </w:p>
        <w:p>
          <w:pPr>
            <w:jc w:val="both"/>
            <w:rPr>
              <w:rFonts w:eastAsia="Calibri"/>
              <w:szCs w:val="24"/>
            </w:rPr>
          </w:pPr>
          <w:r>
            <w:rPr>
              <w:rFonts w:eastAsia="Calibri"/>
              <w:szCs w:val="24"/>
            </w:rPr>
            <w:t>2. _____________________________________________________________________________</w:t>
          </w:r>
        </w:p>
        <w:p>
          <w:pPr>
            <w:jc w:val="both"/>
            <w:rPr>
              <w:rFonts w:eastAsia="Calibri"/>
              <w:szCs w:val="24"/>
            </w:rPr>
          </w:pPr>
        </w:p>
        <w:p>
          <w:pPr>
            <w:jc w:val="both"/>
            <w:rPr>
              <w:rFonts w:eastAsia="Calibri"/>
              <w:szCs w:val="24"/>
            </w:rPr>
          </w:pPr>
          <w:r>
            <w:rPr>
              <w:rFonts w:eastAsia="Calibri"/>
              <w:szCs w:val="24"/>
            </w:rPr>
            <w:t>3. _____________________________________________________________________________</w:t>
          </w:r>
        </w:p>
        <w:p>
          <w:pPr>
            <w:jc w:val="both"/>
            <w:rPr>
              <w:sz w:val="20"/>
            </w:rPr>
          </w:pPr>
        </w:p>
        <w:p>
          <w:pPr>
            <w:jc w:val="both"/>
            <w:rPr>
              <w:sz w:val="20"/>
            </w:rPr>
          </w:pPr>
          <w:r>
            <w:rPr>
              <w:szCs w:val="24"/>
            </w:rPr>
            <w:t>4. ...</w:t>
          </w:r>
        </w:p>
        <w:p>
          <w:pPr>
            <w:jc w:val="both"/>
            <w:rPr>
              <w:strike/>
              <w:szCs w:val="24"/>
              <w:highlight w:val="yellow"/>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ind w:firstLine="567"/>
            <w:jc w:val="both"/>
            <w:rPr>
              <w:sz w:val="20"/>
            </w:rPr>
          </w:pPr>
        </w:p>
        <w:p>
          <w:pPr>
            <w:jc w:val="both"/>
            <w:rPr>
              <w:sz w:val="20"/>
            </w:rPr>
          </w:pPr>
        </w:p>
        <w:p>
          <w:pPr>
            <w:ind w:firstLine="567"/>
            <w:jc w:val="both"/>
            <w:rPr>
              <w:strike/>
              <w:sz w:val="20"/>
              <w:highlight w:val="yellow"/>
            </w:rPr>
          </w:pPr>
        </w:p>
        <w:p>
          <w:pPr>
            <w:rPr>
              <w:color w:val="000000"/>
              <w:sz w:val="20"/>
              <w:lang w:eastAsia="lt-LT"/>
            </w:rPr>
          </w:pPr>
          <w:r>
            <w:rPr>
              <w:color w:val="000000"/>
              <w:szCs w:val="24"/>
              <w:lang w:eastAsia="lt-LT"/>
            </w:rPr>
            <w:t xml:space="preserve">_____________________________        ______________            _________________                </w:t>
          </w:r>
          <w:r>
            <w:rPr>
              <w:color w:val="000000"/>
              <w:sz w:val="20"/>
              <w:lang w:eastAsia="lt-LT"/>
            </w:rPr>
            <w:t xml:space="preserve">       </w:t>
          </w:r>
        </w:p>
        <w:p>
          <w:pPr>
            <w:rPr>
              <w:color w:val="000000"/>
              <w:sz w:val="20"/>
              <w:lang w:eastAsia="lt-LT"/>
            </w:rPr>
          </w:pPr>
          <w:r>
            <w:rPr>
              <w:color w:val="000000"/>
              <w:sz w:val="20"/>
              <w:lang w:eastAsia="lt-LT"/>
            </w:rPr>
            <w:t xml:space="preserve">(pareigų pavadinimas (tuo atveju, kai </w:t>
          </w:r>
        </w:p>
        <w:p>
          <w:pPr>
            <w:rPr>
              <w:color w:val="000000"/>
              <w:sz w:val="20"/>
              <w:lang w:eastAsia="lt-LT"/>
            </w:rPr>
          </w:pPr>
          <w:r>
            <w:rPr>
              <w:color w:val="000000"/>
              <w:sz w:val="20"/>
              <w:lang w:eastAsia="lt-LT"/>
            </w:rPr>
            <w:t xml:space="preserve">mokėtojas atstovaujamas pareigų pagrindu) </w:t>
          </w:r>
          <w:r>
            <w:rPr>
              <w:sz w:val="20"/>
            </w:rPr>
            <w:t xml:space="preserve"> </w:t>
          </w:r>
          <w:r>
            <w:rPr>
              <w:color w:val="000000"/>
              <w:sz w:val="20"/>
              <w:lang w:eastAsia="lt-LT"/>
            </w:rPr>
            <w:t xml:space="preserve">                (parašas)                            (vardas ir pavardė)</w:t>
          </w:r>
        </w:p>
        <w:p>
          <w:pPr>
            <w:rPr>
              <w:color w:val="000000"/>
              <w:sz w:val="20"/>
              <w:lang w:eastAsia="lt-LT"/>
            </w:rPr>
          </w:pPr>
        </w:p>
        <w:p>
          <w:pPr>
            <w:rPr>
              <w:sz w:val="18"/>
              <w:szCs w:val="18"/>
            </w:rPr>
          </w:pPr>
        </w:p>
      </w:sdtContent>
    </w:sdt>
    <w:sdt>
      <w:sdtPr>
        <w:alias w:val="2 pr."/>
        <w:tag w:val="part_526084bfb7b8486ab6fe7be663f6eabb"/>
        <w:lock w:val="sdtLocked"/>
        <w:richText/>
      </w:sdtPr>
      <w:sdtContent>
        <w:p>
          <w:pPr>
            <w:tabs>
              <w:tab w:val="left" w:pos="993"/>
            </w:tabs>
            <w:ind w:left="6804"/>
            <w:jc w:val="both"/>
            <w:sectPr>
              <w:headerReference w:type="even" r:id="rId18"/>
              <w:headerReference w:type="default" r:id="rId19"/>
              <w:footerReference w:type="even" r:id="rId20"/>
              <w:footerReference w:type="default" r:id="rId21"/>
              <w:headerReference w:type="first" r:id="rId22"/>
              <w:footerReference w:type="first" r:id="rId23"/>
              <w:pgSz w:w="11906" w:h="16838" w:code="9"/>
              <w:pgMar w:top="1843" w:right="567" w:bottom="1134" w:left="1701" w:header="1134" w:footer="567" w:gutter="0"/>
              <w:pgNumType w:start="1"/>
              <w:cols w:space="1296"/>
              <w:titlePg/>
              <w:docGrid w:linePitch="326"/>
            </w:sectPr>
          </w:pPr>
        </w:p>
        <w:p>
          <w:pPr>
            <w:tabs>
              <w:tab w:val="left" w:pos="993"/>
            </w:tabs>
            <w:ind w:left="6804"/>
            <w:jc w:val="both"/>
            <w:rPr>
              <w:rFonts w:eastAsia="Calibri"/>
            </w:rPr>
          </w:pPr>
          <w:r>
            <w:rPr>
              <w:rFonts w:eastAsia="Calibri"/>
            </w:rPr>
            <w:t xml:space="preserve">Savivaldybės infrastruktūros </w:t>
          </w:r>
        </w:p>
        <w:p>
          <w:pPr>
            <w:tabs>
              <w:tab w:val="left" w:pos="993"/>
            </w:tabs>
            <w:ind w:left="6804"/>
            <w:jc w:val="both"/>
            <w:rPr>
              <w:rFonts w:eastAsia="Calibri"/>
            </w:rPr>
          </w:pPr>
          <w:r>
            <w:rPr>
              <w:rFonts w:eastAsia="Calibri"/>
            </w:rPr>
            <w:t xml:space="preserve">plėtros įmokos nustatymo </w:t>
          </w:r>
        </w:p>
        <w:p>
          <w:pPr>
            <w:tabs>
              <w:tab w:val="left" w:pos="993"/>
            </w:tabs>
            <w:ind w:left="6804"/>
            <w:jc w:val="both"/>
            <w:rPr>
              <w:rFonts w:eastAsia="Calibri"/>
              <w:szCs w:val="22"/>
            </w:rPr>
          </w:pPr>
          <w:r>
            <w:rPr>
              <w:rFonts w:eastAsia="Calibri"/>
            </w:rPr>
            <w:t xml:space="preserve">metodikos </w:t>
          </w:r>
        </w:p>
        <w:p>
          <w:pPr>
            <w:tabs>
              <w:tab w:val="left" w:pos="993"/>
            </w:tabs>
            <w:ind w:left="6804"/>
            <w:jc w:val="both"/>
            <w:rPr>
              <w:szCs w:val="24"/>
            </w:rPr>
          </w:pPr>
          <w:sdt>
            <w:sdtPr>
              <w:alias w:val="Numeris"/>
              <w:tag w:val="nr_526084bfb7b8486ab6fe7be663f6eabb"/>
              <w:lock w:val="sdtLocked"/>
              <w:richText/>
            </w:sdtPr>
            <w:sdtContent>
              <w:r>
                <w:rPr>
                  <w:szCs w:val="24"/>
                  <w:lang w:val="en-GB"/>
                </w:rPr>
                <w:t>2</w:t>
              </w:r>
            </w:sdtContent>
          </w:sdt>
          <w:r>
            <w:rPr>
              <w:szCs w:val="24"/>
            </w:rPr>
            <w:t xml:space="preserve"> priedas</w:t>
          </w:r>
        </w:p>
        <w:p>
          <w:pPr>
            <w:tabs>
              <w:tab w:val="center" w:pos="4819"/>
            </w:tabs>
            <w:ind w:left="1298"/>
            <w:jc w:val="right"/>
            <w:rPr>
              <w:b/>
              <w:bCs/>
              <w:color w:val="000000"/>
              <w:szCs w:val="24"/>
              <w:lang w:eastAsia="lt-LT"/>
            </w:rPr>
          </w:pPr>
        </w:p>
        <w:p>
          <w:pPr>
            <w:spacing w:line="276" w:lineRule="auto"/>
            <w:jc w:val="center"/>
            <w:rPr>
              <w:bCs/>
              <w:color w:val="000000"/>
              <w:sz w:val="20"/>
              <w:lang w:eastAsia="lt-LT"/>
            </w:rPr>
          </w:pPr>
          <w:r>
            <w:rPr>
              <w:bCs/>
              <w:color w:val="000000"/>
              <w:sz w:val="20"/>
              <w:lang w:eastAsia="lt-LT"/>
            </w:rPr>
            <w:t>(</w:t>
          </w:r>
          <w:r>
            <w:rPr>
              <w:b/>
              <w:bCs/>
              <w:color w:val="000000"/>
              <w:sz w:val="20"/>
              <w:lang w:eastAsia="lt-LT"/>
            </w:rPr>
            <w:t>Įmokos apskaičiavimo akto forma</w:t>
          </w:r>
          <w:r>
            <w:rPr>
              <w:bCs/>
              <w:color w:val="000000"/>
              <w:sz w:val="20"/>
              <w:lang w:eastAsia="lt-LT"/>
            </w:rPr>
            <w:t>)</w:t>
          </w:r>
        </w:p>
        <w:p>
          <w:pPr>
            <w:spacing w:line="276" w:lineRule="auto"/>
            <w:jc w:val="center"/>
            <w:rPr>
              <w:color w:val="000000"/>
              <w:szCs w:val="24"/>
              <w:lang w:eastAsia="lt-LT"/>
            </w:rPr>
          </w:pPr>
          <w:r>
            <w:rPr>
              <w:color w:val="000000"/>
              <w:szCs w:val="24"/>
              <w:lang w:eastAsia="lt-LT"/>
            </w:rPr>
            <w:t>___________________________________________________________</w:t>
          </w:r>
        </w:p>
        <w:p>
          <w:pPr>
            <w:spacing w:line="276" w:lineRule="auto"/>
            <w:jc w:val="center"/>
            <w:rPr>
              <w:color w:val="000000"/>
              <w:sz w:val="20"/>
              <w:lang w:eastAsia="lt-LT"/>
            </w:rPr>
          </w:pPr>
          <w:r>
            <w:rPr>
              <w:color w:val="000000"/>
              <w:sz w:val="20"/>
              <w:lang w:eastAsia="lt-LT"/>
            </w:rPr>
            <w:t>(sudarytojo pavadinimas)</w:t>
          </w:r>
        </w:p>
        <w:p>
          <w:pPr>
            <w:spacing w:line="260" w:lineRule="atLeast"/>
            <w:jc w:val="center"/>
            <w:rPr>
              <w:color w:val="000000"/>
              <w:szCs w:val="24"/>
              <w:lang w:eastAsia="lt-LT"/>
            </w:rPr>
          </w:pPr>
        </w:p>
        <w:p>
          <w:pPr>
            <w:jc w:val="center"/>
            <w:rPr>
              <w:b/>
              <w:bCs/>
              <w:color w:val="000000"/>
              <w:szCs w:val="24"/>
              <w:lang w:eastAsia="lt-LT"/>
            </w:rPr>
          </w:pPr>
          <w:r>
            <w:rPr>
              <w:b/>
              <w:bCs/>
              <w:color w:val="000000"/>
              <w:szCs w:val="24"/>
              <w:lang w:eastAsia="lt-LT"/>
            </w:rPr>
            <w:t>SAVIVALDYBĖS INFRASTRUKTŪROS PLĖTROS ĮMOKOS</w:t>
          </w:r>
        </w:p>
        <w:p>
          <w:pPr>
            <w:ind w:firstLine="62"/>
            <w:jc w:val="center"/>
            <w:rPr>
              <w:color w:val="000000"/>
              <w:szCs w:val="24"/>
              <w:lang w:eastAsia="lt-LT"/>
            </w:rPr>
          </w:pPr>
          <w:r>
            <w:rPr>
              <w:b/>
              <w:bCs/>
              <w:color w:val="000000"/>
              <w:szCs w:val="24"/>
              <w:lang w:eastAsia="lt-LT"/>
            </w:rPr>
            <w:t>APSKAIČIAVIMO AKTAS</w:t>
          </w:r>
        </w:p>
        <w:p>
          <w:pPr>
            <w:ind w:firstLine="124"/>
            <w:jc w:val="center"/>
            <w:rPr>
              <w:color w:val="000000"/>
              <w:szCs w:val="24"/>
              <w:lang w:eastAsia="lt-LT"/>
            </w:rPr>
          </w:pPr>
        </w:p>
        <w:p>
          <w:pPr>
            <w:ind w:firstLine="2046"/>
            <w:jc w:val="center"/>
            <w:rPr>
              <w:color w:val="000000"/>
              <w:szCs w:val="24"/>
              <w:lang w:eastAsia="lt-LT"/>
            </w:rPr>
          </w:pPr>
          <w:r>
            <w:rPr>
              <w:color w:val="000000"/>
              <w:szCs w:val="24"/>
              <w:lang w:eastAsia="lt-LT"/>
            </w:rPr>
            <w:t>___________ Nr. ______________________</w:t>
          </w:r>
        </w:p>
        <w:p>
          <w:pPr>
            <w:ind w:left="1298" w:firstLine="2835"/>
            <w:rPr>
              <w:color w:val="000000"/>
              <w:sz w:val="20"/>
              <w:lang w:eastAsia="lt-LT"/>
            </w:rPr>
          </w:pPr>
          <w:r>
            <w:rPr>
              <w:color w:val="000000"/>
              <w:sz w:val="20"/>
              <w:lang w:eastAsia="lt-LT"/>
            </w:rPr>
            <w:t>(data)</w:t>
            <w:tab/>
            <w:t xml:space="preserve">      (</w:t>
          </w:r>
          <w:r>
            <w:rPr>
              <w:rFonts w:eastAsia="Calibri"/>
              <w:sz w:val="20"/>
            </w:rPr>
            <w:t>registracijos numeris)</w:t>
          </w:r>
        </w:p>
        <w:p>
          <w:pPr>
            <w:jc w:val="center"/>
            <w:rPr>
              <w:color w:val="000000"/>
              <w:szCs w:val="24"/>
              <w:lang w:eastAsia="lt-LT"/>
            </w:rPr>
          </w:pPr>
          <w:r>
            <w:rPr>
              <w:color w:val="000000"/>
              <w:szCs w:val="24"/>
              <w:lang w:eastAsia="lt-LT"/>
            </w:rPr>
            <w:t>_________________________</w:t>
          </w:r>
        </w:p>
        <w:p>
          <w:pPr>
            <w:jc w:val="center"/>
            <w:rPr>
              <w:color w:val="000000"/>
              <w:sz w:val="20"/>
              <w:lang w:eastAsia="lt-LT"/>
            </w:rPr>
          </w:pPr>
          <w:r>
            <w:rPr>
              <w:color w:val="000000"/>
              <w:sz w:val="20"/>
              <w:lang w:eastAsia="lt-LT"/>
            </w:rPr>
            <w:t>(vieta)</w:t>
          </w:r>
          <w:r>
            <w:rPr>
              <w:color w:val="000000"/>
              <w:szCs w:val="24"/>
              <w:lang w:eastAsia="lt-LT"/>
            </w:rPr>
            <w:t> </w:t>
          </w:r>
        </w:p>
        <w:p>
          <w:pPr>
            <w:spacing w:line="276" w:lineRule="auto"/>
            <w:ind w:left="360" w:firstLine="624"/>
            <w:jc w:val="both"/>
            <w:rPr>
              <w:color w:val="000000"/>
              <w:szCs w:val="24"/>
              <w:lang w:eastAsia="lt-LT"/>
            </w:rPr>
          </w:pPr>
          <w:r>
            <w:rPr>
              <w:color w:val="000000"/>
              <w:szCs w:val="24"/>
              <w:lang w:eastAsia="lt-LT"/>
            </w:rPr>
            <w:t>1.</w:t>
            <w:tab/>
            <w:t xml:space="preserve">Mokėtojas </w:t>
          </w:r>
        </w:p>
        <w:p>
          <w:pPr>
            <w:ind w:firstLine="993"/>
            <w:jc w:val="both"/>
            <w:rPr>
              <w:color w:val="000000"/>
              <w:szCs w:val="24"/>
              <w:lang w:eastAsia="lt-LT"/>
            </w:rPr>
          </w:pPr>
          <w:r>
            <w:rPr>
              <w:color w:val="000000"/>
              <w:szCs w:val="24"/>
              <w:lang w:eastAsia="lt-LT"/>
            </w:rPr>
            <w:t xml:space="preserve">____________________________________________________________________ </w:t>
          </w:r>
        </w:p>
        <w:p>
          <w:pPr>
            <w:ind w:left="993" w:firstLine="993"/>
            <w:jc w:val="center"/>
            <w:rPr>
              <w:color w:val="000000"/>
              <w:sz w:val="20"/>
              <w:lang w:eastAsia="lt-LT"/>
            </w:rPr>
          </w:pPr>
          <w:r>
            <w:rPr>
              <w:color w:val="000000"/>
              <w:sz w:val="20"/>
              <w:lang w:eastAsia="lt-LT"/>
            </w:rPr>
            <w:t xml:space="preserve">(vardas ir pavardė, asmens kodas; </w:t>
          </w:r>
          <w:r>
            <w:rPr>
              <w:sz w:val="20"/>
            </w:rPr>
            <w:t>Lietuvos Respublikos ar užsienio valstybės juridinio asmens, kitos organizacijos ar jų padalinio teisinis statusas, pavadinimas, kodas, jei jis suteikiamas; ryšio duomenys (adresas, telefono numeris, elektroninio pašto adresas); atstovaujančiojo asmens pareigos, vardas, pavardė, atstovavimo pagrindas</w:t>
          </w:r>
          <w:r>
            <w:rPr>
              <w:color w:val="000000"/>
              <w:sz w:val="20"/>
              <w:lang w:eastAsia="lt-LT"/>
            </w:rPr>
            <w:t>)</w:t>
          </w:r>
        </w:p>
        <w:p>
          <w:pPr>
            <w:spacing w:line="276" w:lineRule="auto"/>
            <w:ind w:firstLine="895"/>
            <w:jc w:val="both"/>
            <w:rPr>
              <w:color w:val="000000"/>
              <w:szCs w:val="24"/>
              <w:lang w:eastAsia="lt-LT"/>
            </w:rPr>
          </w:pPr>
        </w:p>
        <w:p>
          <w:pPr>
            <w:spacing w:line="276" w:lineRule="auto"/>
            <w:ind w:left="360" w:firstLine="624"/>
            <w:jc w:val="both"/>
            <w:rPr>
              <w:color w:val="000000"/>
              <w:szCs w:val="24"/>
              <w:lang w:eastAsia="lt-LT"/>
            </w:rPr>
          </w:pPr>
          <w:r>
            <w:rPr>
              <w:color w:val="000000"/>
              <w:szCs w:val="24"/>
              <w:lang w:eastAsia="lt-LT"/>
            </w:rPr>
            <w:t>2.</w:t>
            <w:tab/>
          </w:r>
          <w:r>
            <w:rPr>
              <w:rFonts w:eastAsia="Calibri"/>
              <w:iCs/>
              <w:szCs w:val="24"/>
            </w:rPr>
            <w:t>Informacija apie reikalingą savivaldybės infrastruktūrą</w:t>
          </w:r>
        </w:p>
        <w:p>
          <w:pPr>
            <w:spacing w:line="276" w:lineRule="auto"/>
            <w:ind w:left="1069" w:firstLine="62"/>
            <w:jc w:val="both"/>
            <w:rPr>
              <w:color w:val="000000"/>
              <w:szCs w:val="24"/>
              <w:lang w:eastAsia="lt-LT"/>
            </w:rPr>
          </w:pPr>
        </w:p>
        <w:p>
          <w:pPr>
            <w:spacing w:line="276" w:lineRule="auto"/>
            <w:ind w:left="1843" w:hanging="850"/>
            <w:rPr>
              <w:color w:val="000000"/>
              <w:szCs w:val="24"/>
              <w:lang w:eastAsia="lt-LT"/>
            </w:rPr>
          </w:pPr>
          <w:r>
            <w:rPr>
              <w:color w:val="000000"/>
              <w:szCs w:val="24"/>
              <w:lang w:eastAsia="lt-LT"/>
            </w:rPr>
            <w:t xml:space="preserve">_______________________________________________________________________ </w:t>
          </w:r>
        </w:p>
        <w:p>
          <w:pPr>
            <w:spacing w:line="276" w:lineRule="auto"/>
            <w:ind w:left="1843" w:hanging="850"/>
            <w:rPr>
              <w:color w:val="000000"/>
              <w:sz w:val="20"/>
              <w:lang w:eastAsia="lt-LT"/>
            </w:rPr>
          </w:pPr>
          <w:r>
            <w:rPr>
              <w:color w:val="000000"/>
              <w:szCs w:val="24"/>
              <w:lang w:eastAsia="lt-LT"/>
            </w:rPr>
            <w:t xml:space="preserve"> </w:t>
          </w:r>
          <w:r>
            <w:rPr>
              <w:color w:val="000000"/>
              <w:sz w:val="20"/>
              <w:lang w:eastAsia="lt-LT"/>
            </w:rPr>
            <w:t xml:space="preserve">(savivaldybės infrastruktūros </w:t>
          </w:r>
          <w:r>
            <w:rPr>
              <w:sz w:val="20"/>
              <w:lang w:eastAsia="lt-LT"/>
            </w:rPr>
            <w:t xml:space="preserve">plėtros </w:t>
          </w:r>
          <w:r>
            <w:rPr>
              <w:color w:val="000000"/>
              <w:sz w:val="20"/>
              <w:lang w:eastAsia="lt-LT"/>
            </w:rPr>
            <w:t xml:space="preserve">klasifikavimas ir matmenys (plotas, ilgis ir </w:t>
          </w:r>
          <w:r>
            <w:rPr>
              <w:sz w:val="20"/>
              <w:lang w:eastAsia="lt-LT"/>
            </w:rPr>
            <w:t>kita</w:t>
          </w:r>
          <w:r>
            <w:rPr>
              <w:color w:val="000000"/>
              <w:sz w:val="20"/>
              <w:lang w:eastAsia="lt-LT"/>
            </w:rPr>
            <w:t>)</w:t>
          </w:r>
        </w:p>
        <w:p>
          <w:pPr>
            <w:spacing w:line="276" w:lineRule="auto"/>
            <w:ind w:firstLine="2127"/>
            <w:rPr>
              <w:color w:val="000000"/>
              <w:szCs w:val="24"/>
              <w:lang w:eastAsia="lt-LT"/>
            </w:rPr>
          </w:pPr>
        </w:p>
        <w:p>
          <w:pPr>
            <w:spacing w:line="276" w:lineRule="auto"/>
            <w:ind w:left="360" w:firstLine="624"/>
            <w:jc w:val="both"/>
            <w:rPr>
              <w:color w:val="000000"/>
              <w:szCs w:val="24"/>
              <w:lang w:eastAsia="lt-LT"/>
            </w:rPr>
          </w:pPr>
          <w:r>
            <w:rPr>
              <w:color w:val="000000"/>
              <w:szCs w:val="24"/>
              <w:lang w:eastAsia="lt-LT"/>
            </w:rPr>
            <w:t>3.</w:t>
            <w:tab/>
            <w:t>Planuojamas statyti/rekonstruoti statinys</w:t>
          </w:r>
        </w:p>
        <w:p>
          <w:pPr>
            <w:spacing w:line="276" w:lineRule="auto"/>
            <w:ind w:left="624"/>
            <w:jc w:val="both"/>
            <w:rPr>
              <w:color w:val="000000"/>
              <w:szCs w:val="24"/>
              <w:lang w:eastAsia="lt-LT"/>
            </w:rPr>
          </w:pPr>
        </w:p>
        <w:p>
          <w:pPr>
            <w:spacing w:line="276" w:lineRule="auto"/>
            <w:ind w:firstLine="993"/>
            <w:jc w:val="center"/>
            <w:rPr>
              <w:color w:val="000000"/>
              <w:szCs w:val="24"/>
              <w:lang w:eastAsia="lt-LT"/>
            </w:rPr>
          </w:pPr>
          <w:r>
            <w:rPr>
              <w:color w:val="000000"/>
              <w:szCs w:val="24"/>
              <w:lang w:eastAsia="lt-LT"/>
            </w:rPr>
            <w:t xml:space="preserve">_______________________________________________________________________   </w:t>
          </w:r>
        </w:p>
        <w:p>
          <w:pPr>
            <w:spacing w:line="276" w:lineRule="auto"/>
            <w:ind w:firstLine="993"/>
            <w:jc w:val="center"/>
            <w:rPr>
              <w:color w:val="000000"/>
              <w:sz w:val="20"/>
              <w:lang w:eastAsia="lt-LT"/>
            </w:rPr>
          </w:pPr>
          <w:r>
            <w:rPr>
              <w:color w:val="000000"/>
              <w:sz w:val="20"/>
              <w:lang w:eastAsia="lt-LT"/>
            </w:rPr>
            <w:t>(žemės sklypo ir (ar) kito nekilnojamojo daikto adresas; unikalus numeris)</w:t>
          </w:r>
        </w:p>
        <w:p>
          <w:pPr>
            <w:spacing w:line="276" w:lineRule="auto"/>
            <w:ind w:left="624"/>
            <w:jc w:val="both"/>
            <w:rPr>
              <w:color w:val="000000"/>
              <w:szCs w:val="24"/>
              <w:lang w:eastAsia="lt-LT"/>
            </w:rPr>
          </w:pPr>
        </w:p>
        <w:p>
          <w:pPr>
            <w:spacing w:line="276" w:lineRule="auto"/>
            <w:ind w:firstLine="62"/>
            <w:rPr>
              <w:color w:val="000000"/>
              <w:szCs w:val="24"/>
              <w:lang w:eastAsia="lt-LT"/>
            </w:rPr>
          </w:pPr>
        </w:p>
        <w:p>
          <w:pPr>
            <w:spacing w:line="276" w:lineRule="auto"/>
            <w:ind w:left="360" w:firstLine="624"/>
            <w:jc w:val="both"/>
            <w:rPr>
              <w:color w:val="000000"/>
              <w:szCs w:val="24"/>
              <w:lang w:eastAsia="lt-LT"/>
            </w:rPr>
          </w:pPr>
          <w:r>
            <w:rPr>
              <w:color w:val="000000"/>
              <w:szCs w:val="24"/>
              <w:lang w:eastAsia="lt-LT"/>
            </w:rPr>
            <w:t>4.</w:t>
            <w:tab/>
            <w:t>Įmokos suma ____________________ Eur</w:t>
          </w:r>
        </w:p>
        <w:p>
          <w:pPr>
            <w:rPr>
              <w:sz w:val="10"/>
              <w:szCs w:val="10"/>
            </w:rPr>
          </w:pPr>
        </w:p>
        <w:p>
          <w:pPr>
            <w:spacing w:line="276" w:lineRule="auto"/>
            <w:jc w:val="both"/>
            <w:rPr>
              <w:color w:val="000000"/>
              <w:szCs w:val="24"/>
              <w:lang w:eastAsia="lt-LT"/>
            </w:rPr>
          </w:pPr>
        </w:p>
        <w:p>
          <w:pPr>
            <w:tabs>
              <w:tab w:val="left" w:pos="1418"/>
            </w:tabs>
            <w:spacing w:line="276" w:lineRule="auto"/>
            <w:ind w:left="142" w:firstLine="851"/>
            <w:jc w:val="both"/>
            <w:rPr>
              <w:color w:val="000000"/>
              <w:szCs w:val="24"/>
              <w:lang w:eastAsia="lt-LT"/>
            </w:rPr>
          </w:pPr>
          <w:r>
            <w:rPr>
              <w:color w:val="000000"/>
              <w:szCs w:val="24"/>
              <w:lang w:eastAsia="lt-LT"/>
            </w:rPr>
            <w:t>4.1.</w:t>
            <w:tab/>
            <w:t xml:space="preserve">Įmokos dydžio pagrindimas: </w:t>
          </w:r>
        </w:p>
        <w:p>
          <w:pPr>
            <w:spacing w:line="276" w:lineRule="auto"/>
            <w:ind w:firstLine="709"/>
            <w:jc w:val="both"/>
            <w:rPr>
              <w:color w:val="000000"/>
              <w:szCs w:val="24"/>
              <w:lang w:eastAsia="lt-LT"/>
            </w:rPr>
          </w:pPr>
        </w:p>
        <w:p>
          <w:pPr>
            <w:spacing w:line="276" w:lineRule="auto"/>
            <w:ind w:firstLine="993"/>
            <w:jc w:val="both"/>
            <w:rPr>
              <w:szCs w:val="22"/>
            </w:rPr>
          </w:pPr>
          <w:r>
            <w:rPr>
              <w:szCs w:val="24"/>
            </w:rPr>
            <w:t>Į = S</w:t>
          </w:r>
          <w:r>
            <w:rPr>
              <w:szCs w:val="24"/>
              <w:vertAlign w:val="subscript"/>
            </w:rPr>
            <w:t>psį</w:t>
          </w:r>
          <w:r>
            <w:rPr>
              <w:szCs w:val="24"/>
            </w:rPr>
            <w:t xml:space="preserve"> + Ž</w:t>
          </w:r>
          <w:r>
            <w:rPr>
              <w:szCs w:val="24"/>
              <w:vertAlign w:val="subscript"/>
            </w:rPr>
            <w:t>paėmimo</w:t>
          </w:r>
          <w:r>
            <w:rPr>
              <w:szCs w:val="24"/>
            </w:rPr>
            <w:t xml:space="preserve"> – I.</w:t>
          </w:r>
        </w:p>
        <w:p>
          <w:pPr>
            <w:tabs>
              <w:tab w:val="left" w:pos="567"/>
            </w:tabs>
            <w:spacing w:line="276" w:lineRule="auto"/>
            <w:ind w:firstLine="993"/>
            <w:jc w:val="both"/>
            <w:rPr>
              <w:szCs w:val="24"/>
            </w:rPr>
          </w:pPr>
          <w:r>
            <w:rPr>
              <w:szCs w:val="24"/>
            </w:rPr>
            <w:t>S</w:t>
          </w:r>
          <w:r>
            <w:rPr>
              <w:szCs w:val="24"/>
              <w:vertAlign w:val="subscript"/>
            </w:rPr>
            <w:t xml:space="preserve">psį </w:t>
          </w:r>
          <w:r>
            <w:rPr>
              <w:szCs w:val="24"/>
            </w:rPr>
            <w:t>=</w:t>
          </w:r>
        </w:p>
        <w:p>
          <w:pPr>
            <w:tabs>
              <w:tab w:val="left" w:pos="567"/>
            </w:tabs>
            <w:spacing w:line="276" w:lineRule="auto"/>
            <w:ind w:firstLine="993"/>
            <w:jc w:val="both"/>
            <w:rPr>
              <w:szCs w:val="24"/>
              <w:lang w:val="en-GB"/>
            </w:rPr>
          </w:pPr>
          <w:r>
            <w:rPr>
              <w:szCs w:val="24"/>
            </w:rPr>
            <w:t>Ž</w:t>
          </w:r>
          <w:r>
            <w:rPr>
              <w:szCs w:val="24"/>
              <w:vertAlign w:val="subscript"/>
            </w:rPr>
            <w:t xml:space="preserve">paėmimo </w:t>
          </w:r>
          <w:r>
            <w:rPr>
              <w:szCs w:val="24"/>
              <w:lang w:val="en-GB"/>
            </w:rPr>
            <w:t xml:space="preserve">= </w:t>
          </w:r>
        </w:p>
        <w:p>
          <w:pPr>
            <w:tabs>
              <w:tab w:val="left" w:pos="567"/>
            </w:tabs>
            <w:spacing w:line="276" w:lineRule="auto"/>
            <w:ind w:firstLine="993"/>
            <w:jc w:val="both"/>
            <w:rPr>
              <w:szCs w:val="24"/>
              <w:lang w:val="en-US"/>
            </w:rPr>
          </w:pPr>
          <w:r>
            <w:rPr>
              <w:szCs w:val="24"/>
              <w:lang w:val="en-GB"/>
            </w:rPr>
            <w:t>I</w:t>
          </w:r>
          <w:r>
            <w:rPr>
              <w:szCs w:val="24"/>
              <w:lang w:val="en-US"/>
            </w:rPr>
            <w:t>=</w:t>
          </w:r>
        </w:p>
        <w:p>
          <w:pPr>
            <w:tabs>
              <w:tab w:val="left" w:pos="567"/>
            </w:tabs>
            <w:spacing w:line="276" w:lineRule="auto"/>
            <w:ind w:firstLine="993"/>
            <w:rPr>
              <w:szCs w:val="24"/>
              <w:lang w:val="en-GB"/>
            </w:rPr>
          </w:pPr>
          <w:r>
            <w:rPr>
              <w:szCs w:val="24"/>
            </w:rPr>
            <w:t>S</w:t>
          </w:r>
          <w:r>
            <w:rPr>
              <w:szCs w:val="24"/>
              <w:vertAlign w:val="subscript"/>
            </w:rPr>
            <w:t>psį</w:t>
          </w:r>
          <w:r>
            <w:rPr>
              <w:szCs w:val="24"/>
            </w:rPr>
            <w:t xml:space="preserve"> </w:t>
          </w:r>
          <w:r>
            <w:rPr>
              <w:szCs w:val="24"/>
              <w:lang w:val="en-GB"/>
            </w:rPr>
            <w:t xml:space="preserve">= T x S. </w:t>
          </w:r>
        </w:p>
        <w:p>
          <w:pPr>
            <w:tabs>
              <w:tab w:val="left" w:pos="567"/>
            </w:tabs>
            <w:spacing w:line="276" w:lineRule="auto"/>
            <w:ind w:firstLine="993"/>
            <w:rPr>
              <w:szCs w:val="24"/>
              <w:vertAlign w:val="subscript"/>
              <w:lang w:val="en-GB"/>
            </w:rPr>
          </w:pPr>
          <w:r>
            <w:rPr>
              <w:szCs w:val="24"/>
              <w:lang w:val="en-GB"/>
            </w:rPr>
            <w:t>T = T</w:t>
          </w:r>
          <w:r>
            <w:rPr>
              <w:szCs w:val="24"/>
              <w:vertAlign w:val="subscript"/>
              <w:lang w:val="en-GB"/>
            </w:rPr>
            <w:t>1</w:t>
          </w:r>
          <w:r>
            <w:rPr>
              <w:szCs w:val="24"/>
              <w:lang w:val="en-GB"/>
            </w:rPr>
            <w:t xml:space="preserve"> + T</w:t>
          </w:r>
          <w:r>
            <w:rPr>
              <w:szCs w:val="24"/>
              <w:vertAlign w:val="subscript"/>
              <w:lang w:val="en-GB"/>
            </w:rPr>
            <w:t>2</w:t>
          </w:r>
        </w:p>
        <w:p>
          <w:pPr>
            <w:tabs>
              <w:tab w:val="left" w:pos="567"/>
            </w:tabs>
            <w:spacing w:line="276" w:lineRule="auto"/>
            <w:ind w:firstLine="993"/>
            <w:rPr>
              <w:szCs w:val="24"/>
              <w:lang w:val="en-GB"/>
            </w:rPr>
          </w:pPr>
          <w:r>
            <w:rPr>
              <w:szCs w:val="24"/>
              <w:lang w:val="en-GB"/>
            </w:rPr>
            <w:t>S =</w:t>
          </w:r>
        </w:p>
        <w:p>
          <w:pPr>
            <w:tabs>
              <w:tab w:val="left" w:pos="567"/>
            </w:tabs>
            <w:spacing w:line="276" w:lineRule="auto"/>
            <w:ind w:firstLine="993"/>
            <w:rPr>
              <w:szCs w:val="24"/>
              <w:lang w:val="en-GB"/>
            </w:rPr>
          </w:pPr>
          <w:r>
            <w:rPr>
              <w:szCs w:val="24"/>
              <w:lang w:val="en-GB"/>
            </w:rPr>
            <w:t>T – savivaldybės tarybos patvirtintas tarifas</w:t>
          </w:r>
        </w:p>
        <w:p>
          <w:pPr>
            <w:tabs>
              <w:tab w:val="left" w:pos="567"/>
            </w:tabs>
            <w:spacing w:line="276" w:lineRule="auto"/>
            <w:ind w:firstLine="993"/>
            <w:rPr>
              <w:szCs w:val="24"/>
            </w:rPr>
          </w:pPr>
          <w:r>
            <w:rPr>
              <w:szCs w:val="24"/>
              <w:lang w:val="en-GB"/>
            </w:rPr>
            <w:t>T</w:t>
          </w:r>
          <w:r>
            <w:rPr>
              <w:szCs w:val="24"/>
              <w:vertAlign w:val="subscript"/>
              <w:lang w:val="en-GB"/>
            </w:rPr>
            <w:t>1</w:t>
          </w:r>
          <w:r>
            <w:rPr>
              <w:szCs w:val="24"/>
              <w:lang w:val="en-GB"/>
            </w:rPr>
            <w:t xml:space="preserve"> = </w:t>
          </w:r>
          <w:r>
            <w:rPr>
              <w:szCs w:val="24"/>
            </w:rPr>
            <w:t>D</w:t>
          </w:r>
          <w:r>
            <w:rPr>
              <w:szCs w:val="24"/>
              <w:vertAlign w:val="subscript"/>
            </w:rPr>
            <w:t>žpnpin</w:t>
          </w:r>
          <w:r>
            <w:rPr>
              <w:szCs w:val="24"/>
              <w:lang w:val="en-GB"/>
            </w:rPr>
            <w:t xml:space="preserve"> </w:t>
          </w:r>
          <w:r>
            <w:rPr>
              <w:szCs w:val="24"/>
            </w:rPr>
            <w:t>x</w:t>
          </w:r>
          <w:r>
            <w:rPr>
              <w:szCs w:val="24"/>
              <w:vertAlign w:val="subscript"/>
            </w:rPr>
            <w:t xml:space="preserve"> </w:t>
          </w:r>
          <w:r>
            <w:rPr>
              <w:szCs w:val="24"/>
            </w:rPr>
            <w:t>D</w:t>
          </w:r>
          <w:r>
            <w:rPr>
              <w:szCs w:val="24"/>
              <w:vertAlign w:val="subscript"/>
            </w:rPr>
            <w:t xml:space="preserve">išvystin </w:t>
          </w:r>
          <w:r>
            <w:rPr>
              <w:szCs w:val="24"/>
            </w:rPr>
            <w:t>x D</w:t>
          </w:r>
          <w:r>
            <w:rPr>
              <w:szCs w:val="24"/>
              <w:vertAlign w:val="subscript"/>
            </w:rPr>
            <w:t xml:space="preserve">plėtrin </w:t>
          </w:r>
          <w:r>
            <w:rPr>
              <w:szCs w:val="24"/>
            </w:rPr>
            <w:t>x V</w:t>
          </w:r>
          <w:r>
            <w:rPr>
              <w:szCs w:val="24"/>
              <w:vertAlign w:val="subscript"/>
            </w:rPr>
            <w:t>in</w:t>
          </w:r>
          <w:r>
            <w:rPr>
              <w:szCs w:val="24"/>
            </w:rPr>
            <w:t>.</w:t>
          </w:r>
        </w:p>
        <w:p>
          <w:pPr>
            <w:tabs>
              <w:tab w:val="left" w:pos="567"/>
            </w:tabs>
            <w:spacing w:line="276" w:lineRule="auto"/>
            <w:ind w:firstLine="993"/>
            <w:rPr>
              <w:szCs w:val="24"/>
              <w:vertAlign w:val="subscript"/>
            </w:rPr>
          </w:pPr>
          <w:r>
            <w:rPr>
              <w:szCs w:val="24"/>
            </w:rPr>
            <w:t>D</w:t>
          </w:r>
          <w:r>
            <w:rPr>
              <w:szCs w:val="24"/>
              <w:vertAlign w:val="subscript"/>
            </w:rPr>
            <w:t xml:space="preserve">žpnpin </w:t>
          </w:r>
          <w:r>
            <w:rPr>
              <w:szCs w:val="24"/>
            </w:rPr>
            <w:t>=</w:t>
          </w:r>
        </w:p>
        <w:p>
          <w:pPr>
            <w:tabs>
              <w:tab w:val="left" w:pos="567"/>
            </w:tabs>
            <w:spacing w:line="276" w:lineRule="auto"/>
            <w:ind w:firstLine="993"/>
            <w:rPr>
              <w:szCs w:val="24"/>
            </w:rPr>
          </w:pPr>
          <w:r>
            <w:rPr>
              <w:szCs w:val="24"/>
            </w:rPr>
            <w:t>D</w:t>
          </w:r>
          <w:r>
            <w:rPr>
              <w:szCs w:val="24"/>
              <w:vertAlign w:val="subscript"/>
            </w:rPr>
            <w:t xml:space="preserve">išvystin </w:t>
          </w:r>
          <w:r>
            <w:rPr>
              <w:szCs w:val="24"/>
            </w:rPr>
            <w:t>=</w:t>
          </w:r>
        </w:p>
        <w:p>
          <w:pPr>
            <w:tabs>
              <w:tab w:val="left" w:pos="567"/>
            </w:tabs>
            <w:spacing w:line="276" w:lineRule="auto"/>
            <w:ind w:firstLine="993"/>
            <w:rPr>
              <w:szCs w:val="24"/>
            </w:rPr>
          </w:pPr>
          <w:r>
            <w:rPr>
              <w:szCs w:val="24"/>
            </w:rPr>
            <w:t>D</w:t>
          </w:r>
          <w:r>
            <w:rPr>
              <w:szCs w:val="24"/>
              <w:vertAlign w:val="subscript"/>
            </w:rPr>
            <w:t>plėtin</w:t>
          </w:r>
          <w:r>
            <w:rPr>
              <w:szCs w:val="24"/>
            </w:rPr>
            <w:t>=</w:t>
          </w:r>
        </w:p>
        <w:p>
          <w:pPr>
            <w:tabs>
              <w:tab w:val="left" w:pos="567"/>
            </w:tabs>
            <w:spacing w:line="276" w:lineRule="auto"/>
            <w:ind w:firstLine="993"/>
            <w:rPr>
              <w:szCs w:val="24"/>
            </w:rPr>
          </w:pPr>
          <w:r>
            <w:rPr>
              <w:szCs w:val="24"/>
            </w:rPr>
            <w:t>V</w:t>
          </w:r>
          <w:r>
            <w:rPr>
              <w:szCs w:val="24"/>
              <w:vertAlign w:val="subscript"/>
            </w:rPr>
            <w:t>in</w:t>
          </w:r>
          <w:r>
            <w:rPr>
              <w:szCs w:val="24"/>
            </w:rPr>
            <w:t xml:space="preserve"> =</w:t>
          </w:r>
        </w:p>
        <w:p>
          <w:pPr>
            <w:tabs>
              <w:tab w:val="left" w:pos="567"/>
            </w:tabs>
            <w:spacing w:line="276" w:lineRule="auto"/>
            <w:ind w:firstLine="993"/>
            <w:rPr>
              <w:szCs w:val="24"/>
            </w:rPr>
          </w:pPr>
          <w:r>
            <w:rPr>
              <w:szCs w:val="24"/>
            </w:rPr>
            <w:t>T</w:t>
          </w:r>
          <w:r>
            <w:rPr>
              <w:szCs w:val="24"/>
              <w:vertAlign w:val="subscript"/>
            </w:rPr>
            <w:t>2</w:t>
          </w:r>
          <w:r>
            <w:rPr>
              <w:szCs w:val="24"/>
            </w:rPr>
            <w:t xml:space="preserve"> = D</w:t>
          </w:r>
          <w:r>
            <w:rPr>
              <w:szCs w:val="24"/>
              <w:vertAlign w:val="subscript"/>
            </w:rPr>
            <w:t>žpnpsoc</w:t>
          </w:r>
          <w:r>
            <w:rPr>
              <w:szCs w:val="24"/>
            </w:rPr>
            <w:t xml:space="preserve"> x</w:t>
          </w:r>
          <w:r>
            <w:rPr>
              <w:szCs w:val="24"/>
              <w:vertAlign w:val="subscript"/>
            </w:rPr>
            <w:t xml:space="preserve"> </w:t>
          </w:r>
          <w:r>
            <w:rPr>
              <w:szCs w:val="24"/>
            </w:rPr>
            <w:t>D</w:t>
          </w:r>
          <w:r>
            <w:rPr>
              <w:szCs w:val="24"/>
              <w:vertAlign w:val="subscript"/>
            </w:rPr>
            <w:t xml:space="preserve">išvystsoc </w:t>
          </w:r>
          <w:r>
            <w:rPr>
              <w:szCs w:val="24"/>
            </w:rPr>
            <w:t>x D</w:t>
          </w:r>
          <w:r>
            <w:rPr>
              <w:szCs w:val="24"/>
              <w:vertAlign w:val="subscript"/>
            </w:rPr>
            <w:t>plėtrsoc</w:t>
          </w:r>
          <w:r>
            <w:rPr>
              <w:szCs w:val="24"/>
            </w:rPr>
            <w:t xml:space="preserve"> x V</w:t>
          </w:r>
          <w:r>
            <w:rPr>
              <w:szCs w:val="24"/>
              <w:vertAlign w:val="subscript"/>
            </w:rPr>
            <w:t>soc</w:t>
          </w:r>
          <w:r>
            <w:rPr>
              <w:szCs w:val="24"/>
            </w:rPr>
            <w:t xml:space="preserve">. </w:t>
          </w:r>
        </w:p>
        <w:p>
          <w:pPr>
            <w:tabs>
              <w:tab w:val="left" w:pos="567"/>
            </w:tabs>
            <w:spacing w:line="276" w:lineRule="auto"/>
            <w:ind w:firstLine="993"/>
            <w:rPr>
              <w:szCs w:val="24"/>
            </w:rPr>
          </w:pPr>
          <w:r>
            <w:rPr>
              <w:szCs w:val="24"/>
            </w:rPr>
            <w:t>D</w:t>
          </w:r>
          <w:r>
            <w:rPr>
              <w:szCs w:val="24"/>
              <w:vertAlign w:val="subscript"/>
            </w:rPr>
            <w:t xml:space="preserve">žpnpsoc </w:t>
          </w:r>
          <w:r>
            <w:rPr>
              <w:szCs w:val="24"/>
            </w:rPr>
            <w:t>=</w:t>
          </w:r>
        </w:p>
        <w:p>
          <w:pPr>
            <w:tabs>
              <w:tab w:val="left" w:pos="567"/>
              <w:tab w:val="left" w:pos="9214"/>
            </w:tabs>
            <w:spacing w:line="276" w:lineRule="auto"/>
            <w:ind w:firstLine="993"/>
            <w:rPr>
              <w:szCs w:val="24"/>
            </w:rPr>
          </w:pPr>
          <w:r>
            <w:rPr>
              <w:szCs w:val="24"/>
            </w:rPr>
            <w:t>D</w:t>
          </w:r>
          <w:r>
            <w:rPr>
              <w:szCs w:val="24"/>
              <w:vertAlign w:val="subscript"/>
            </w:rPr>
            <w:t>išvyssoc</w:t>
          </w:r>
          <w:r>
            <w:rPr>
              <w:szCs w:val="24"/>
            </w:rPr>
            <w:t>=</w:t>
          </w:r>
        </w:p>
        <w:p>
          <w:pPr>
            <w:tabs>
              <w:tab w:val="left" w:pos="567"/>
            </w:tabs>
            <w:spacing w:line="276" w:lineRule="auto"/>
            <w:ind w:firstLine="993"/>
            <w:rPr>
              <w:szCs w:val="24"/>
            </w:rPr>
          </w:pPr>
          <w:r>
            <w:rPr>
              <w:szCs w:val="24"/>
            </w:rPr>
            <w:t>D</w:t>
          </w:r>
          <w:r>
            <w:rPr>
              <w:szCs w:val="24"/>
              <w:vertAlign w:val="subscript"/>
            </w:rPr>
            <w:t xml:space="preserve">plėtrsoc </w:t>
          </w:r>
          <w:r>
            <w:rPr>
              <w:szCs w:val="24"/>
            </w:rPr>
            <w:t>=</w:t>
          </w:r>
        </w:p>
        <w:p>
          <w:pPr>
            <w:tabs>
              <w:tab w:val="left" w:pos="567"/>
            </w:tabs>
            <w:spacing w:line="276" w:lineRule="auto"/>
            <w:ind w:firstLine="993"/>
            <w:rPr>
              <w:strike/>
              <w:szCs w:val="24"/>
            </w:rPr>
          </w:pPr>
          <w:r>
            <w:rPr>
              <w:szCs w:val="24"/>
            </w:rPr>
            <w:t>V</w:t>
          </w:r>
          <w:r>
            <w:rPr>
              <w:szCs w:val="24"/>
              <w:vertAlign w:val="subscript"/>
            </w:rPr>
            <w:t>soc</w:t>
          </w:r>
          <w:r>
            <w:rPr>
              <w:szCs w:val="24"/>
            </w:rPr>
            <w:t xml:space="preserve"> =</w:t>
          </w:r>
        </w:p>
        <w:p>
          <w:pPr>
            <w:tabs>
              <w:tab w:val="left" w:pos="567"/>
            </w:tabs>
            <w:ind w:firstLine="567"/>
            <w:rPr>
              <w:szCs w:val="24"/>
            </w:rPr>
          </w:pPr>
        </w:p>
        <w:p>
          <w:pPr>
            <w:spacing w:line="276" w:lineRule="auto"/>
            <w:ind w:left="993"/>
            <w:jc w:val="both"/>
            <w:rPr>
              <w:strike/>
              <w:color w:val="000000"/>
              <w:szCs w:val="24"/>
              <w:lang w:eastAsia="lt-LT"/>
            </w:rPr>
          </w:pPr>
        </w:p>
        <w:p>
          <w:pPr>
            <w:tabs>
              <w:tab w:val="left" w:pos="567"/>
            </w:tabs>
            <w:spacing w:line="276" w:lineRule="auto"/>
            <w:rPr>
              <w:szCs w:val="24"/>
            </w:rPr>
          </w:pPr>
        </w:p>
        <w:p>
          <w:pPr>
            <w:spacing w:line="276" w:lineRule="auto"/>
            <w:rPr>
              <w:color w:val="000000"/>
              <w:szCs w:val="24"/>
              <w:lang w:eastAsia="lt-LT"/>
            </w:rPr>
          </w:pPr>
        </w:p>
        <w:p>
          <w:pPr>
            <w:tabs>
              <w:tab w:val="left" w:pos="9214"/>
            </w:tabs>
            <w:spacing w:line="276" w:lineRule="auto"/>
            <w:jc w:val="center"/>
            <w:rPr>
              <w:color w:val="000000"/>
              <w:szCs w:val="24"/>
              <w:lang w:eastAsia="lt-LT"/>
            </w:rPr>
          </w:pPr>
          <w:r>
            <w:rPr>
              <w:color w:val="000000"/>
              <w:szCs w:val="24"/>
              <w:lang w:eastAsia="lt-LT"/>
            </w:rPr>
            <w:t xml:space="preserve">_________________________                     ______________            _________________ </w:t>
          </w:r>
        </w:p>
        <w:p>
          <w:pPr>
            <w:tabs>
              <w:tab w:val="left" w:pos="9214"/>
            </w:tabs>
            <w:spacing w:line="276" w:lineRule="auto"/>
            <w:jc w:val="center"/>
            <w:rPr>
              <w:color w:val="000000"/>
              <w:sz w:val="20"/>
              <w:lang w:eastAsia="lt-LT"/>
            </w:rPr>
          </w:pPr>
          <w:r>
            <w:rPr>
              <w:color w:val="000000"/>
              <w:sz w:val="20"/>
              <w:lang w:eastAsia="lt-LT"/>
            </w:rPr>
            <w:t xml:space="preserve"> (pareigų pavadinimas)                                               (parašas)                                    (vardas ir pavardė)</w:t>
          </w:r>
        </w:p>
        <w:p>
          <w:pPr>
            <w:tabs>
              <w:tab w:val="center" w:pos="4819"/>
            </w:tabs>
            <w:jc w:val="right"/>
            <w:rPr>
              <w:rFonts w:ascii="Calibri" w:hAnsi="Calibri" w:cs="Calibri"/>
              <w:color w:val="000000"/>
              <w:szCs w:val="24"/>
            </w:rPr>
          </w:pPr>
        </w:p>
        <w:p>
          <w:pPr>
            <w:tabs>
              <w:tab w:val="center" w:pos="-7800"/>
              <w:tab w:val="left" w:pos="6237"/>
              <w:tab w:val="right" w:pos="8306"/>
            </w:tabs>
            <w:rPr>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5744490dc5b11eead77e967e3995264">
            <w:r w:rsidRPr="00532B9F">
              <w:rPr>
                <w:rFonts w:ascii="Times New Roman" w:eastAsia="MS Mincho" w:hAnsi="Times New Roman"/>
                <w:sz w:val="20"/>
                <w:iCs/>
                <w:color w:val="0000FF" w:themeColor="hyperlink"/>
                <w:u w:val="single"/>
              </w:rPr>
              <w:t>167</w:t>
            </w:r>
          </w:fldSimple>
          <w:r>
            <w:rPr>
              <w:rFonts w:ascii="Times New Roman" w:eastAsia="MS Mincho" w:hAnsi="Times New Roman"/>
              <w:sz w:val="20"/>
              <w:iCs/>
            </w:rPr>
            <w:t>,
2024-03-06,
paskelbta TAR 2024-03-07, i. k. 2024-04290                </w:t>
          </w:r>
        </w:p>
        <w:p>
          <w:pPr>
            <w:jc w:val="both"/>
            <w:rPr>
              <w:rFonts w:ascii="Times New Roman" w:hAnsi="Times New Roman"/>
            </w:rPr>
          </w:pPr>
          <w:r>
            <w:rPr>
              <w:rFonts w:ascii="Times New Roman" w:hAnsi="Times New Roman"/>
              <w:sz w:val="20"/>
            </w:rPr>
            <w:t>Dėl Lietuvos Respublikos Vyriausybės 2020 m. gruodžio 30 d. nutarimo Nr. 1475 „Dėl Kompensacijos savivaldybių infrastruktūros plėtros iniciatoriams už jų patirtas išlaidas apskaičiavimo ir išmokėjimo tvarkos aprašo ir Savivaldybės infrastruktūros plėtros įmokos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843" w:right="567" w:bottom="1134" w:left="1701" w:header="1134"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ind w:left="-115"/>
            <w:rPr>
              <w:lang w:eastAsia="lt-LT"/>
            </w:rPr>
          </w:pPr>
        </w:p>
      </w:tc>
      <w:tc>
        <w:tcPr>
          <w:tcW w:w="3210" w:type="dxa"/>
        </w:tcPr>
        <w:p>
          <w:pPr>
            <w:jc w:val="center"/>
            <w:rPr>
              <w:lang w:eastAsia="lt-LT"/>
            </w:rPr>
          </w:pPr>
        </w:p>
      </w:tc>
      <w:tc>
        <w:tcPr>
          <w:tcW w:w="3210" w:type="dxa"/>
        </w:tcPr>
        <w:p>
          <w:pPr>
            <w:ind w:right="-115"/>
            <w:jc w:val="right"/>
            <w:rPr>
              <w:lang w:eastAsia="lt-LT"/>
            </w:rPr>
          </w:pPr>
        </w:p>
      </w:tc>
    </w:tr>
  </w:tbl>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ind w:left="-115"/>
            <w:rPr>
              <w:lang w:eastAsia="lt-LT"/>
            </w:rPr>
          </w:pPr>
        </w:p>
      </w:tc>
      <w:tc>
        <w:tcPr>
          <w:tcW w:w="3210" w:type="dxa"/>
        </w:tcPr>
        <w:p>
          <w:pPr>
            <w:jc w:val="center"/>
            <w:rPr>
              <w:lang w:eastAsia="lt-LT"/>
            </w:rPr>
          </w:pPr>
        </w:p>
      </w:tc>
      <w:tc>
        <w:tcPr>
          <w:tcW w:w="3210" w:type="dxa"/>
        </w:tcPr>
        <w:p>
          <w:pPr>
            <w:ind w:right="-115"/>
            <w:jc w:val="right"/>
            <w:rPr>
              <w:lang w:eastAsia="lt-LT"/>
            </w:rPr>
          </w:pPr>
        </w:p>
      </w:tc>
    </w:tr>
  </w:tbl>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spacing w:after="200" w:line="276" w:lineRule="auto"/>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88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74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8849"/>
    <o:shapelayout v:ext="edit">
      <o:idmap v:ext="edit" data="1"/>
    </o:shapelayout>
  </w:shapeDefaults>
  <w:decimalSymbol w:val=","/>
  <w:listSeparator w:val=";"/>
  <w15:docId w15:val="{457CE821-385E-494A-9C6F-556E18C3680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ko-KR"/>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65335693">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07880681">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58972705">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2899272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customXml" Target="../customXml/item2.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header" Target="header9.xml"/>
  <Relationship Id="rId23" Type="http://schemas.openxmlformats.org/officeDocument/2006/relationships/footer" Target="footer9.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SharedWithUsers xmlns="19cf09c5-daa1-4028-a0ff-74a0be4ec5cc">
      <UserInfo>
        <DisplayName>Lina Masliukienė</DisplayName>
        <AccountId>119</AccountId>
        <AccountType/>
      </UserInfo>
    </SharedWithUsers>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5bcef962b8f47628452e586efc2ce43" PartId="6533c0a32ed64d02846a224380836b69">
    <Part Type="preambule" DocPartId="d6759918fccc46db89ed5f6347613b20" PartId="11a79a336d25499c816074ac1c7fca18"/>
    <Part Type="punktas" Nr="1" Abbr="1 p." DocPartId="d6a1f837749944cf8d3f76c950eb7cfe" PartId="db217e8d3b7c41b7a4a03a9c5ba19e7e">
      <Part Type="papunktis" Nr="1.1" Abbr="1.1 pp." DocPartId="2ed996a316b148ccaf87324f67f1bd66" PartId="94f961cf8c564399a421e538716f4302"/>
      <Part Type="papunktis" Nr="1.2" Abbr="1.2 pp." DocPartId="ee363d2df8614220baa87561396448f8" PartId="ef31e477775a4ca88e6f96319cdd1246"/>
    </Part>
    <Part Type="punktas" Nr="2" Abbr="2 p." DocPartId="5f58d01d6f0c4c8caf64eba77a9aec5e" PartId="2bd68048d9b74b71a88ad2e1217a5d9f"/>
    <Part Type="punktas" Nr="3" Abbr="3 p." DocPartId="03f4b91d328d42bea86134789d19fdf6" PartId="38cba7cce1dc472c9b32930d21a7dd37"/>
    <Part Type="signatura" DocPartId="eb5530e0fbf94949aa977eacbee4fd84" PartId="6519ebcfa54f45d384b5a49c2b596110"/>
  </Part>
  <Part Type="patvirtinta" Title="KOMPENSACIJOS SAVIVALDYBIŲ INFRASTRUKTŪROS PLĖTROS INICIATORIAMS UŽ JŲ PATIRTAS IŠLAIDAS APSKAIČIAVIMO IR IŠMOKĖJIMO TVARKOS APRAŠAS" DocPartId="61593373ae5347afa651ab2050a29562" PartId="80ac60bee5c0431abbe7a8a8e294f142">
    <Part Type="skyrius" Nr="1" Title="BENDROSIOS NUOSTATOS" DocPartId="ef5a486701a9460cbfc3ee75cf24b8d1" PartId="fbf289b8e5bd4e50aef2d91686db03ea">
      <Part Type="punktas" Nr="1" Abbr="1 p." DocPartId="7003a9348ca94019ae4fbe3d43f261d3" PartId="893a1f8386d447c59dab97478ca57585"/>
      <Part Type="punktas" Nr="2" Abbr="2 p." DocPartId="f83ef18b05af47e5811d1aaab7c250ae" PartId="ab7fafffc9da43b4869e38f7aaaa696c"/>
    </Part>
    <Part Type="skyrius" Nr="2" Title="KOMPENSACIJOS APSKAIČIAVIMO TVARKA" DocPartId="f1b7f2a32fd14d769ce38de008dfcd44" PartId="ffae8753b68649f3b0d6759fae2a9697">
      <Part Type="punktas" Nr="3" Abbr="3 p." DocPartId="b28cca2487064b59bb00ef53bc507992" PartId="486177e846224754ae99a1dfd7013be3"/>
      <Part Type="punktas" Nr="4" Abbr="4 p." DocPartId="f3dc0eebc5374feeaae87bd2c40bedbb" PartId="856d7d3b879240c1a6f2eb0af641798a">
        <Part Type="papunktis" Nr="4.1" Abbr="4.1 pp." DocPartId="cc03b9c545d44208b58a043230f9c545" PartId="5646e3788fb24388aff688194e435c80">
          <Part Type="papunktis" Nr="4.1.1" Abbr="4.1.1 pp." DocPartId="300642f557c64df1b9ce803496867baa" PartId="14b86b342073498d9949245e1ffd8b29"/>
          <Part Type="papunktis" Nr="4.1.2" Abbr="4.1.2 pp." DocPartId="467ea0624d3e4cf18d40a04817abc6d0" PartId="c9402839cd5c41609c3ad4e8c6de6760"/>
        </Part>
        <Part Type="papunktis" Nr="4.2" Abbr="4.2 pp." DocPartId="460907f2464341ddaaf311dffe717ef8" PartId="5765605d2f7c45959af8b887f775555a"/>
        <Part Type="papunktis" Nr="4.3" Abbr="4.3 pp." DocPartId="7ae8b5775ba44fb2a6516b3aa2cb07ad" PartId="b13c74e82901432c8802dcd91c2e84e0"/>
        <Part Type="papunktis" Nr="4.4" Abbr="4.4 pp." DocPartId="65153043a8fb4e7abbb4069191362604" PartId="bd3f5794d5334d1486d173c53f4b2321"/>
        <Part Type="papunktis" Nr="4.5" Abbr="4.5 pp." DocPartId="9f1920d03d1e435ba77d2c51fb1eb1fe" PartId="a2639101a546442c9b76fa68629d8277"/>
        <Part Type="papunktis" Nr="4.6" Abbr="4.6 pp." DocPartId="961c398ba8664bc38caf1191440f1a3e" PartId="6add6980b8194b5292af8a9bd31a6037"/>
      </Part>
      <Part Type="punktas" Nr="5" Abbr="5 p." DocPartId="bb050cdfb3bd4f07b832770b9127500f" PartId="bfd2705be2af472db2fc1389b53a8e1f"/>
      <Part Type="punktas" Nr="6" Abbr="6 p." DocPartId="7102015cc17d47caa9fd392f50179bd0" PartId="aa9b9d067c3240a9ae93235a380f51aa"/>
    </Part>
    <Part Type="skyrius" Nr="3" Title="KOMPENSACIJOS IŠMOKĖJIMO TVARKA" DocPartId="cc65da3ed1f946a6a8fcba4553ab4c1b" PartId="7c7eb7da3dcb46d3bd99581556ed628f">
      <Part Type="skirsnis" Nr="1" Title="KOMPENSACIJOS UŽ PRIORITETINĖS SAVIVALDYBĖS INFRASTRUKTŪROS PLĖTRĄ IŠMOKĖJIMO TVARKA" DocPartId="6dc7cc4c9889458682ada3c7b2c8fd2a" PartId="bce7e706eda24f54a5a7087aeebfed84">
        <Part Type="punktas" Nr="7" Abbr="7 p." DocPartId="a5a3003f3f424134bf1445dc8343935b" PartId="9cccca9d3947471bacbe6b85c7422f6a"/>
        <Part Type="punktas" Nr="8" Abbr="8 p." DocPartId="a140bb5b7b7b42b0886e844f0ea8732a" PartId="f5839e9742ef4d8ab20ac687a55bf6be"/>
        <Part Type="punktas" Nr="9" Abbr="9 p." DocPartId="b5b8605678e74dfbb754cb2041b47bfe" PartId="88310b10c01e4b63a008b7a78c44c264">
          <Part Type="papunktis" Nr="9.1" Abbr="9.1 pp." DocPartId="a2757ab0ee424c38b2ddf25ae9bdf7cc" PartId="e3e279e197524d82a56c6956f5e26088"/>
          <Part Type="papunktis" Nr="9.2" Abbr="9.2 pp." DocPartId="07ceea0b9d6c4da0824b4e492bbebade" PartId="e623da4a58ca4e89a9565a1a53bb511f"/>
          <Part Type="papunktis" Nr="9.3" Abbr="9.3 pp." DocPartId="7176aed41fab419db724484d821dca15" PartId="0fcb79508f264481a845d3b08ec2dbdc"/>
          <Part Type="papunktis" Nr="9.4" Abbr="9.4 pp." DocPartId="dde80d9df0b34cdbb31065bd90a1cdd0" PartId="f910e6b11da744f9a1d7185d711a41b1"/>
          <Part Type="papunktis" Nr="9.5" Abbr="9.5 pp." DocPartId="ef3791c1b1074a88ba1816ba61feca1f" PartId="5c24aecc384242e98c46366026fa84a1"/>
        </Part>
        <Part Type="punktas" Nr="10" Abbr="10 p." DocPartId="a6726089c1854ff49f5ee3d0c0d99e5c" PartId="24168ed9443c463bb71aa2e87a8fcb38"/>
        <Part Type="punktas" Nr="11" Abbr="11 p." DocPartId="df524ddcc14b44b2891014f1069d92ac" PartId="4835a6e404e148ce9e52ddfa3274eb65"/>
        <Part Type="punktas" Nr="12" Abbr="12 p." DocPartId="7452974b8f3f4e9a868f871fed1c7426" PartId="fb77d8872b9f49aabf26b13f991f0b9b"/>
        <Part Type="punktas" Nr="13" Abbr="13 p." DocPartId="642fe23d2129452b9b7640b5596c7de0" PartId="467f433769a7462fb043d9e0918ff397"/>
        <Part Type="punktas" Nr="14" Abbr="14 p." DocPartId="837f6117bd6c4551a150f79613265c03" PartId="ce523c860ec74b179b173c8070cc25da"/>
      </Part>
      <Part Type="skirsnis" Nr="2" Title="KOMPENSACIJOS UŽ NEPRIORITETINĖS SAVIVALDYBĖS INFRASTRUKTŪROS PLĖTRĄ IŠMOKĖJIMO TVARKA" DocPartId="6e25c39e45e4411bbc19811dc508da6b" PartId="1212e3762bac44aaac0583343a78e7f5">
        <Part Type="punktas" Nr="15" Abbr="15 p." DocPartId="8c97ba2c4bc74df7bb667ec091d2fb2e" PartId="86d3a9b91fa740fcaaef409401926ba6"/>
        <Part Type="punktas" Nr="16" Abbr="16 p." DocPartId="da260eabe8a94804b0ae42a946ac8e72" PartId="0b5e1e1f27784361a0b5368bf3daed42">
          <Part Type="papunktis" Nr="16.1" Abbr="16.1 pp." DocPartId="a84bbd5a17064f5681ee3c5d3a07b0eb" PartId="6bbca6cf94c841e1b4d776c659f77859"/>
          <Part Type="papunktis" Nr="16.2" Abbr="16.2 pp." DocPartId="764c8bc77b4546eeb76505c2296b9bb5" PartId="fd58047c31634db4acf4fe6b4dd008fe"/>
        </Part>
      </Part>
    </Part>
    <Part Type="pabaiga" DocPartId="3915a8da2840430bb812a937b7a73c6d" PartId="3e1426b1e2464e7aa3d6de5401c09d8a"/>
  </Part>
  <Part Type="patvirtinta" Title="SAVIVALDYBĖS INFRASTRUKTŪROS PLĖTROS ĮMOKOS NUSTATYMO METODIKA" DocPartId="49190deaa8e34ed18ea4e27521dc715b" PartId="23f63cfac5f84ba3a6ef7634a1673297">
    <Part Type="skyrius" Nr="1" Title="BENDROSIOS NUOSTATOS" DocPartId="2faca3477bd046dfaf9068df5aa5859c" PartId="ff8f66367304460f83ffd8566918aa24">
      <Part Type="punktas" Nr="1" Abbr="1 p." DocPartId="719ff4db36bc4ed386a69279ede04276" PartId="c82577d8b96b4b9cbc642be3af149e8f"/>
    </Part>
    <Part Type="skyrius" Nr="2" Title="PRAŠYMŲ DĖL ĮMOKOS APSKAIČIAVIMO NAGRINĖJIMO TVARKA" DocPartId="d2fbfeab524941a5be0c463c2c7a7071" PartId="0d3c4ff55a65492797c39225a6d011bc">
      <Part Type="punktas" Nr="2" Abbr="2 p." DocPartId="6c7f9fad6c6c49af9cd240c8d8972342" PartId="de4fedb13a164c9aad99bf52745f279a"/>
      <Part Type="punktas" Nr="3" Abbr="3 p." DocPartId="7e01fa643cfd46ce96dc8b7ede05e8be" PartId="af3cae37c09445a4ac7e0f1daf5b8d6c">
        <Part Type="papunktis" Nr="3.1" Abbr="3.1 pp." DocPartId="ee5c161681cb49698b3e26fd3936ae0b" PartId="f12637b2e42c4f76ad9b06e5e1874508">
          <Part Type="papunktis" Nr="3.1.1" Abbr="3.1.1 pp." DocPartId="4b0ee020bb264378b621961fee2eab14" PartId="366e252395dd41f59ecb86229f517667"/>
          <Part Type="papunktis" Nr="3.1.2" Abbr="3.1.2 pp." DocPartId="684423282ac442efa3adcf2a73711f9e" PartId="111db28d70a04c07b7b226075d17653b"/>
        </Part>
        <Part Type="papunktis" Nr="3.2" Abbr="3.2 pp." DocPartId="0f81391962b04a2692abc876a4bfc37a" PartId="8395832ff7f04bcc82b526d59411e9c0"/>
        <Part Type="papunktis" Nr="3.3" Abbr="3.3 pp." DocPartId="a877ca9357194bfb8a7303581653a437" PartId="e8c65818f5114dc1b2d29052b2533205"/>
        <Part Type="papunktis" Nr="3.4" Abbr="3.4 pp." DocPartId="3e08d61610f04b458c9578e2e77a4666" PartId="3ff063b49c1e42bfa25a902ef7e8c977"/>
        <Part Type="papunktis" Nr="3.5" Abbr="3.5 pp." DocPartId="b4c39edf4a10445b9733e7ffabc74b86" PartId="27ec5437e2fd4136ba5b410bdff51153"/>
        <Part Type="papunktis" Nr="3.6" Abbr="3.6 pp." DocPartId="5905825d475d40e0be81f57fb1fb4bac" PartId="01bee8ac482e4fc080755b4bd6744e3c"/>
        <Part Type="papunktis" Nr="3.7" Abbr="3.7 pp." DocPartId="35befe9371414e91b1d912371d890b21" PartId="ad8b9432e7414bcdbce71423787f5021"/>
        <Part Type="papunktis" Nr="3.8" Abbr="3.8 pp." DocPartId="d9e6104d9441435ea4d967660b6e77d1" PartId="5b0f6cd6ab1448ae8b715cc14352a892"/>
      </Part>
      <Part Type="punktas" Nr="4" Abbr="4 p." DocPartId="3cfe2a6a4e624f3c8af1e1f26637fa75" PartId="bdf39e88ff8d4facbcc5898c0acc3f85">
        <Part Type="papunktis" Nr="4.1" Abbr="4.1 pp." DocPartId="673d9c6d05d34ac88bb82072f170a1c6" PartId="21ba93c482a043139a25fa18313d7df3"/>
        <Part Type="papunktis" Nr="4.2" Abbr="4.2 pp." DocPartId="aa0dc3b0f28647b99048656a63e61a4b" PartId="0bf356ab9b754fb6a04835d9cf023cb7"/>
        <Part Type="papunktis" Nr="4.3" Abbr="4.3 pp." DocPartId="62cbd48b0feb4fec90c87318805f0a88" PartId="eb73fb5fe4ac47e2ba2266e87ec6768f"/>
        <Part Type="papunktis" Nr="4.4" Abbr="4.4 pp." DocPartId="b34e268c7e5c4e6d937b014bc9595074" PartId="f8db44ed2fd74bb0ad0a580bf334efe2"/>
        <Part Type="papunktis" Nr="4.5" Abbr="4.5 pp." DocPartId="81ffbf9698f641b5a4f5a15b108e49a4" PartId="3e4a1c7929734d8aab05ede87850146e"/>
        <Part Type="papunktis" Nr="4.6" Abbr="4.6 pp." DocPartId="8c87592d1dbe4d069647f3ca176c8415" PartId="9c9bd467bc984548a23bd6a234cfee47"/>
      </Part>
      <Part Type="punktas" Nr="5" Abbr="5 p." DocPartId="67c4abd047024532a38843bed4aacfc0" PartId="4ff04d408e6f41079cd82b90f758aef3"/>
      <Part Type="punktas" Nr="6" Abbr="6 p." DocPartId="52187a200bea49ef962217afffee9b08" PartId="5e216347ac884631bb23b239cd269fc9"/>
      <Part Type="punktas" Nr="7" Abbr="7 p." DocPartId="74ccfb09651944d584ca3b08c23be8f3" PartId="9258af601862490c9347aa7634dd297d"/>
    </Part>
    <Part Type="skyrius" Nr="3" Title="ĮMOKOS APSKAIČIAVIMO TVARKA" DocPartId="a3da988722c54d33bf21102ba5435dcd" PartId="030291f7f5da4d80ae853426042a8ca4">
      <Part Type="skirsnis" Nr="1" Title="„PIRMASIS SKIRSNIS ĮMOKOS APSKAIČIAVIMO TVARKA, KAI NESUDAROMA SAVIVALDYBĖS INFRASTRUKTŪROS PLĖTROS SUTARTIS“." DocPartId="88d384c233d04fae968f223f1fbf9b8f" PartId="0ced8f42f2214fac87fe94e01e49b6a5">
        <Part Type="punktas" Nr="8" Abbr="8 p." DocPartId="1aedd14b1a8840829431eeb4521d5f71" PartId="16767077ed684974be48777c03ac1865"/>
        <Part Type="punktas" Nr="9" Abbr="9 p." DocPartId="e5fd1c9300e448058b0423583f54f28b" PartId="297dff0190d34cbeba565abb6e73bd9f"/>
        <Part Type="punktas" Nr="10" Abbr="10 p." DocPartId="8f1b02ab8fdb4790b17cfa99c3d62d3f" PartId="a575e86eb1b645ac95248f81ecc8d0e3"/>
        <Part Type="punktas" Nr="11" Abbr="11 p." DocPartId="70fb655af59b416cbf3516aaa31d6dc5" PartId="5715f868e42d42ca82da5e28bf2db1a9"/>
        <Part Type="punktas" Nr="12" Abbr="12 p." DocPartId="385ffe6c39cf4f73887d234a8fbe5694" PartId="09e535c01c6e4f97892193d25f411fd2"/>
        <Part Type="punktas" Nr="13" Abbr="13 p." DocPartId="04abf7ff11634013b47d40537dbc6c40" PartId="f505c5bc53b3484d96c3dfa087af8529">
          <Part Type="papunktis" Nr="13.1" Abbr="13.1 pp." DocPartId="841cde0c847d4af9810240dd910bc47e" PartId="a63f26edd65944e58488d84597a5060d"/>
          <Part Type="papunktis" Nr="13.2" Abbr="13.2 pp." DocPartId="80fa34809aa643a2890caed8cef07f7d" PartId="3c42def6e5884063b8482c80fa0d16cd"/>
          <Part Type="papunktis" Nr="13.3" Abbr="13.3 pp." DocPartId="703ccf636601420cb16546fb5477bf1b" PartId="b99a9a763273458f80b985566cf50199"/>
          <Part Type="papunktis" Nr="13.4" Abbr="13.4 pp." DocPartId="f450954b9cd341a8853fe3346da77533" PartId="35fe8692c9284f5b956e7059e3a0e296"/>
        </Part>
        <Part Type="punktas" Nr="14" Abbr="14 p." DocPartId="345d47c812a842e598aa40d6c680d929" PartId="5f166a644e4b4d40aa0cbd8277be33fb">
          <Part Type="papunktis" Nr="14.1" Abbr="14.1 pp." DocPartId="5ff8e86f6a194c70bc2873e598f8672a" PartId="63512fc5d62a4cf6a9a33b5e307da232"/>
          <Part Type="papunktis" Nr="14.2" Abbr="14.2 pp." DocPartId="a93a8da101514ed19a4af0f305b659ad" PartId="06a08bb097034d29865f35e89138ea1a"/>
          <Part Type="papunktis" Nr="14.3" Abbr="14.3 pp." DocPartId="fc3c9ac86cae40d59a95aff5a7eb26da" PartId="d621dab1a86b4c64a773cda6344e73d1"/>
          <Part Type="papunktis" Nr="14.4" Abbr="14.4 pp." DocPartId="b9ac88e737f547e08376088a1d9b0eed" PartId="e82bb0d5eaac4bb581019a8f9f801a2c"/>
          <Part Type="papunktis" Nr="14.5" Abbr="14.5 pp." DocPartId="9c8d960e26264c78a148d6f7918f03da" PartId="b109923f98d3439185a339f8c2f2c4da">
            <Part Type="papunktis" Nr="14.5.1" Abbr="14.5.1 pp." DocPartId="f0addf87ba08496aa1a131216e50773a" PartId="aa1d09f3a732478a97be988ff39a11e8"/>
            <Part Type="papunktis" Nr="14.5.2" Abbr="14.5.2 pp." DocPartId="ec8dfd79967e4383803cba00754aabe7" PartId="a205f119efb64ebdab95957ef56603c0"/>
            <Part Type="papunktis" Nr="14.5.3" Abbr="14.5.3 pp." DocPartId="075286eb34874df598dcf117f56b985c" PartId="99e07f70b43d4328a97ce41f8a9e7f8e"/>
            <Part Type="papunktis" Nr="14.5.4" Abbr="14.5.4 pp." DocPartId="d449cc355e2141798638224e2c418eac" PartId="c75118e7332843a389daceda623f4906"/>
            <Part Type="papunktis" Nr="14.5.5" Abbr="14.5.5 pp." DocPartId="ac789aa7c81e4bd7bbd1e8f47301e5af" PartId="3c73bf53b6214e4a8c2943ae0095d3a1"/>
            <Part Type="papunktis" Nr="14.5.6" Abbr="14.5.6 pp." DocPartId="f586ed02fd0c472abeeaae807d4b8dad" PartId="0462a2b0341d4847a28ade8c1bb6376a"/>
            <Part Type="papunktis" Nr="14.5.7" Abbr="14.5.7 pp." DocPartId="cd8c3d4f799f4e53a128ed77d5356b96" PartId="495c654c35c540ffb611ea14820bd4ce"/>
          </Part>
        </Part>
        <Part Type="punktas" Nr="15" Abbr="15 p." DocPartId="19fca19a2f03459bb786f80145ff4bf8" PartId="00fefb44a3104c3793d253f002594abf">
          <Part Type="papunktis" Nr="15.1" Abbr="15.1 pp." DocPartId="aa49e98bab5544e6aef80016c7bd0ec6" PartId="24aec56d48fe44228d034858ad3df792">
            <Part Type="papunktis" Nr="15.1.1" Abbr="15.1.1 pp." DocPartId="e24291564ffe4f7ebc7dfa2fb94182d8" PartId="838a886ce8f54cec8dcea43e560b2f7b"/>
            <Part Type="papunktis" Nr="15.1.2" Abbr="15.1.2 pp." DocPartId="d7797f37479d4fe8b4a05b8e0616f837" PartId="0e6c5f90229d4af996e5a7624c3e52dd">
              <Part Type="papunktis" Nr="15.1.2.1" Abbr="15.1.2.1 pp." DocPartId="9ca2a7789ff74ff3a018eebd43840087" PartId="4db4a8343d6945ce9f8d7e72e49822c1"/>
              <Part Type="papunktis" Nr="15.1.2.2" Abbr="15.1.2.2 pp." DocPartId="39fc431b577d464daf5d2e733fe7325b" PartId="10a594e61d6d488b90471d8e829c9b83"/>
            </Part>
            <Part Type="papunktis" Nr="15.1.3" Abbr="15.1.3 pp." DocPartId="e091f3ae0993404bb8d1c3e66ba045bc" PartId="b0846cde6cef473da28e9595d2120cc4"/>
            <Part Type="papunktis" Nr="15.1.4" Abbr="15.1.4 pp." DocPartId="ec47a1149657425598a1fd798de6b3dd" PartId="110312cfa8f54dedabda38008f26bc82"/>
          </Part>
          <Part Type="papunktis" Nr="15.2" Abbr="15.2 pp." DocPartId="6e45c46ed4a145839cbf3a7084a72bc8" PartId="ce5118804d29412b8b26cb049cf99062">
            <Part Type="papunktis" Nr="15.2.1" Abbr="15.2.1 pp." DocPartId="7fd2bb856286439fa0b6f0048496613a" PartId="1070215fc20b4382b9a80c003311eaac">
              <Part Type="papunktis" Nr="15.2.1.1" Abbr="15.2.1.1 pp." DocPartId="52140cc829594488bd8167371d6f4691" PartId="2586780890f448a182e0562e213d55ab"/>
              <Part Type="papunktis" Nr="15.2.1.2" Abbr="15.2.1.2 pp." DocPartId="fcb9460ca6ad4964a36c98264de687d8" PartId="247a4a72f0e1498eb054d290e48fc2d0"/>
              <Part Type="papunktis" Nr="15.2.1.3" Abbr="15.2.1.3 pp." DocPartId="fbf6becca69a4ddebc0b4ca7073aa016" PartId="391bbc1dc2814ae78f008f6a700eca90"/>
              <Part Type="papunktis" Nr="15.2.1.4" Abbr="15.2.1.4 pp." DocPartId="98a3d7889c9744eeb301a3f81bd5f485" PartId="086c845ee6e34f48b135526f4aa739a1"/>
            </Part>
            <Part Type="papunktis" Nr="15.2.2" Abbr="15.2.2 pp." DocPartId="102807dfb15048d5b06a4e679232f12b" PartId="c9bf0f957996495a9959a821a0a6151c">
              <Part Type="papunktis" Nr="15.2.2.1" Abbr="15.2.2.1 pp." DocPartId="cd30e59923bc454eab17f4d4efdeca20" PartId="2cfefbc009e344fbad589bd6da9f8a6b"/>
              <Part Type="papunktis" Nr="15.2.2.2" Abbr="15.2.2.2 pp." DocPartId="a6c7e3a4c3c049baa4c8c25a52bbb8ec" PartId="ee8d476944174bc2ac3d00b99069c51a"/>
            </Part>
            <Part Type="papunktis" Nr="15.2.3" Abbr="15.2.3 pp." DocPartId="2d6d70db70e049dfa7411df5634e73fb" PartId="c489360621e44e61997bfc59df00d538"/>
            <Part Type="papunktis" Nr="15.2.4" Abbr="15.2.4 pp." DocPartId="61254218d1c64f048801804407c8be22" PartId="2ddc5c823ddc4e07869a3c30e3253f1c">
              <Part Type="papunktis" Nr="15.2.4.1" Abbr="15.2.4.1 pp." DocPartId="1f82eb232f0249d7803cdc0bf6ae1efa" PartId="4e4c67b51fe6451f8c0fef5bc5b3c01a"/>
              <Part Type="papunktis" Nr="15.2.4.2" Abbr="15.2.4.2 pp." DocPartId="76ddb0cc84db4653acaa0cb3217e9374" PartId="ad8f7ee30516428986f19b70f774df5a"/>
            </Part>
            <Part Type="papunktis" Nr="15.2.5" Abbr="15.2.5 pp." DocPartId="04c7b25092f44bee96c0cd7633e6c013" PartId="209193370b1b4372bb7d596657e1a661"/>
            <Part Type="papunktis" Nr="15.2.6" Abbr="15.2.6 pp." DocPartId="6dc1623ff8fd4f389ffcb8d7284f4dc4" PartId="bc2043ace0ea42a4b1192d04a4fb89ac"/>
            <Part Type="papunktis" Nr="15.2.7" Abbr="15.2.7 pp." DocPartId="8c1556b6f8e34ecba40b3112bdb8220f" PartId="f26de1b2132b41328a6189de30208ce1"/>
            <Part Type="papunktis" Nr="15.2.8" Abbr="15.2.8 pp." DocPartId="e62896e8428e4ab0908e281cf3334f46" PartId="9f0eaf25a39047eab3d711e3af47cd3b">
              <Part Type="papunktis" Nr="15.2.8.1" Abbr="15.2.8.1 pp." DocPartId="34da8090b88447698a9ec3f3c34d7b07" PartId="8120a1e996754f63b99df1b54c2d6c45"/>
              <Part Type="papunktis" Nr="15.2.8.2" Abbr="15.2.8.2 pp." DocPartId="7a32416e614c446089837cb31918863c" PartId="18f0db7eb8d6486db25bca33df46dbb1"/>
            </Part>
          </Part>
          <Part Type="papunktis" Nr="15.3" Abbr="15.3 pp." DocPartId="9f61ddd5836e43fb9534dce70a03ea17" PartId="109e0a86129744d9adadc7ad6919d209"/>
        </Part>
        <Part Type="punktas" Nr="16" Abbr="16 p." DocPartId="7967df6704b6436fac93e52f9d950495" PartId="b3ebc9d3547f4e7d9d9b43dd82e2b18d">
          <Part Type="papunktis" Nr="16.1" Abbr="16.1 pp." DocPartId="11853691d59a4a8eaa004a9fd33957ac" PartId="82da2635c11649bd98b0aa49a361b227"/>
          <Part Type="papunktis" Nr="16.2" Abbr="16.2 pp." DocPartId="43cc5acb70a14883825f92fb51aadec4" PartId="66820ab345e947399b2f805a21f53670"/>
          <Part Type="papunktis" Nr="16.3" Abbr="16.3 pp." DocPartId="36cacb1192c64d76b8e73b839bf78fdb" PartId="62296848ae314cccb2d46ca86a9365f7"/>
        </Part>
        <Part Type="punktas" Nr="17" Abbr="17 p." DocPartId="9ad36aee3e8842e8ac4a274af7d656fd" PartId="d971e249d0074ad4bb23ab1f48861588"/>
        <Part Type="punktas" Nr="18" Abbr="18 p." DocPartId="c82d6057e03a45878b9b6d813cd347ad" PartId="a170b5507072421da981f8a8992734f0"/>
        <Part Type="punktas" Nr="19" Abbr="19 p." DocPartId="7fb7d5802a564b179708dbe803fd2d52" PartId="45c099eaafe5496188dd2f0208784a5b">
          <Part Type="papunktis" Nr="19.1" Abbr="19.1 pp." DocPartId="2d156ba940c94f5d86ebe5786d784edc" PartId="a7713dcb6ee34255927354ea4b09b3fb"/>
          <Part Type="papunktis" Nr="19.2" Abbr="19.2 pp." DocPartId="532a49f0411b4922be338b73822ce967" PartId="43ec89d97a724d1381d0ba78ca21008d"/>
          <Part Type="papunktis" Nr="19.3" Abbr="19.3 pp." DocPartId="7c94a0958a8d47af9e781f9cc46e9596" PartId="ed700a12a75345eaa058698183d2a2b4"/>
          <Part Type="papunktis" Nr="19.4" Abbr="19.4 pp." DocPartId="60a49986c94c4d039356ab65765c1682" PartId="f3fddcb9c7554e8ab5c119c3044cf66d"/>
          <Part Type="papunktis" Nr="19.5" Abbr="19.5 pp." DocPartId="3cd3d31cc2834f8d9d9470a6336f60fe" PartId="91a8ab59f5ee42bbbd15fc55775598ca"/>
        </Part>
        <Part Type="punktas" Nr="20" Abbr="20 p." DocPartId="cce585fa2630401a9d4ed21f1cbc9586" PartId="934c54af04cc4e739917a44e56f35f34"/>
        <Part Type="punktas" Nr="21" Abbr="21 p." DocPartId="78b6e3e5db834032888ad221099137f3" PartId="59ff79ed333246d38f58c09385e8ba16"/>
        <Part Type="punktas" Nr="22" Abbr="22 p." DocPartId="1eb7ab4d81c348ae972259f2c7cb4765" PartId="92ab841b03a9448a9e7e3c7243f5c679"/>
      </Part>
      <Part Type="skirsnis" Nr="2" Title="„ANTRASIS SKIRSNIS ĮMOKOS APSKAIČIAVIMO TVARKA, KAI SUDAROMA SAVIVALDYBĖS INFRASTRUKTŪROS PLĖTROS SUTARTIS“." DocPartId="471b7b8456584ce98707713c0024c05d" PartId="98da55b441d64bfe84e9f428f21f7b5e">
        <Part Type="punktas" Nr="23" Abbr="23 p." DocPartId="6467d958fad84ea88cffb06e82e23ff4" PartId="1d91142a404f4c279b9ce7c96e7ef72e"/>
        <Part Type="punktas" Nr="24" Abbr="24 p." DocPartId="4c4a8b1cb2a74e28a0184754171a03ea" PartId="9f5fde370af9436ea41c800c1ae69729"/>
        <Part Type="punktas" Nr="25" Abbr="25 p." DocPartId="d7a046e8e54949e6b7f3e26d6f45899a" PartId="08eee909dad8402095d94c70eac487b9"/>
      </Part>
    </Part>
    <Part Type="skyrius" Nr="4" Title="BAIGIAMOSIOS NUOSTATOS" DocPartId="81367c64cbac4e0e8d96045a70c26022" PartId="b276d1093b14477c9965f74370f3627a">
      <Part Type="punktas" Nr="26" Abbr="26 p." DocPartId="fc513a364177475786b8ed2c60468e83" PartId="6a6e17a25ec045fd992b1899363c9a47"/>
      <Part Type="punktas" Nr="27" Abbr="27 p." DocPartId="629d1bf038fc4743946db7b4b12a7899" PartId="d75891c64f33456b89b50e11ff12590c"/>
    </Part>
    <Part Type="pabaiga" DocPartId="b97bb3a840b3426a801e5f79dc36a0e2" PartId="95655330b4a5481cb938dd426dd29f14"/>
  </Part>
  <Part Type="priedas" Nr="1" Abbr="1 pr." Title="PRAŠYMAS DĖL SAVIVALDYBĖS INFRASTRUKTŪROS PLĖTROS ĮMOKOS APSKAIČIAVIMO" DocPartId="01c0ee752cdd4b9789dacfd53a441bd8" PartId="3c6e233fd24545eaab20c075a08831cb"/>
  <Part Type="priedas" Nr="2" Abbr="2 pr." Title="SAVIVALDYBĖS INFRASTRUKTŪROS PLĖTROS ĮMOKOS APSKAIČIAVIMO AKTAS" DocPartId="e0e3f9e0ca734efcbb8e05a27c2c91b8" PartId="526084bfb7b8486ab6fe7be663f6eabb"/>
</Parts>
</file>

<file path=customXml/itemProps1.xml><?xml version="1.0" encoding="utf-8"?>
<ds:datastoreItem xmlns:ds="http://schemas.openxmlformats.org/officeDocument/2006/customXml" ds:itemID="{F85FCC11-036D-4AF9-9286-738665006FCA}">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996DC5FC-7642-4768-BA0A-A83A2CF8AD4C}">
  <ds:schemaRefs>
    <ds:schemaRef ds:uri="http://schemas.microsoft.com/sharepoint/v3/contenttype/forms"/>
  </ds:schemaRefs>
</ds:datastoreItem>
</file>

<file path=customXml/itemProps3.xml><?xml version="1.0" encoding="utf-8"?>
<ds:datastoreItem xmlns:ds="http://schemas.openxmlformats.org/officeDocument/2006/customXml" ds:itemID="{B3447ED9-53D7-4155-9C41-ECC3D47DE5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32C01D-76CD-4F20-B456-72C4802FCD0F}">
  <ds:schemaRefs>
    <ds:schemaRef ds:uri="http://lrs.lt/TAIS/DocParts"/>
  </ds:schemaRefs>
</ds:datastoreItem>
</file>

<file path=docProps/app.xml><?xml version="1.0" encoding="utf-8"?>
<Properties xmlns="http://schemas.openxmlformats.org/officeDocument/2006/extended-properties">
  <Template>Normal.dotm</Template>
  <TotalTime>12</TotalTime>
  <Pages>18</Pages>
  <Words>5121</Words>
  <Characters>41244</Characters>
  <Application>Microsoft Office Word</Application>
  <DocSecurity>0</DocSecurity>
  <Lines>343</Lines>
  <Paragraphs>92</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46273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2020-12-30T15:09:00Z</dcterms:created>
  <dc:creator>Krusna</dc:creator>
  <lastModifiedBy>TRAPINSKIENĖ Aušrinė</lastModifiedBy>
  <lastPrinted>2017-12-22T09:00:00Z</lastPrinted>
  <dcterms:modified xsi:type="dcterms:W3CDTF">2024-03-09T09:44:00Z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y fmtid="{D5CDD505-2E9C-101B-9397-08002B2CF9AE}" pid="3" name="Order">
    <vt:r8 xmlns:vt="http://schemas.openxmlformats.org/officeDocument/2006/docPropsVTypes">17300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ComplianceAssetId">
    <vt:lpwstr xmlns:vt="http://schemas.openxmlformats.org/officeDocument/2006/docPropsVTypes"/>
  </property>
  <property fmtid="{D5CDD505-2E9C-101B-9397-08002B2CF9AE}" pid="7" name="TemplateUrl">
    <vt:lpwstr xmlns:vt="http://schemas.openxmlformats.org/officeDocument/2006/docPropsVTypes"/>
  </property>
</Properties>
</file>