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stylesWithEffects.xml" ContentType="application/vnd.ms-word.stylesWithEffects+xml"/>
  <Override PartName="/word/glossary/webSettings.xml" ContentType="application/vnd.openxmlformats-officedocument.wordprocessingml.webSetting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17f48cdf7b014c74adf2d88aba890c20"/>
        <w:lock w:val="sdtLocked"/>
        <w:richText/>
      </w:sdtPr>
      <w:sdtContent>
        <w:p>
          <w:pPr>
            <w:jc w:val="both"/>
            <w:rPr>
              <w:rFonts w:ascii="Times New Roman" w:hAnsi="Times New Roman"/>
            </w:rPr>
          </w:pPr>
          <w:r>
            <w:rPr>
              <w:rFonts w:ascii="Times New Roman" w:hAnsi="Times New Roman"/>
              <w:b/>
              <w:i/>
            </w:rPr>
            <w:t>Suvestinė redakcija nuo 2019-03-27 iki 2020-10-15</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TAR 2018-06-11, i. k. 2018-09731</w:t>
          </w:r>
        </w:p>
        <w:p>
          <w:pPr>
            <w:jc w:val="both"/>
            <w:rPr>
              <w:rFonts w:ascii="Times New Roman" w:hAnsi="Times New Roman"/>
              <w:sz w:val="20"/>
            </w:rPr>
          </w:pPr>
        </w:p>
        <w:p>
          <w:pPr>
            <w:jc w:val="center"/>
            <w:rPr>
              <w:lang w:eastAsia="lt-LT"/>
            </w:rPr>
          </w:pPr>
        </w:p>
        <w:p>
          <w:pPr>
            <w:jc w:val="center"/>
            <w:rPr>
              <w:lang w:eastAsia="lt-LT"/>
            </w:rPr>
          </w:pPr>
          <w:r>
            <w:rPr>
              <w:rFonts w:ascii="Arial" w:hAnsi="Arial" w:cs="Arial"/>
              <w:lang w:eastAsia="lt-LT"/>
            </w:rPr>
            <w:drawing>
              <wp:inline distT="0" distB="0" distL="0" distR="0">
                <wp:extent cx="542925" cy="514350"/>
                <wp:effectExtent l="0" t="0" r="952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42925" cy="514350"/>
                        </a:xfrm>
                        <a:prstGeom prst="rect">
                          <a:avLst/>
                        </a:prstGeom>
                        <a:noFill/>
                        <a:ln>
                          <a:noFill/>
                        </a:ln>
                      </pic:spPr>
                    </pic:pic>
                  </a:graphicData>
                </a:graphic>
              </wp:inline>
            </w:drawing>
          </w:r>
        </w:p>
        <w:p>
          <w:pPr>
            <w:rPr>
              <w:sz w:val="10"/>
              <w:szCs w:val="10"/>
            </w:rPr>
          </w:pPr>
        </w:p>
        <w:p>
          <w:pPr>
            <w:keepNext/>
            <w:jc w:val="center"/>
            <w:rPr>
              <w:rFonts w:ascii="Arial" w:hAnsi="Arial" w:cs="Arial"/>
              <w:caps/>
              <w:sz w:val="36"/>
              <w:lang w:eastAsia="lt-LT"/>
            </w:rPr>
          </w:pPr>
          <w:r>
            <w:rPr>
              <w:rFonts w:ascii="Arial" w:hAnsi="Arial" w:cs="Arial"/>
              <w:caps/>
              <w:sz w:val="36"/>
              <w:lang w:eastAsia="lt-LT"/>
            </w:rPr>
            <w:t>Lietuvos Respublikos Vyriausybė</w:t>
          </w:r>
        </w:p>
        <w:p>
          <w:pPr>
            <w:jc w:val="center"/>
            <w:rPr>
              <w:caps/>
              <w:lang w:eastAsia="lt-LT"/>
            </w:rPr>
          </w:pPr>
        </w:p>
        <w:p>
          <w:pPr>
            <w:jc w:val="center"/>
            <w:rPr>
              <w:b/>
              <w:caps/>
              <w:lang w:eastAsia="lt-LT"/>
            </w:rPr>
          </w:pPr>
          <w:r>
            <w:rPr>
              <w:b/>
              <w:caps/>
              <w:lang w:eastAsia="lt-LT"/>
            </w:rPr>
            <w:t>nutarimas</w:t>
          </w:r>
        </w:p>
        <w:p>
          <w:pPr>
            <w:widowControl w:val="0"/>
            <w:jc w:val="center"/>
            <w:rPr>
              <w:b/>
              <w:caps/>
              <w:lang w:eastAsia="lt-LT"/>
            </w:rPr>
          </w:pPr>
          <w:r>
            <w:rPr>
              <w:b/>
              <w:caps/>
              <w:szCs w:val="24"/>
            </w:rPr>
            <w:t>Dėl KONKREČIŲ nacionaliniam saugumui užtikrinti svarbių įrenginių ir turto sąrašO PATVIRTINIMO</w:t>
          </w:r>
        </w:p>
        <w:p>
          <w:pPr>
            <w:tabs>
              <w:tab w:val="center" w:pos="4153"/>
              <w:tab w:val="right" w:pos="8306"/>
            </w:tabs>
            <w:rPr>
              <w:lang w:eastAsia="lt-LT"/>
            </w:rPr>
          </w:pPr>
        </w:p>
        <w:p>
          <w:pPr>
            <w:ind w:firstLine="62"/>
            <w:jc w:val="center"/>
            <w:rPr>
              <w:lang w:eastAsia="lt-LT"/>
            </w:rPr>
          </w:pPr>
          <w:r>
            <w:rPr>
              <w:lang w:eastAsia="lt-LT"/>
            </w:rPr>
            <w:t>2018 m. birželio 6 d.Nr. 558</w:t>
          </w:r>
        </w:p>
        <w:p>
          <w:pPr>
            <w:jc w:val="center"/>
            <w:rPr>
              <w:lang w:eastAsia="lt-LT"/>
            </w:rPr>
          </w:pPr>
          <w:r>
            <w:rPr>
              <w:lang w:eastAsia="lt-LT"/>
            </w:rPr>
            <w:t>Vilnius</w:t>
          </w:r>
        </w:p>
        <w:p>
          <w:pPr>
            <w:jc w:val="center"/>
            <w:rPr>
              <w:lang w:eastAsia="lt-LT"/>
            </w:rPr>
          </w:pPr>
        </w:p>
        <w:p>
          <w:pPr>
            <w:jc w:val="center"/>
            <w:rPr>
              <w:lang w:eastAsia="lt-LT"/>
            </w:rPr>
          </w:pPr>
        </w:p>
        <w:sdt>
          <w:sdtPr>
            <w:alias w:val="preambule"/>
            <w:tag w:val="part_beb011ac78cd431c85688bf50aabd168"/>
            <w:lock w:val="sdtLocked"/>
            <w:richText/>
          </w:sdtPr>
          <w:sdtContent>
            <w:p>
              <w:pPr>
                <w:tabs>
                  <w:tab w:val="left" w:pos="1296"/>
                  <w:tab w:val="center" w:pos="4819"/>
                  <w:tab w:val="right" w:pos="9638"/>
                </w:tabs>
                <w:spacing w:line="360" w:lineRule="auto"/>
                <w:ind w:firstLine="720"/>
                <w:jc w:val="both"/>
                <w:rPr>
                  <w:rFonts w:eastAsia="Calibri"/>
                  <w:szCs w:val="24"/>
                </w:rPr>
              </w:pPr>
              <w:r>
                <w:rPr>
                  <w:szCs w:val="24"/>
                </w:rPr>
                <w:t>Vadovaudamasi Lietuvos Respublikos nacionaliniam saugumui užtikrinti svarbių objektų apsaugos įstatymo 3 straipsnio 4 dalimi, Lietuvos Respublikos Vyriausybė</w:t>
              </w:r>
              <w:r>
                <w:rPr>
                  <w:spacing w:val="80"/>
                  <w:szCs w:val="24"/>
                </w:rPr>
                <w:t xml:space="preserve"> </w:t>
              </w:r>
              <w:r>
                <w:rPr>
                  <w:rFonts w:eastAsia="Calibri"/>
                  <w:spacing w:val="100"/>
                  <w:szCs w:val="24"/>
                </w:rPr>
                <w:t>nutari</w:t>
              </w:r>
              <w:r>
                <w:rPr>
                  <w:rFonts w:eastAsia="Calibri"/>
                  <w:szCs w:val="24"/>
                </w:rPr>
                <w:t>a:</w:t>
              </w:r>
            </w:p>
          </w:sdtContent>
        </w:sdt>
        <w:sdt>
          <w:sdtPr>
            <w:alias w:val="pastraipa"/>
            <w:tag w:val="part_53308ee4e54c4d7d964ecb38057b3f6a"/>
            <w:lock w:val="sdtLocked"/>
            <w:richText/>
          </w:sdtPr>
          <w:sdtContent>
            <w:p>
              <w:pPr>
                <w:spacing w:line="360" w:lineRule="auto"/>
                <w:ind w:right="-1" w:firstLine="709"/>
                <w:jc w:val="both"/>
                <w:rPr>
                  <w:lang w:eastAsia="lt-LT"/>
                </w:rPr>
              </w:pPr>
              <w:r>
                <w:rPr>
                  <w:szCs w:val="24"/>
                </w:rPr>
                <w:t>Patvirtinti Konkrečių nacionaliniam saugumui užtikrinti svarbių įrenginių ir turto sąrašą (pridedama).</w:t>
              </w:r>
            </w:p>
          </w:sdtContent>
        </w:sdt>
        <w:sdt>
          <w:sdtPr>
            <w:alias w:val="signatura"/>
            <w:tag w:val="part_4b25f0ac30e945bf80b4829fd7a3eed2"/>
            <w:lock w:val="sdtLocked"/>
            <w:richText/>
          </w:sdtPr>
          <w:sdtContent>
            <w:p>
              <w:pPr>
                <w:tabs>
                  <w:tab w:val="center" w:pos="-7800"/>
                  <w:tab w:val="center" w:pos="4153"/>
                  <w:tab w:val="left" w:pos="6237"/>
                  <w:tab w:val="right" w:pos="8306"/>
                </w:tabs>
              </w:pPr>
            </w:p>
            <w:p>
              <w:pPr>
                <w:tabs>
                  <w:tab w:val="center" w:pos="-7800"/>
                  <w:tab w:val="center" w:pos="4153"/>
                  <w:tab w:val="left" w:pos="6237"/>
                  <w:tab w:val="right" w:pos="8306"/>
                </w:tabs>
              </w:pPr>
            </w:p>
            <w:p>
              <w:pPr>
                <w:tabs>
                  <w:tab w:val="center" w:pos="-7800"/>
                  <w:tab w:val="center" w:pos="4153"/>
                  <w:tab w:val="left" w:pos="6237"/>
                  <w:tab w:val="right" w:pos="8306"/>
                </w:tabs>
              </w:pPr>
            </w:p>
            <w:p>
              <w:pPr>
                <w:tabs>
                  <w:tab w:val="center" w:pos="-7800"/>
                  <w:tab w:val="center" w:pos="4153"/>
                  <w:tab w:val="left" w:pos="6237"/>
                  <w:tab w:val="right" w:pos="8306"/>
                </w:tabs>
                <w:rPr>
                  <w:lang w:eastAsia="lt-LT"/>
                </w:rPr>
              </w:pPr>
              <w:r>
                <w:rPr>
                  <w:lang w:eastAsia="lt-LT"/>
                </w:rPr>
                <w:t xml:space="preserve">Ministras Pirmininkas </w:t>
              </w:r>
              <w:r>
                <w:rPr>
                  <w:lang w:val="en-US" w:eastAsia="lt-LT"/>
                </w:rPr>
                <w:tab/>
                <w:tab/>
                <w:tab/>
                <w:t xml:space="preserve">                 Saulius Skvernelis</w:t>
              </w:r>
            </w:p>
            <w:p>
              <w:pPr>
                <w:tabs>
                  <w:tab w:val="center" w:pos="-7800"/>
                  <w:tab w:val="left" w:pos="6237"/>
                  <w:tab w:val="right" w:pos="8306"/>
                </w:tabs>
                <w:rPr>
                  <w:lang w:eastAsia="lt-LT"/>
                </w:rPr>
              </w:pPr>
            </w:p>
            <w:p>
              <w:pPr>
                <w:tabs>
                  <w:tab w:val="center" w:pos="-7800"/>
                  <w:tab w:val="left" w:pos="6237"/>
                  <w:tab w:val="right" w:pos="8306"/>
                </w:tabs>
                <w:rPr>
                  <w:lang w:eastAsia="lt-LT"/>
                </w:rPr>
              </w:pPr>
            </w:p>
            <w:p>
              <w:pPr>
                <w:tabs>
                  <w:tab w:val="center" w:pos="-7800"/>
                  <w:tab w:val="center" w:pos="4153"/>
                  <w:tab w:val="left" w:pos="6237"/>
                  <w:tab w:val="right" w:pos="8306"/>
                </w:tabs>
                <w:rPr>
                  <w:lang w:val="en-US" w:eastAsia="lt-LT"/>
                </w:rPr>
              </w:pPr>
              <w:r>
                <w:rPr>
                  <w:lang w:eastAsia="lt-LT"/>
                </w:rPr>
                <w:t>Teisingumo ministras,</w:t>
              </w:r>
            </w:p>
            <w:p>
              <w:pPr>
                <w:tabs>
                  <w:tab w:val="center" w:pos="-7800"/>
                  <w:tab w:val="left" w:pos="6237"/>
                  <w:tab w:val="right" w:pos="8306"/>
                </w:tabs>
                <w:rPr>
                  <w:lang w:eastAsia="lt-LT"/>
                </w:rPr>
              </w:pPr>
              <w:r>
                <w:rPr>
                  <w:lang w:eastAsia="lt-LT"/>
                </w:rPr>
                <w:t>pavaduojantis ūkio ministrą</w:t>
                <w:tab/>
                <w:t xml:space="preserve">               Elvinas Jankevičius</w:t>
              </w:r>
            </w:p>
          </w:sdtContent>
        </w:sdt>
      </w:sdtContent>
    </w:sdt>
    <w:sdt>
      <w:sdtPr>
        <w:alias w:val="patvirtinta"/>
        <w:tag w:val="part_08aac1ae416c4f84b28c25f37af3f13c"/>
        <w:lock w:val="sdtLocked"/>
        <w:richText/>
      </w:sdtPr>
      <w:sdtContent>
        <w:p>
          <w:pPr>
            <w:tabs>
              <w:tab w:val="center" w:pos="-7800"/>
              <w:tab w:val="left" w:pos="6237"/>
              <w:tab w:val="right" w:pos="8306"/>
            </w:tabs>
            <w:rPr>
              <w:lang w:eastAsia="lt-LT"/>
            </w:rPr>
          </w:pPr>
        </w:p>
        <w:p>
          <w:pPr>
            <w:tabs>
              <w:tab w:val="center" w:pos="-7800"/>
              <w:tab w:val="left" w:pos="6237"/>
              <w:tab w:val="right" w:pos="8306"/>
            </w:tabs>
            <w:rPr>
              <w:lang w:eastAsia="lt-LT"/>
            </w:rPr>
          </w:pPr>
        </w:p>
        <w:p>
          <w:pPr>
            <w:ind w:firstLine="9923"/>
            <w:rPr>
              <w:szCs w:val="24"/>
            </w:rPr>
            <w:sectPr>
              <w:headerReference w:type="even" r:id="rId16"/>
              <w:headerReference w:type="default" r:id="rId17"/>
              <w:footerReference w:type="even" r:id="rId18"/>
              <w:footerReference w:type="default" r:id="rId19"/>
              <w:headerReference w:type="first" r:id="rId20"/>
              <w:footerReference w:type="first" r:id="rId21"/>
              <w:pgSz w:w="11906" w:h="16838" w:code="9"/>
              <w:pgMar w:top="1134" w:right="1134" w:bottom="1134" w:left="1701" w:header="567" w:footer="567" w:gutter="0"/>
              <w:cols w:space="1296"/>
              <w:titlePg/>
            </w:sectPr>
          </w:pPr>
        </w:p>
        <w:p>
          <w:pPr>
            <w:ind w:left="9923"/>
            <w:rPr>
              <w:szCs w:val="24"/>
            </w:rPr>
          </w:pPr>
          <w:r>
            <w:rPr>
              <w:szCs w:val="24"/>
              <w:lang w:eastAsia="ar-SA"/>
            </w:rPr>
            <w:t>PATVIRTINTA</w:t>
            <w:br/>
            <w:t>Lietuvos Respublikos Vyriausybės</w:t>
            <w:br/>
          </w:r>
          <w:r>
            <w:rPr>
              <w:szCs w:val="24"/>
            </w:rPr>
            <w:t xml:space="preserve">2018 m. birželio 6 d. </w:t>
          </w:r>
          <w:r>
            <w:rPr>
              <w:szCs w:val="24"/>
              <w:lang w:eastAsia="ar-SA"/>
            </w:rPr>
            <w:t xml:space="preserve">nutarimu </w:t>
          </w:r>
          <w:r>
            <w:rPr>
              <w:szCs w:val="24"/>
            </w:rPr>
            <w:t>Nr.</w:t>
          </w:r>
          <w:r>
            <w:t xml:space="preserve"> 558</w:t>
          </w:r>
        </w:p>
        <w:p>
          <w:pPr>
            <w:rPr>
              <w:szCs w:val="24"/>
            </w:rPr>
          </w:pPr>
        </w:p>
        <w:p>
          <w:pPr>
            <w:rPr>
              <w:szCs w:val="24"/>
            </w:rPr>
          </w:pPr>
        </w:p>
        <w:p>
          <w:pPr>
            <w:jc w:val="center"/>
            <w:rPr>
              <w:b/>
              <w:szCs w:val="24"/>
            </w:rPr>
          </w:pPr>
          <w:r>
            <w:rPr>
              <w:b/>
              <w:szCs w:val="24"/>
            </w:rPr>
            <w:t>KONKREČIŲ NACIONALINIAM SAUGUMUI UŽTIKRINTI SVARBIŲ ĮRENGINIŲ IR TURTO SĄRAŠAS</w:t>
          </w:r>
        </w:p>
        <w:p>
          <w:pPr>
            <w:jc w:val="center"/>
            <w:rPr>
              <w:b/>
              <w:szCs w:val="24"/>
            </w:rPr>
          </w:pPr>
        </w:p>
        <w:tbl>
          <w:tblPr>
            <w:tblStyle w:val="Lentelstinklelis"/>
            <w:tblW w:w="14992" w:type="dxa"/>
            <w:tblInd w:w="0" w:type="dxa"/>
            <w:tblLook w:val="04A0" w:firstRow="1" w:lastRow="0" w:firstColumn="1" w:lastColumn="0" w:noHBand="0" w:noVBand="1"/>
          </w:tblPr>
          <w:tblGrid>
            <w:gridCol w:w="696"/>
            <w:gridCol w:w="4657"/>
            <w:gridCol w:w="9639"/>
          </w:tblGrid>
          <w:tr>
            <w:trPr>
              <w:tblHeader/>
            </w:trPr>
            <w:tc>
              <w:tcPr>
                <w:tcW w:w="696" w:type="dxa"/>
                <w:tcBorders>
                  <w:top w:val="single" w:sz="4" w:space="0" w:color="auto"/>
                  <w:left w:val="single" w:sz="4" w:space="0" w:color="auto"/>
                  <w:bottom w:val="single" w:sz="4" w:space="0" w:color="auto"/>
                  <w:right w:val="single" w:sz="4" w:space="0" w:color="auto"/>
                </w:tcBorders>
                <w:hideMark/>
              </w:tcPr>
              <w:p>
                <w:pPr>
                  <w:jc w:val="center"/>
                  <w:rPr>
                    <w:rFonts w:ascii="Times New Roman" w:hAnsi="Times New Roman" w:cs="Times New Roman"/>
                    <w:sz w:val="24"/>
                    <w:szCs w:val="24"/>
                  </w:rPr>
                </w:pPr>
                <w:r>
                  <w:rPr>
                    <w:rFonts w:ascii="Times New Roman" w:hAnsi="Times New Roman" w:cs="Times New Roman"/>
                    <w:sz w:val="24"/>
                    <w:szCs w:val="24"/>
                  </w:rPr>
                  <w:t>Eil.</w:t>
                </w:r>
              </w:p>
              <w:p>
                <w:pPr>
                  <w:jc w:val="center"/>
                  <w:rPr>
                    <w:rFonts w:ascii="Times New Roman" w:hAnsi="Times New Roman" w:cs="Times New Roman"/>
                    <w:sz w:val="24"/>
                    <w:szCs w:val="24"/>
                  </w:rPr>
                </w:pPr>
                <w:r>
                  <w:rPr>
                    <w:rFonts w:ascii="Times New Roman" w:hAnsi="Times New Roman" w:cs="Times New Roman"/>
                    <w:sz w:val="24"/>
                    <w:szCs w:val="24"/>
                  </w:rPr>
                  <w:t>Nr.</w:t>
                </w:r>
              </w:p>
            </w:tc>
            <w:tc>
              <w:tcPr>
                <w:tcW w:w="4657" w:type="dxa"/>
                <w:tcBorders>
                  <w:top w:val="single" w:sz="4" w:space="0" w:color="auto"/>
                  <w:left w:val="single" w:sz="4" w:space="0" w:color="auto"/>
                  <w:bottom w:val="single" w:sz="4" w:space="0" w:color="auto"/>
                  <w:right w:val="single" w:sz="4" w:space="0" w:color="auto"/>
                </w:tcBorders>
                <w:hideMark/>
              </w:tcPr>
              <w:p>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Įrenginiai ir turtas pagal Lietuvos Respublikos nacionaliniam saugumui užtikrinti svarbių objektų apsaugos įstatymo 4 priede pateiktą Nacionaliniam saugumui užtikrinti svarbių įrenginių ir turto sąrašą</w:t>
                </w:r>
              </w:p>
            </w:tc>
            <w:tc>
              <w:tcPr>
                <w:tcW w:w="9639" w:type="dxa"/>
                <w:tcBorders>
                  <w:top w:val="single" w:sz="4" w:space="0" w:color="auto"/>
                  <w:left w:val="single" w:sz="4" w:space="0" w:color="auto"/>
                  <w:bottom w:val="single" w:sz="4" w:space="0" w:color="auto"/>
                  <w:right w:val="single" w:sz="4" w:space="0" w:color="auto"/>
                </w:tcBorders>
              </w:tcPr>
              <w:p>
                <w:pPr>
                  <w:jc w:val="center"/>
                  <w:rPr>
                    <w:rFonts w:ascii="Times New Roman" w:hAnsi="Times New Roman" w:cs="Times New Roman"/>
                    <w:sz w:val="24"/>
                    <w:szCs w:val="24"/>
                  </w:rPr>
                </w:pPr>
              </w:p>
              <w:p>
                <w:pPr>
                  <w:jc w:val="center"/>
                  <w:rPr>
                    <w:rFonts w:ascii="Times New Roman" w:hAnsi="Times New Roman" w:cs="Times New Roman"/>
                    <w:sz w:val="24"/>
                    <w:szCs w:val="24"/>
                  </w:rPr>
                </w:pPr>
              </w:p>
              <w:p>
                <w:pPr>
                  <w:jc w:val="center"/>
                  <w:rPr>
                    <w:rFonts w:ascii="Times New Roman" w:hAnsi="Times New Roman" w:cs="Times New Roman"/>
                    <w:sz w:val="24"/>
                    <w:szCs w:val="24"/>
                  </w:rPr>
                </w:pPr>
                <w:r>
                  <w:rPr>
                    <w:rFonts w:ascii="Times New Roman" w:hAnsi="Times New Roman" w:cs="Times New Roman"/>
                    <w:sz w:val="24"/>
                    <w:szCs w:val="24"/>
                  </w:rPr>
                  <w:t xml:space="preserve">Konkretūs nacionaliniam saugumui užtikrinti svarbūs įrenginiai ir turtas </w:t>
                </w:r>
              </w:p>
            </w:tc>
          </w:tr>
          <w:tr>
            <w:tc>
              <w:tcPr>
                <w:tcW w:w="696" w:type="dxa"/>
                <w:vMerge w:val="restart"/>
                <w:tcBorders>
                  <w:top w:val="single" w:sz="4" w:space="0" w:color="auto"/>
                  <w:left w:val="single" w:sz="4" w:space="0" w:color="auto"/>
                  <w:bottom w:val="single" w:sz="4" w:space="0" w:color="auto"/>
                  <w:right w:val="single" w:sz="4" w:space="0" w:color="auto"/>
                </w:tcBorders>
              </w:tcPr>
              <w:p>
                <w:pPr>
                  <w:rPr>
                    <w:rFonts w:ascii="Times New Roman" w:hAnsi="Times New Roman" w:cs="Times New Roman"/>
                    <w:sz w:val="24"/>
                    <w:szCs w:val="24"/>
                  </w:rPr>
                </w:pPr>
              </w:p>
              <w:p>
                <w:pPr>
                  <w:rPr>
                    <w:rFonts w:ascii="Times New Roman" w:hAnsi="Times New Roman" w:cs="Times New Roman"/>
                    <w:sz w:val="24"/>
                    <w:szCs w:val="24"/>
                  </w:rPr>
                </w:pPr>
                <w:r>
                  <w:rPr>
                    <w:rFonts w:ascii="Times New Roman" w:hAnsi="Times New Roman" w:cs="Times New Roman"/>
                    <w:sz w:val="24"/>
                    <w:szCs w:val="24"/>
                  </w:rPr>
                  <w:t>1.</w:t>
                </w:r>
              </w:p>
            </w:tc>
            <w:tc>
              <w:tcPr>
                <w:tcW w:w="14296" w:type="dxa"/>
                <w:gridSpan w:val="2"/>
                <w:tcBorders>
                  <w:top w:val="single" w:sz="4" w:space="0" w:color="auto"/>
                  <w:left w:val="single" w:sz="4" w:space="0" w:color="auto"/>
                  <w:bottom w:val="single" w:sz="4" w:space="0" w:color="auto"/>
                  <w:right w:val="single" w:sz="4" w:space="0" w:color="auto"/>
                </w:tcBorders>
              </w:tcPr>
              <w:p>
                <w:pPr>
                  <w:jc w:val="center"/>
                  <w:rPr>
                    <w:rFonts w:ascii="Times New Roman" w:hAnsi="Times New Roman" w:cs="Times New Roman"/>
                    <w:sz w:val="24"/>
                    <w:szCs w:val="24"/>
                  </w:rPr>
                </w:pPr>
              </w:p>
              <w:p>
                <w:pPr>
                  <w:jc w:val="center"/>
                  <w:rPr>
                    <w:rFonts w:ascii="Times New Roman" w:hAnsi="Times New Roman" w:cs="Times New Roman"/>
                    <w:sz w:val="24"/>
                    <w:szCs w:val="24"/>
                  </w:rPr>
                </w:pPr>
                <w:r>
                  <w:rPr>
                    <w:rFonts w:ascii="Times New Roman" w:hAnsi="Times New Roman" w:cs="Times New Roman"/>
                    <w:sz w:val="24"/>
                    <w:szCs w:val="24"/>
                  </w:rPr>
                  <w:t>Nacionaliniam saugumui užtikrinti strateginę reikšmę turinti infrastruktūra</w:t>
                </w:r>
              </w:p>
              <w:p>
                <w:pPr>
                  <w:jc w:val="center"/>
                  <w:rPr>
                    <w:rFonts w:ascii="Times New Roman" w:hAnsi="Times New Roman" w:cs="Times New Roman"/>
                    <w:sz w:val="24"/>
                    <w:szCs w:val="24"/>
                  </w:rPr>
                </w:pP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4657" w:type="dxa"/>
                <w:vMerge w:val="restart"/>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rPr>
                </w:pPr>
                <w:r>
                  <w:rPr>
                    <w:rFonts w:ascii="Times New Roman" w:hAnsi="Times New Roman" w:cs="Times New Roman"/>
                    <w:sz w:val="24"/>
                    <w:szCs w:val="24"/>
                  </w:rPr>
                  <w:t>1.1. Branduolinės energetikos objektai, išskyrus Maišiagalos radioaktyviųjų atliekų saugyklą</w:t>
                </w:r>
              </w:p>
            </w:tc>
            <w:tc>
              <w:tcPr>
                <w:tcW w:w="9639" w:type="dxa"/>
                <w:tcBorders>
                  <w:top w:val="single" w:sz="4" w:space="0" w:color="auto"/>
                  <w:left w:val="single" w:sz="4" w:space="0" w:color="auto"/>
                  <w:bottom w:val="single" w:sz="4" w:space="0" w:color="auto"/>
                  <w:right w:val="single" w:sz="4" w:space="0" w:color="auto"/>
                </w:tcBorders>
                <w:hideMark/>
              </w:tcPr>
              <w:p>
                <w:pPr>
                  <w:pStyle w:val="Sraopastraipa"/>
                  <w:spacing w:after="0" w:line="240" w:lineRule="auto"/>
                  <w:ind w:left="0"/>
                  <w:jc w:val="both"/>
                  <w:rPr>
                    <w:rFonts w:ascii="Times New Roman" w:hAnsi="Times New Roman"/>
                    <w:i/>
                    <w:iCs/>
                    <w:sz w:val="24"/>
                    <w:szCs w:val="24"/>
                  </w:rPr>
                </w:pPr>
                <w:r>
                  <w:rPr>
                    <w:rFonts w:ascii="Times New Roman" w:hAnsi="Times New Roman"/>
                    <w:sz w:val="24"/>
                    <w:szCs w:val="24"/>
                  </w:rPr>
                  <w:t>1.1.1. Ignalinos atominės elektrinės pirmasis energijos blokas, esantis adresu Visagino sav., Drūkšinių k., Elektrinės g. 4 K38 (BEO eksploatavimo licencija Nr. 12/99)</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pStyle w:val="Sraopastraipa"/>
                  <w:spacing w:after="0" w:line="240" w:lineRule="auto"/>
                  <w:ind w:left="0"/>
                  <w:jc w:val="both"/>
                  <w:rPr>
                    <w:rFonts w:ascii="Times New Roman" w:hAnsi="Times New Roman"/>
                    <w:sz w:val="24"/>
                    <w:szCs w:val="24"/>
                  </w:rPr>
                </w:pPr>
                <w:r>
                  <w:rPr>
                    <w:rFonts w:ascii="Times New Roman" w:hAnsi="Times New Roman"/>
                    <w:sz w:val="24"/>
                    <w:szCs w:val="24"/>
                  </w:rPr>
                  <w:t>1.1.2. Ignalinos atominės elektrinės antrasis energijos blokas (su keletu bendrų objektų, skirtų radioaktyviųjų atliekų tvarkymui ir saugojimui), esantis adresu Visagino sav., Drūkšinių k., Elektrinės g. 4 K40 (BEO eksploatavimo licencija Nr. 2/2004)</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pStyle w:val="Sraopastraipa"/>
                  <w:spacing w:after="0" w:line="240" w:lineRule="auto"/>
                  <w:ind w:left="0"/>
                  <w:jc w:val="both"/>
                  <w:rPr>
                    <w:rFonts w:ascii="Times New Roman" w:hAnsi="Times New Roman"/>
                    <w:sz w:val="24"/>
                    <w:szCs w:val="24"/>
                  </w:rPr>
                </w:pPr>
                <w:r>
                  <w:rPr>
                    <w:rFonts w:ascii="Times New Roman" w:hAnsi="Times New Roman"/>
                    <w:sz w:val="24"/>
                    <w:szCs w:val="24"/>
                  </w:rPr>
                  <w:t>1.1.3. Sauso tipo tarpinio saugojimo panaudoto branduolinio kuro saugykla,  esanti adresu Visagino sav., Drūkšinių k., Grikiniškės g. 4 (BEO eksploatavimo licencija Nr. 3/2000(P))</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pStyle w:val="Sraopastraipa"/>
                  <w:spacing w:after="0" w:line="240" w:lineRule="auto"/>
                  <w:ind w:left="0"/>
                  <w:jc w:val="both"/>
                  <w:rPr>
                    <w:rFonts w:ascii="Times New Roman" w:hAnsi="Times New Roman"/>
                    <w:sz w:val="24"/>
                    <w:szCs w:val="24"/>
                  </w:rPr>
                </w:pPr>
                <w:r>
                  <w:rPr>
                    <w:rFonts w:ascii="Times New Roman" w:hAnsi="Times New Roman"/>
                    <w:sz w:val="24"/>
                    <w:szCs w:val="24"/>
                  </w:rPr>
                  <w:t>1.1.4. Sucementuotų skystųjų radioaktyviųjų atliekų saugykla, esanti adresu Visagino sav., Drūkšinių k., Elektrinės g. 4 K21 (BEO eksploatavimo licencija Nr. 1/2006)</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pStyle w:val="Sraopastraipa"/>
                  <w:spacing w:after="0" w:line="240" w:lineRule="auto"/>
                  <w:ind w:left="0"/>
                  <w:jc w:val="both"/>
                  <w:rPr>
                    <w:rFonts w:ascii="Times New Roman" w:hAnsi="Times New Roman"/>
                    <w:sz w:val="24"/>
                    <w:szCs w:val="24"/>
                  </w:rPr>
                </w:pPr>
                <w:r>
                  <w:rPr>
                    <w:rFonts w:ascii="Times New Roman" w:hAnsi="Times New Roman"/>
                    <w:sz w:val="24"/>
                    <w:szCs w:val="24"/>
                  </w:rPr>
                  <w:t>1.1.5. Labai mažo aktyvumo radioaktyviųjų atliekų saugykla (B19-1 projektas), esanti adresu Visagino sav., Drūkšinių k., Elektrinės g. 4 K42 (BEO eksploatavimo licencija Nr. 16.1-87(2013))</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pStyle w:val="Sraopastraipa"/>
                  <w:spacing w:after="0" w:line="240" w:lineRule="auto"/>
                  <w:ind w:left="0"/>
                  <w:jc w:val="both"/>
                  <w:rPr>
                    <w:rFonts w:ascii="Times New Roman" w:hAnsi="Times New Roman"/>
                    <w:sz w:val="24"/>
                    <w:szCs w:val="24"/>
                  </w:rPr>
                </w:pPr>
                <w:r>
                  <w:rPr>
                    <w:rFonts w:ascii="Times New Roman" w:hAnsi="Times New Roman"/>
                    <w:sz w:val="24"/>
                    <w:szCs w:val="24"/>
                  </w:rPr>
                  <w:t xml:space="preserve">1.1.6. Labai mažo aktyvumo radioaktyviųjų atliekų atliekynas (statomas, B 19-2 projektas), esantis adresu Visagino sav., Drūkšinių k., Elektrinės g. 1, (BEO statybos ir eksploatavimo licencija Nr. 16.1-89(2015)) </w:t>
                </w:r>
              </w:p>
            </w:tc>
          </w:tr>
          <w:tr>
            <w:trPr>
              <w:trHeight w:val="587"/>
            </w:trP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pStyle w:val="Sraopastraipa"/>
                  <w:spacing w:after="0" w:line="240" w:lineRule="auto"/>
                  <w:ind w:left="0"/>
                  <w:jc w:val="both"/>
                  <w:rPr>
                    <w:rFonts w:ascii="Times New Roman" w:hAnsi="Times New Roman"/>
                    <w:sz w:val="24"/>
                    <w:szCs w:val="24"/>
                  </w:rPr>
                </w:pPr>
                <w:r>
                  <w:rPr>
                    <w:rFonts w:ascii="Times New Roman" w:hAnsi="Times New Roman"/>
                    <w:sz w:val="24"/>
                    <w:szCs w:val="24"/>
                  </w:rPr>
                  <w:t>1.1.7. Laikinoji panaudoto branduolinio kuro saugykla (B1 projektas), esanti adresu Visagino sav., Drūkšinių k., Elektrinės g. 1 K3 (BEO eksploatavimo licencija Nr. 16.1-91(2016))</w:t>
                </w:r>
              </w:p>
            </w:tc>
          </w:tr>
          <w:tr>
            <w:trPr>
              <w:trHeight w:val="535"/>
            </w:trP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pStyle w:val="Sraopastraipa"/>
                  <w:spacing w:after="0" w:line="240" w:lineRule="auto"/>
                  <w:ind w:left="0"/>
                  <w:jc w:val="both"/>
                  <w:rPr>
                    <w:rFonts w:ascii="Times New Roman" w:hAnsi="Times New Roman"/>
                    <w:sz w:val="24"/>
                    <w:szCs w:val="24"/>
                  </w:rPr>
                </w:pPr>
                <w:r>
                  <w:rPr>
                    <w:rFonts w:ascii="Times New Roman" w:hAnsi="Times New Roman"/>
                    <w:sz w:val="24"/>
                    <w:szCs w:val="24"/>
                  </w:rPr>
                  <w:t>1.1.8. Kietų radioaktyviųjų atliekų išėmimo ir pradinio apdorojimo įrenginys (B2-1 projektas), esantis adresu Visagino sav., Drūkšinių k., Elektrinės g. 4 K25 (BEO eksploatavimo licencija Nr. 16.1-93(2017))</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pStyle w:val="Sraopastraipa"/>
                  <w:spacing w:after="0" w:line="240" w:lineRule="auto"/>
                  <w:ind w:left="0"/>
                  <w:jc w:val="both"/>
                  <w:rPr>
                    <w:rFonts w:ascii="Times New Roman" w:hAnsi="Times New Roman"/>
                    <w:sz w:val="24"/>
                    <w:szCs w:val="24"/>
                  </w:rPr>
                </w:pPr>
                <w:r>
                  <w:rPr>
                    <w:rFonts w:ascii="Times New Roman" w:hAnsi="Times New Roman"/>
                    <w:sz w:val="24"/>
                    <w:szCs w:val="24"/>
                  </w:rPr>
                  <w:t>1.1.9. Kietų radioaktyviųjų atliekų tvarkymo įrenginys ir radioaktyviųjų atliekų saugykla (B3/4 projektas), esantys adresu Visagino sav., Drūkšinių k., Elektrinės g. 1 K4 (BEO eksploatavimo licencija Nr. 16.1-94(2017))</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pStyle w:val="Sraopastraipa"/>
                  <w:spacing w:after="0" w:line="240" w:lineRule="auto"/>
                  <w:ind w:left="0"/>
                  <w:jc w:val="both"/>
                  <w:rPr>
                    <w:rFonts w:ascii="Times New Roman" w:hAnsi="Times New Roman"/>
                    <w:sz w:val="24"/>
                    <w:szCs w:val="24"/>
                  </w:rPr>
                </w:pPr>
                <w:r>
                  <w:rPr>
                    <w:rFonts w:ascii="Times New Roman" w:hAnsi="Times New Roman"/>
                    <w:sz w:val="24"/>
                    <w:szCs w:val="24"/>
                  </w:rPr>
                  <w:t>1.1.10. Mažai ir vidutiniškai aktyvių trumpaamžių radioaktyviųjų atliekų paviršinis atliekynas (statomas, B25 projektas), esantis adresu Visagino sav., Stabatiškės vs., Elektrinės g. 7 (BEO statybos ir eksploatavimo licencija Nr. 16.1-95(2017))</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4657" w:type="dxa"/>
                <w:vMerge w:val="restart"/>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rPr>
                </w:pPr>
                <w:r>
                  <w:rPr>
                    <w:rFonts w:ascii="Times New Roman" w:hAnsi="Times New Roman" w:cs="Times New Roman"/>
                    <w:sz w:val="24"/>
                    <w:szCs w:val="24"/>
                  </w:rPr>
                  <w:t>1.2. Tarptautiniuose Vilniaus, Kauno, Palangos oro uostuose ir tarptautiniame Šiaulių kariniame oro uoste esantys aerodromai, Jonavos aerodromas (Rukloje), Kazlų Rudos aerodromas, Pajuosčio aerodromas, S. Dariaus ir S. Girėno aerodromas ir Šilutės aerodromas</w:t>
                </w: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rPr>
                </w:pPr>
                <w:r>
                  <w:rPr>
                    <w:rFonts w:ascii="Times New Roman" w:hAnsi="Times New Roman" w:cs="Times New Roman"/>
                    <w:sz w:val="24"/>
                    <w:szCs w:val="24"/>
                  </w:rPr>
                  <w:t>1.2.1. Tarptautiniuose Vilniaus, Kauno ir Palangos oro uostuose esantys aerodromai</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rPr>
                </w:pPr>
                <w:r>
                  <w:rPr>
                    <w:rFonts w:ascii="Times New Roman" w:hAnsi="Times New Roman" w:cs="Times New Roman"/>
                    <w:sz w:val="24"/>
                    <w:szCs w:val="24"/>
                  </w:rPr>
                  <w:t>1.2.2. Tarptautinio Šiaulių karinio oro uosto karinio aerodromo susisiekimo komunikacijos (oro uosto takai, keliai ir aikštelės, peronai), inžineriniai tinklai, navigaciniai įrenginiai, skrydžių valdymo centro pastatas, degalų saugykla, sandėlių ir saugyklų infrastruktūra, esanti adresu Šiauliai, Aerouosto g. 18, Lakūnų g. 3 ir 4</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rPr>
                </w:pPr>
                <w:r>
                  <w:rPr>
                    <w:rFonts w:ascii="Times New Roman" w:hAnsi="Times New Roman" w:cs="Times New Roman"/>
                    <w:sz w:val="24"/>
                    <w:szCs w:val="24"/>
                  </w:rPr>
                  <w:t>1.2.3. Jonavos aerodromo (Rukloje) kilimo ir tūpimo takas, esantis adresu Jonavos r. sav., Ruklos sen., Ruklos k., Karaliaus Mindaugo g. 11</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rPr>
                </w:pPr>
                <w:r>
                  <w:rPr>
                    <w:rFonts w:ascii="Times New Roman" w:hAnsi="Times New Roman" w:cs="Times New Roman"/>
                    <w:sz w:val="24"/>
                    <w:szCs w:val="24"/>
                  </w:rPr>
                  <w:t xml:space="preserve">1.2.4. Kazlų Rūdos aerodromo susisiekimo komunikacijos (lėktuvų stovėjimo aikštelė, kilimo ir  tūpimo takas, įvažiavimo keliai) ir skrydžių valdymo posto pastatas, esantis Kazlų Rūdos sav., Kazlų Rūdos sen., Gulioniškės k. 6</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rPr>
                </w:pPr>
                <w:r>
                  <w:rPr>
                    <w:rFonts w:ascii="Times New Roman" w:hAnsi="Times New Roman" w:cs="Times New Roman"/>
                    <w:sz w:val="24"/>
                    <w:szCs w:val="24"/>
                  </w:rPr>
                  <w:t xml:space="preserve">1.2.5. Pajuosčio aerodromo susisiekimo komunikacijos (lėktuvų stovėjimo aikštelės, kilimo ir tūpimo, riedėjimo takai, įvažiavimo keliai) skrydžių valdymo posto pastatas, inžineriniai tinklai ir degalų saugyklos infrastruktūra, esantys adresu Panevėžio r. sav., Velžio sen., Pajuosčio k. 1 </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rPr>
                </w:pPr>
                <w:r>
                  <w:rPr>
                    <w:rFonts w:ascii="Times New Roman" w:hAnsi="Times New Roman" w:cs="Times New Roman"/>
                    <w:sz w:val="24"/>
                    <w:szCs w:val="24"/>
                  </w:rPr>
                  <w:t>1.2.6. S. Dariaus ir S. Girėno aerodromo Lietuvos kariuomenės Karinių oro pajėgų Aviacijos bazės Antrojo paieškos gelbėjimo posto pastatai, susisiekimo komunikacijos (riedėjimo takai, kilimo ir tūpimo zona) ir inžineriniai tinklai, esantys adresu Kaunas, Veiverių g. 132</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rPr>
                </w:pPr>
                <w:r>
                  <w:rPr>
                    <w:rFonts w:ascii="Times New Roman" w:hAnsi="Times New Roman" w:cs="Times New Roman"/>
                    <w:sz w:val="24"/>
                    <w:szCs w:val="24"/>
                  </w:rPr>
                  <w:t>1.2.7. Šilutės aerodromo susisiekimo komunikacijos (kilimo ir tūpimo takas, įvažiavimo keliai), esančios adresu Šilutės r. sav., Šilutės sen., Kirlikų k., Paparčių g. 2</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4657" w:type="dxa"/>
                <w:vMerge w:val="restart"/>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rPr>
                </w:pPr>
                <w:r>
                  <w:rPr>
                    <w:rFonts w:ascii="Times New Roman" w:hAnsi="Times New Roman" w:cs="Times New Roman"/>
                    <w:sz w:val="24"/>
                    <w:szCs w:val="24"/>
                  </w:rPr>
                  <w:t>1.3. Valstybinės reikšmės automobilių keliai</w:t>
                </w: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rPr>
                </w:pPr>
                <w:r>
                  <w:rPr>
                    <w:rFonts w:ascii="Times New Roman" w:hAnsi="Times New Roman" w:cs="Times New Roman"/>
                    <w:sz w:val="24"/>
                    <w:szCs w:val="24"/>
                  </w:rPr>
                  <w:t>1.3.1. Pasienio ruože esančių magistralinių kelių, kurių sąrašas patvirtintas Lietuvos Respublikos Vyriausybės 1999 m. birželio 9 d. nutarimu Nr. 757 „Dėl Valstybinės reikšmės automobilių kelių sąrašo patvirtinimo“, atkarpos, magistraliniuose keliuose esantys kelio statiniai – tiltai, viadukai, estakados ir tuneliai</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rPr>
                </w:pPr>
                <w:r>
                  <w:rPr>
                    <w:rFonts w:ascii="Times New Roman" w:hAnsi="Times New Roman" w:cs="Times New Roman"/>
                    <w:sz w:val="24"/>
                    <w:szCs w:val="24"/>
                  </w:rPr>
                  <w:t>1.3.2. Pasienio ruože esančių krašto kelių, kurių sąrašas patvirtintas Lietuvos Respublikos Vyriausybės 1999 m. birželio 9 d. nutarimu Nr. 757 „Dėl Valstybinės reikšmės automobilių kelių sąrašo patvirtinimo“, atkarpos, krašto keliuose esantys kelio statiniai – tiltai, viadukai, estakados ir tuneliai</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4657" w:type="dxa"/>
                <w:vMerge w:val="restart"/>
                <w:tcBorders>
                  <w:top w:val="single" w:sz="4" w:space="0" w:color="auto"/>
                  <w:left w:val="single" w:sz="4" w:space="0" w:color="auto"/>
                  <w:right w:val="single" w:sz="4" w:space="0" w:color="auto"/>
                </w:tcBorders>
                <w:hideMark/>
              </w:tcPr>
              <w:p>
                <w:pPr>
                  <w:jc w:val="both"/>
                  <w:rPr>
                    <w:rFonts w:ascii="Times New Roman" w:hAnsi="Times New Roman" w:cs="Times New Roman"/>
                    <w:sz w:val="24"/>
                    <w:szCs w:val="24"/>
                  </w:rPr>
                </w:pPr>
                <w:r>
                  <w:rPr>
                    <w:rFonts w:ascii="Times New Roman" w:hAnsi="Times New Roman" w:cs="Times New Roman"/>
                    <w:sz w:val="24"/>
                    <w:szCs w:val="24"/>
                    <w:lang w:eastAsia="lt-LT"/>
                  </w:rPr>
                  <w:t>1.4. Viešoji geležinkelių infrastruktūra ir kiti įrenginiai ir turtas, reikalingi sklandžiam geležinkelių transporto eismui užtikrinti</w:t>
                </w:r>
              </w:p>
            </w:tc>
            <w:tc>
              <w:tcPr>
                <w:tcW w:w="9639" w:type="dxa"/>
                <w:tcBorders>
                  <w:top w:val="single" w:sz="4" w:space="0" w:color="auto"/>
                  <w:left w:val="single" w:sz="4" w:space="0" w:color="auto"/>
                  <w:bottom w:val="single" w:sz="4" w:space="0" w:color="auto"/>
                  <w:right w:val="single" w:sz="4" w:space="0" w:color="auto"/>
                </w:tcBorders>
                <w:hideMark/>
              </w:tcPr>
              <w:p>
                <w:pPr>
                  <w:ind w:left="77" w:hanging="43"/>
                  <w:jc w:val="both"/>
                  <w:rPr>
                    <w:rFonts w:ascii="Times New Roman" w:hAnsi="Times New Roman" w:cs="Times New Roman"/>
                    <w:sz w:val="24"/>
                    <w:szCs w:val="24"/>
                    <w:lang w:eastAsia="lt-LT"/>
                  </w:rPr>
                </w:pPr>
                <w:r>
                  <w:rPr>
                    <w:rFonts w:ascii="Times New Roman" w:hAnsi="Times New Roman" w:cs="Times New Roman"/>
                    <w:sz w:val="24"/>
                    <w:szCs w:val="24"/>
                    <w:lang w:eastAsia="lt-LT"/>
                  </w:rPr>
                  <w:t>1.4.1. Administraciniai techniniai pastatai Vilniuje, Geležinkelio g. 2 ir 16</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ind w:left="77" w:hanging="43"/>
                  <w:jc w:val="both"/>
                  <w:rPr>
                    <w:rFonts w:ascii="Times New Roman" w:hAnsi="Times New Roman" w:cs="Times New Roman"/>
                    <w:sz w:val="24"/>
                    <w:szCs w:val="24"/>
                    <w:lang w:eastAsia="lt-LT"/>
                  </w:rPr>
                </w:pPr>
                <w:r>
                  <w:rPr>
                    <w:rFonts w:ascii="Times New Roman" w:hAnsi="Times New Roman" w:cs="Times New Roman"/>
                    <w:sz w:val="24"/>
                    <w:szCs w:val="24"/>
                    <w:lang w:eastAsia="lt-LT"/>
                  </w:rPr>
                  <w:t>1.4.2. Bugenių geležinkelio stotis Mažeikių rajono savivaldybėje, Židiškių seniūnijoje, Dapšių kaime</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ind w:left="77" w:hanging="43"/>
                  <w:jc w:val="both"/>
                  <w:rPr>
                    <w:rFonts w:ascii="Times New Roman" w:hAnsi="Times New Roman" w:cs="Times New Roman"/>
                    <w:b/>
                    <w:i/>
                    <w:sz w:val="24"/>
                    <w:szCs w:val="24"/>
                    <w:highlight w:val="red"/>
                    <w:u w:val="single"/>
                    <w:lang w:eastAsia="lt-LT"/>
                  </w:rPr>
                </w:pPr>
                <w:r>
                  <w:rPr>
                    <w:rFonts w:ascii="Times New Roman" w:hAnsi="Times New Roman" w:cs="Times New Roman"/>
                    <w:sz w:val="24"/>
                    <w:szCs w:val="24"/>
                    <w:lang w:eastAsia="lt-LT"/>
                  </w:rPr>
                  <w:t>1.4.3. „Draugystės“ geležinkelio stotis, esanti adresu Klaipėda, Kairių g. 1</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ind w:left="77" w:hanging="43"/>
                  <w:jc w:val="both"/>
                  <w:rPr>
                    <w:rFonts w:ascii="Times New Roman" w:hAnsi="Times New Roman" w:cs="Times New Roman"/>
                    <w:b/>
                    <w:i/>
                    <w:sz w:val="24"/>
                    <w:szCs w:val="24"/>
                    <w:highlight w:val="red"/>
                    <w:u w:val="single"/>
                    <w:lang w:eastAsia="lt-LT"/>
                  </w:rPr>
                </w:pPr>
                <w:r>
                  <w:rPr>
                    <w:rFonts w:ascii="Times New Roman" w:hAnsi="Times New Roman" w:cs="Times New Roman"/>
                    <w:sz w:val="24"/>
                    <w:szCs w:val="24"/>
                    <w:lang w:eastAsia="lt-LT"/>
                  </w:rPr>
                  <w:t>1.4.4. Geležinkelio tiltas per Vokės upę Vilniaus miesto savivaldybėje</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ind w:left="77" w:hanging="43"/>
                  <w:jc w:val="both"/>
                  <w:rPr>
                    <w:rFonts w:ascii="Times New Roman" w:hAnsi="Times New Roman" w:cs="Times New Roman"/>
                    <w:b/>
                    <w:i/>
                    <w:sz w:val="24"/>
                    <w:szCs w:val="24"/>
                    <w:highlight w:val="red"/>
                    <w:u w:val="single"/>
                    <w:lang w:eastAsia="lt-LT"/>
                  </w:rPr>
                </w:pPr>
                <w:r>
                  <w:rPr>
                    <w:rFonts w:ascii="Times New Roman" w:hAnsi="Times New Roman" w:cs="Times New Roman"/>
                    <w:sz w:val="24"/>
                    <w:szCs w:val="24"/>
                    <w:lang w:eastAsia="lt-LT"/>
                  </w:rPr>
                  <w:t>1.4.5. Jonavos geležinkelio tiltas per Nerį, esantis Jonavoje</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ind w:left="77" w:hanging="43"/>
                  <w:jc w:val="both"/>
                  <w:rPr>
                    <w:rFonts w:ascii="Times New Roman" w:hAnsi="Times New Roman" w:cs="Times New Roman"/>
                    <w:b/>
                    <w:i/>
                    <w:sz w:val="24"/>
                    <w:szCs w:val="24"/>
                    <w:highlight w:val="red"/>
                    <w:u w:val="single"/>
                    <w:lang w:eastAsia="lt-LT"/>
                  </w:rPr>
                </w:pPr>
                <w:r>
                  <w:rPr>
                    <w:rFonts w:ascii="Times New Roman" w:hAnsi="Times New Roman" w:cs="Times New Roman"/>
                    <w:sz w:val="24"/>
                    <w:szCs w:val="24"/>
                    <w:lang w:eastAsia="lt-LT"/>
                  </w:rPr>
                  <w:t>1.4.6. Kauno geležinkelio tiltas per Nemuną, esantis Kaune</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ind w:left="77" w:hanging="43"/>
                  <w:jc w:val="both"/>
                  <w:rPr>
                    <w:rFonts w:ascii="Times New Roman" w:hAnsi="Times New Roman" w:cs="Times New Roman"/>
                    <w:b/>
                    <w:i/>
                    <w:sz w:val="24"/>
                    <w:szCs w:val="24"/>
                    <w:highlight w:val="red"/>
                    <w:u w:val="single"/>
                    <w:lang w:eastAsia="lt-LT"/>
                  </w:rPr>
                </w:pPr>
                <w:r>
                  <w:rPr>
                    <w:rFonts w:ascii="Times New Roman" w:hAnsi="Times New Roman" w:cs="Times New Roman"/>
                    <w:sz w:val="24"/>
                    <w:szCs w:val="24"/>
                    <w:lang w:eastAsia="lt-LT"/>
                  </w:rPr>
                  <w:t>1.4.7. Kauno geležinkelio tunelis, esantis Kaune</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ind w:left="77" w:hanging="43"/>
                  <w:jc w:val="both"/>
                  <w:rPr>
                    <w:rFonts w:ascii="Times New Roman" w:hAnsi="Times New Roman" w:cs="Times New Roman"/>
                    <w:b/>
                    <w:i/>
                    <w:sz w:val="24"/>
                    <w:szCs w:val="24"/>
                    <w:u w:val="single"/>
                    <w:lang w:eastAsia="lt-LT"/>
                  </w:rPr>
                </w:pPr>
                <w:r>
                  <w:rPr>
                    <w:rFonts w:ascii="Times New Roman" w:hAnsi="Times New Roman" w:cs="Times New Roman"/>
                    <w:sz w:val="24"/>
                    <w:szCs w:val="24"/>
                    <w:lang w:eastAsia="lt-LT"/>
                  </w:rPr>
                  <w:t>1.4.8. Kenos geležinkelio stotis Vilniaus rajono savivaldybėje, Kalvelių seniūnijoje</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ind w:left="77" w:hanging="43"/>
                  <w:jc w:val="both"/>
                  <w:rPr>
                    <w:rFonts w:ascii="Times New Roman" w:hAnsi="Times New Roman" w:cs="Times New Roman"/>
                    <w:b/>
                    <w:i/>
                    <w:sz w:val="24"/>
                    <w:szCs w:val="24"/>
                    <w:u w:val="single"/>
                    <w:lang w:eastAsia="lt-LT"/>
                  </w:rPr>
                </w:pPr>
                <w:r>
                  <w:rPr>
                    <w:rFonts w:ascii="Times New Roman" w:hAnsi="Times New Roman" w:cs="Times New Roman"/>
                    <w:sz w:val="24"/>
                    <w:szCs w:val="24"/>
                    <w:lang w:eastAsia="lt-LT"/>
                  </w:rPr>
                  <w:t>1.4.9. Kybartų geležinkelio stotis, esanti adresu Vilkaviškio r., Kybartai, Kudirkos Naumiesčio g. 4</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ind w:left="77" w:hanging="43"/>
                  <w:jc w:val="both"/>
                  <w:rPr>
                    <w:rFonts w:ascii="Times New Roman" w:hAnsi="Times New Roman" w:cs="Times New Roman"/>
                    <w:b/>
                    <w:i/>
                    <w:sz w:val="24"/>
                    <w:szCs w:val="24"/>
                    <w:u w:val="single"/>
                    <w:lang w:eastAsia="lt-LT"/>
                  </w:rPr>
                </w:pPr>
                <w:r>
                  <w:rPr>
                    <w:rFonts w:ascii="Times New Roman" w:hAnsi="Times New Roman" w:cs="Times New Roman"/>
                    <w:sz w:val="24"/>
                    <w:szCs w:val="24"/>
                    <w:lang w:eastAsia="lt-LT"/>
                  </w:rPr>
                  <w:t>1.4.10. Lyduvėnų tiltas per Dubysą Raseinių rajono savivaldybėje, Šiluvos seniūnijoje, Lyduvėnų miestelyje</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ind w:left="77" w:hanging="43"/>
                  <w:jc w:val="both"/>
                  <w:rPr>
                    <w:rFonts w:ascii="Times New Roman" w:hAnsi="Times New Roman" w:cs="Times New Roman"/>
                    <w:sz w:val="24"/>
                    <w:szCs w:val="24"/>
                    <w:lang w:eastAsia="lt-LT"/>
                  </w:rPr>
                </w:pPr>
                <w:r>
                  <w:rPr>
                    <w:rFonts w:ascii="Times New Roman" w:hAnsi="Times New Roman" w:cs="Times New Roman"/>
                    <w:sz w:val="24"/>
                    <w:szCs w:val="24"/>
                    <w:lang w:eastAsia="lt-LT"/>
                  </w:rPr>
                  <w:t>1.4.11. Pasienio geležinkelio linijos, kaip jos apibrėžtos Lietuvos Respublikos geležinkelių transporto eismo saugos įstatymo 2 straipsnio 30 dalyje:</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ind w:left="33" w:firstLine="1"/>
                  <w:jc w:val="both"/>
                  <w:rPr>
                    <w:rFonts w:ascii="Times New Roman" w:hAnsi="Times New Roman" w:cs="Times New Roman"/>
                    <w:sz w:val="24"/>
                    <w:szCs w:val="24"/>
                    <w:lang w:eastAsia="lt-LT"/>
                  </w:rPr>
                </w:pPr>
                <w:r>
                  <w:rPr>
                    <w:rFonts w:ascii="Times New Roman" w:hAnsi="Times New Roman" w:cs="Times New Roman"/>
                    <w:sz w:val="24"/>
                    <w:szCs w:val="24"/>
                    <w:lang w:eastAsia="lt-LT"/>
                  </w:rPr>
                  <w:t>1.4.11.1. valstybės siena–Vilniaus geležinkelio stotis (vykstant iš Gudagojo)</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ind w:left="33" w:firstLine="1"/>
                  <w:jc w:val="both"/>
                  <w:rPr>
                    <w:rFonts w:ascii="Times New Roman" w:hAnsi="Times New Roman" w:cs="Times New Roman"/>
                    <w:sz w:val="24"/>
                    <w:szCs w:val="24"/>
                    <w:lang w:eastAsia="lt-LT"/>
                  </w:rPr>
                </w:pPr>
                <w:r>
                  <w:rPr>
                    <w:rFonts w:ascii="Times New Roman" w:hAnsi="Times New Roman" w:cs="Times New Roman"/>
                    <w:sz w:val="24"/>
                    <w:szCs w:val="24"/>
                    <w:lang w:eastAsia="lt-LT"/>
                  </w:rPr>
                  <w:t>1.4.11.2. valstybės siena–Vilniaus geležinkelio stotis (vykstant iš Benekainių)</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left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ind w:left="33" w:firstLine="1"/>
                  <w:jc w:val="both"/>
                  <w:rPr>
                    <w:rFonts w:ascii="Times New Roman" w:hAnsi="Times New Roman" w:cs="Times New Roman"/>
                    <w:sz w:val="24"/>
                    <w:szCs w:val="24"/>
                    <w:lang w:eastAsia="lt-LT"/>
                  </w:rPr>
                </w:pPr>
                <w:r>
                  <w:rPr>
                    <w:rFonts w:ascii="Times New Roman" w:hAnsi="Times New Roman" w:cs="Times New Roman"/>
                    <w:sz w:val="24"/>
                    <w:szCs w:val="24"/>
                    <w:lang w:eastAsia="lt-LT"/>
                  </w:rPr>
                  <w:t>1.4.11.3. valstybės siena–Vaidotų geležinkelio stotis (vykstant iš Benekainių)</w:t>
                </w:r>
              </w:p>
            </w:tc>
          </w:tr>
          <w:tr>
            <w:tc>
              <w:tcPr>
                <w:tcW w:w="0" w:type="auto"/>
                <w:vMerge/>
                <w:tcBorders>
                  <w:top w:val="single" w:sz="4" w:space="0" w:color="auto"/>
                  <w:left w:val="single" w:sz="4" w:space="0" w:color="auto"/>
                  <w:bottom w:val="single" w:sz="4" w:space="0" w:color="auto"/>
                  <w:right w:val="single" w:sz="4" w:space="0" w:color="auto"/>
                </w:tcBorders>
                <w:vAlign w:val="center"/>
              </w:tcPr>
              <w:p>
                <w:pPr>
                  <w:rPr>
                    <w:szCs w:val="24"/>
                  </w:rPr>
                </w:pPr>
              </w:p>
            </w:tc>
            <w:tc>
              <w:tcPr>
                <w:tcW w:w="0" w:type="auto"/>
                <w:vMerge/>
                <w:tcBorders>
                  <w:left w:val="single" w:sz="4" w:space="0" w:color="auto"/>
                  <w:bottom w:val="single" w:sz="4" w:space="0" w:color="auto"/>
                  <w:right w:val="single" w:sz="4" w:space="0" w:color="auto"/>
                </w:tcBorders>
                <w:vAlign w:val="center"/>
              </w:tcPr>
              <w:p>
                <w:pPr>
                  <w:rPr>
                    <w:szCs w:val="24"/>
                  </w:rPr>
                </w:pPr>
              </w:p>
            </w:tc>
            <w:tc>
              <w:tcPr>
                <w:tcW w:w="9639" w:type="dxa"/>
                <w:tcBorders>
                  <w:top w:val="single" w:sz="4" w:space="0" w:color="auto"/>
                  <w:left w:val="single" w:sz="4" w:space="0" w:color="auto"/>
                  <w:bottom w:val="single" w:sz="4" w:space="0" w:color="auto"/>
                  <w:right w:val="single" w:sz="4" w:space="0" w:color="auto"/>
                </w:tcBorders>
              </w:tcPr>
              <w:p>
                <w:pPr>
                  <w:ind w:left="33" w:firstLine="1"/>
                  <w:jc w:val="both"/>
                  <w:rPr>
                    <w:rFonts w:ascii="Times New Roman" w:hAnsi="Times New Roman" w:cs="Times New Roman"/>
                    <w:sz w:val="24"/>
                    <w:szCs w:val="24"/>
                    <w:lang w:eastAsia="lt-LT"/>
                  </w:rPr>
                </w:pPr>
                <w:r>
                  <w:rPr>
                    <w:rFonts w:ascii="Times New Roman" w:hAnsi="Times New Roman" w:cs="Times New Roman"/>
                    <w:sz w:val="24"/>
                    <w:szCs w:val="24"/>
                    <w:lang w:eastAsia="lt-LT"/>
                  </w:rPr>
                  <w:t>1.4.11.4. valstybės siena–Kybartų geležinkelio stotis (vykstant iš Nesterovo)</w:t>
                </w:r>
              </w:p>
            </w:tc>
          </w:tr>
          <w:tr>
            <w:tc>
              <w:tcPr>
                <w:tcW w:w="0" w:type="auto"/>
                <w:vMerge/>
                <w:tcBorders>
                  <w:top w:val="single" w:sz="4" w:space="0" w:color="auto"/>
                  <w:left w:val="single" w:sz="4" w:space="0" w:color="auto"/>
                  <w:bottom w:val="single" w:sz="4" w:space="0" w:color="auto"/>
                  <w:right w:val="single" w:sz="4" w:space="0" w:color="auto"/>
                </w:tcBorders>
                <w:vAlign w:val="center"/>
              </w:tcPr>
              <w:p>
                <w:pPr>
                  <w:rPr>
                    <w:szCs w:val="24"/>
                  </w:rPr>
                </w:pPr>
              </w:p>
            </w:tc>
            <w:tc>
              <w:tcPr>
                <w:tcW w:w="0" w:type="auto"/>
                <w:vMerge w:val="restart"/>
                <w:tcBorders>
                  <w:top w:val="single" w:sz="4" w:space="0" w:color="auto"/>
                  <w:left w:val="single" w:sz="4" w:space="0" w:color="auto"/>
                  <w:right w:val="single" w:sz="4" w:space="0" w:color="auto"/>
                </w:tcBorders>
                <w:vAlign w:val="center"/>
              </w:tcPr>
              <w:p>
                <w:pPr>
                  <w:rPr>
                    <w:szCs w:val="24"/>
                  </w:rPr>
                </w:pPr>
              </w:p>
            </w:tc>
            <w:tc>
              <w:tcPr>
                <w:tcW w:w="9639" w:type="dxa"/>
                <w:tcBorders>
                  <w:top w:val="single" w:sz="4" w:space="0" w:color="auto"/>
                  <w:left w:val="single" w:sz="4" w:space="0" w:color="auto"/>
                  <w:bottom w:val="single" w:sz="4" w:space="0" w:color="auto"/>
                  <w:right w:val="single" w:sz="4" w:space="0" w:color="auto"/>
                </w:tcBorders>
              </w:tcPr>
              <w:p>
                <w:pPr>
                  <w:ind w:left="77" w:hanging="43"/>
                  <w:jc w:val="both"/>
                  <w:rPr>
                    <w:rFonts w:ascii="Times New Roman" w:hAnsi="Times New Roman" w:cs="Times New Roman"/>
                    <w:sz w:val="24"/>
                    <w:szCs w:val="24"/>
                    <w:lang w:eastAsia="lt-LT"/>
                  </w:rPr>
                </w:pPr>
                <w:r>
                  <w:rPr>
                    <w:rFonts w:ascii="Times New Roman" w:hAnsi="Times New Roman" w:cs="Times New Roman"/>
                    <w:sz w:val="24"/>
                    <w:szCs w:val="24"/>
                    <w:lang w:eastAsia="lt-LT"/>
                  </w:rPr>
                  <w:t>1.4.11.5. valstybės siena–Pagėgių geležinkelio stotis (vykstant iš Sovetsko)</w:t>
                </w:r>
              </w:p>
            </w:tc>
          </w:tr>
          <w:tr>
            <w:tc>
              <w:tcPr>
                <w:tcW w:w="0" w:type="auto"/>
                <w:vMerge/>
                <w:tcBorders>
                  <w:top w:val="single" w:sz="4" w:space="0" w:color="auto"/>
                  <w:left w:val="single" w:sz="4" w:space="0" w:color="auto"/>
                  <w:bottom w:val="single" w:sz="4" w:space="0" w:color="auto"/>
                  <w:right w:val="single" w:sz="4" w:space="0" w:color="auto"/>
                </w:tcBorders>
                <w:vAlign w:val="center"/>
              </w:tcPr>
              <w:p>
                <w:pPr>
                  <w:rPr>
                    <w:szCs w:val="24"/>
                  </w:rPr>
                </w:pPr>
              </w:p>
            </w:tc>
            <w:tc>
              <w:tcPr>
                <w:tcW w:w="0" w:type="auto"/>
                <w:vMerge/>
                <w:tcBorders>
                  <w:left w:val="single" w:sz="4" w:space="0" w:color="auto"/>
                  <w:right w:val="single" w:sz="4" w:space="0" w:color="auto"/>
                </w:tcBorders>
                <w:vAlign w:val="center"/>
              </w:tcPr>
              <w:p>
                <w:pPr>
                  <w:rPr>
                    <w:szCs w:val="24"/>
                  </w:rPr>
                </w:pPr>
              </w:p>
            </w:tc>
            <w:tc>
              <w:tcPr>
                <w:tcW w:w="9639" w:type="dxa"/>
                <w:tcBorders>
                  <w:top w:val="single" w:sz="4" w:space="0" w:color="auto"/>
                  <w:left w:val="single" w:sz="4" w:space="0" w:color="auto"/>
                  <w:bottom w:val="single" w:sz="4" w:space="0" w:color="auto"/>
                  <w:right w:val="single" w:sz="4" w:space="0" w:color="auto"/>
                </w:tcBorders>
              </w:tcPr>
              <w:p>
                <w:pPr>
                  <w:ind w:left="77" w:hanging="43"/>
                  <w:jc w:val="both"/>
                  <w:rPr>
                    <w:rFonts w:ascii="Times New Roman" w:hAnsi="Times New Roman" w:cs="Times New Roman"/>
                    <w:b/>
                    <w:i/>
                    <w:sz w:val="24"/>
                    <w:szCs w:val="24"/>
                    <w:highlight w:val="red"/>
                    <w:u w:val="single"/>
                    <w:lang w:eastAsia="lt-LT"/>
                  </w:rPr>
                </w:pPr>
                <w:r>
                  <w:rPr>
                    <w:rFonts w:ascii="Times New Roman" w:hAnsi="Times New Roman" w:cs="Times New Roman"/>
                    <w:sz w:val="24"/>
                    <w:szCs w:val="24"/>
                    <w:lang w:eastAsia="lt-LT"/>
                  </w:rPr>
                  <w:t>1.4.12. Stasylų geležinkelio stotis Šalčininkų rajono savivaldybėje, Gerviškių seniūnijoje</w:t>
                </w:r>
              </w:p>
            </w:tc>
          </w:tr>
          <w:tr>
            <w:tc>
              <w:tcPr>
                <w:tcW w:w="0" w:type="auto"/>
                <w:vMerge/>
                <w:tcBorders>
                  <w:top w:val="single" w:sz="4" w:space="0" w:color="auto"/>
                  <w:left w:val="single" w:sz="4" w:space="0" w:color="auto"/>
                  <w:bottom w:val="single" w:sz="4" w:space="0" w:color="auto"/>
                  <w:right w:val="single" w:sz="4" w:space="0" w:color="auto"/>
                </w:tcBorders>
                <w:vAlign w:val="center"/>
              </w:tcPr>
              <w:p>
                <w:pPr>
                  <w:rPr>
                    <w:szCs w:val="24"/>
                  </w:rPr>
                </w:pPr>
              </w:p>
            </w:tc>
            <w:tc>
              <w:tcPr>
                <w:tcW w:w="0" w:type="auto"/>
                <w:vMerge/>
                <w:tcBorders>
                  <w:left w:val="single" w:sz="4" w:space="0" w:color="auto"/>
                  <w:right w:val="single" w:sz="4" w:space="0" w:color="auto"/>
                </w:tcBorders>
                <w:vAlign w:val="center"/>
              </w:tcPr>
              <w:p>
                <w:pPr>
                  <w:rPr>
                    <w:szCs w:val="24"/>
                  </w:rPr>
                </w:pPr>
              </w:p>
            </w:tc>
            <w:tc>
              <w:tcPr>
                <w:tcW w:w="9639" w:type="dxa"/>
                <w:tcBorders>
                  <w:top w:val="single" w:sz="4" w:space="0" w:color="auto"/>
                  <w:left w:val="single" w:sz="4" w:space="0" w:color="auto"/>
                  <w:bottom w:val="single" w:sz="4" w:space="0" w:color="auto"/>
                  <w:right w:val="single" w:sz="4" w:space="0" w:color="auto"/>
                </w:tcBorders>
              </w:tcPr>
              <w:p>
                <w:pPr>
                  <w:ind w:left="77" w:hanging="43"/>
                  <w:jc w:val="both"/>
                  <w:rPr>
                    <w:rFonts w:ascii="Times New Roman" w:hAnsi="Times New Roman" w:cs="Times New Roman"/>
                    <w:b/>
                    <w:i/>
                    <w:sz w:val="24"/>
                    <w:szCs w:val="24"/>
                    <w:highlight w:val="red"/>
                    <w:u w:val="single"/>
                    <w:lang w:eastAsia="lt-LT"/>
                  </w:rPr>
                </w:pPr>
                <w:r>
                  <w:rPr>
                    <w:rFonts w:ascii="Times New Roman" w:hAnsi="Times New Roman" w:cs="Times New Roman"/>
                    <w:sz w:val="24"/>
                    <w:szCs w:val="24"/>
                    <w:lang w:eastAsia="lt-LT"/>
                  </w:rPr>
                  <w:t>1.4.13. Vaidotų geležinkelio stotis, esanti adresu Vilnius, Eišiškių pl. 100</w:t>
                </w:r>
              </w:p>
            </w:tc>
          </w:tr>
          <w:tr>
            <w:tc>
              <w:tcPr>
                <w:tcW w:w="0" w:type="auto"/>
                <w:vMerge/>
                <w:tcBorders>
                  <w:top w:val="single" w:sz="4" w:space="0" w:color="auto"/>
                  <w:left w:val="single" w:sz="4" w:space="0" w:color="auto"/>
                  <w:bottom w:val="single" w:sz="4" w:space="0" w:color="auto"/>
                  <w:right w:val="single" w:sz="4" w:space="0" w:color="auto"/>
                </w:tcBorders>
                <w:vAlign w:val="center"/>
              </w:tcPr>
              <w:p>
                <w:pPr>
                  <w:rPr>
                    <w:szCs w:val="24"/>
                  </w:rPr>
                </w:pPr>
              </w:p>
            </w:tc>
            <w:tc>
              <w:tcPr>
                <w:tcW w:w="0" w:type="auto"/>
                <w:vMerge/>
                <w:tcBorders>
                  <w:left w:val="single" w:sz="4" w:space="0" w:color="auto"/>
                  <w:right w:val="single" w:sz="4" w:space="0" w:color="auto"/>
                </w:tcBorders>
                <w:vAlign w:val="center"/>
              </w:tcPr>
              <w:p>
                <w:pPr>
                  <w:rPr>
                    <w:szCs w:val="24"/>
                  </w:rPr>
                </w:pPr>
              </w:p>
            </w:tc>
            <w:tc>
              <w:tcPr>
                <w:tcW w:w="9639" w:type="dxa"/>
                <w:tcBorders>
                  <w:top w:val="single" w:sz="4" w:space="0" w:color="auto"/>
                  <w:left w:val="single" w:sz="4" w:space="0" w:color="auto"/>
                  <w:bottom w:val="single" w:sz="4" w:space="0" w:color="auto"/>
                  <w:right w:val="single" w:sz="4" w:space="0" w:color="auto"/>
                </w:tcBorders>
              </w:tcPr>
              <w:p>
                <w:pPr>
                  <w:jc w:val="both"/>
                  <w:rPr>
                    <w:rFonts w:ascii="Times New Roman" w:hAnsi="Times New Roman" w:cs="Times New Roman"/>
                    <w:b/>
                    <w:i/>
                    <w:sz w:val="24"/>
                    <w:szCs w:val="24"/>
                    <w:highlight w:val="red"/>
                    <w:u w:val="single"/>
                    <w:lang w:eastAsia="lt-LT"/>
                  </w:rPr>
                </w:pPr>
                <w:r>
                  <w:rPr>
                    <w:rFonts w:ascii="Times New Roman" w:hAnsi="Times New Roman" w:cs="Times New Roman"/>
                    <w:sz w:val="24"/>
                    <w:szCs w:val="24"/>
                    <w:lang w:eastAsia="lt-LT"/>
                  </w:rPr>
                  <w:t>1.4.14. Vilniaus geležinkelio stotis, esanti adresu Vilnius, Panerių g. 56</w:t>
                </w:r>
              </w:p>
            </w:tc>
          </w:tr>
          <w:tr>
            <w:tc>
              <w:tcPr>
                <w:tcW w:w="0" w:type="auto"/>
                <w:vMerge/>
                <w:tcBorders>
                  <w:top w:val="single" w:sz="4" w:space="0" w:color="auto"/>
                  <w:left w:val="single" w:sz="4" w:space="0" w:color="auto"/>
                  <w:bottom w:val="single" w:sz="4" w:space="0" w:color="auto"/>
                  <w:right w:val="single" w:sz="4" w:space="0" w:color="auto"/>
                </w:tcBorders>
                <w:vAlign w:val="center"/>
              </w:tcPr>
              <w:p>
                <w:pPr>
                  <w:rPr>
                    <w:szCs w:val="24"/>
                  </w:rPr>
                </w:pPr>
              </w:p>
            </w:tc>
            <w:tc>
              <w:tcPr>
                <w:tcW w:w="0" w:type="auto"/>
                <w:vMerge/>
                <w:tcBorders>
                  <w:left w:val="single" w:sz="4" w:space="0" w:color="auto"/>
                  <w:right w:val="single" w:sz="4" w:space="0" w:color="auto"/>
                </w:tcBorders>
                <w:vAlign w:val="center"/>
              </w:tcPr>
              <w:p>
                <w:pPr>
                  <w:rPr>
                    <w:szCs w:val="24"/>
                  </w:rPr>
                </w:pPr>
              </w:p>
            </w:tc>
            <w:tc>
              <w:tcPr>
                <w:tcW w:w="9639" w:type="dxa"/>
                <w:tcBorders>
                  <w:top w:val="single" w:sz="4" w:space="0" w:color="auto"/>
                  <w:left w:val="single" w:sz="4" w:space="0" w:color="auto"/>
                  <w:bottom w:val="single" w:sz="4" w:space="0" w:color="auto"/>
                  <w:right w:val="single" w:sz="4" w:space="0" w:color="auto"/>
                </w:tcBorders>
              </w:tcPr>
              <w:p>
                <w:pPr>
                  <w:jc w:val="both"/>
                  <w:rPr>
                    <w:rFonts w:ascii="Times New Roman" w:hAnsi="Times New Roman" w:cs="Times New Roman"/>
                    <w:sz w:val="24"/>
                    <w:szCs w:val="24"/>
                    <w:lang w:eastAsia="lt-LT"/>
                  </w:rPr>
                </w:pPr>
                <w:r>
                  <w:rPr>
                    <w:rFonts w:ascii="Times New Roman" w:hAnsi="Times New Roman" w:cs="Times New Roman"/>
                    <w:sz w:val="24"/>
                    <w:szCs w:val="24"/>
                    <w:lang w:eastAsia="lt-LT"/>
                  </w:rPr>
                  <w:t>1.4.15. Valstybinės reikšmės magistralinės geležinkelių linijos:</w:t>
                </w:r>
              </w:p>
            </w:tc>
          </w:tr>
          <w:tr>
            <w:tc>
              <w:tcPr>
                <w:tcW w:w="0" w:type="auto"/>
                <w:vMerge/>
                <w:tcBorders>
                  <w:top w:val="single" w:sz="4" w:space="0" w:color="auto"/>
                  <w:left w:val="single" w:sz="4" w:space="0" w:color="auto"/>
                  <w:bottom w:val="single" w:sz="4" w:space="0" w:color="auto"/>
                  <w:right w:val="single" w:sz="4" w:space="0" w:color="auto"/>
                </w:tcBorders>
                <w:vAlign w:val="center"/>
              </w:tcPr>
              <w:p>
                <w:pPr>
                  <w:rPr>
                    <w:szCs w:val="24"/>
                  </w:rPr>
                </w:pPr>
              </w:p>
            </w:tc>
            <w:tc>
              <w:tcPr>
                <w:tcW w:w="0" w:type="auto"/>
                <w:vMerge/>
                <w:tcBorders>
                  <w:left w:val="single" w:sz="4" w:space="0" w:color="auto"/>
                  <w:right w:val="single" w:sz="4" w:space="0" w:color="auto"/>
                </w:tcBorders>
                <w:vAlign w:val="center"/>
              </w:tcPr>
              <w:p>
                <w:pPr>
                  <w:rPr>
                    <w:szCs w:val="24"/>
                  </w:rPr>
                </w:pPr>
              </w:p>
            </w:tc>
            <w:tc>
              <w:tcPr>
                <w:tcW w:w="9639" w:type="dxa"/>
                <w:tcBorders>
                  <w:top w:val="single" w:sz="4" w:space="0" w:color="auto"/>
                  <w:left w:val="single" w:sz="4" w:space="0" w:color="auto"/>
                  <w:bottom w:val="single" w:sz="4" w:space="0" w:color="auto"/>
                  <w:right w:val="single" w:sz="4" w:space="0" w:color="auto"/>
                </w:tcBorders>
              </w:tcPr>
              <w:p>
                <w:pPr>
                  <w:jc w:val="both"/>
                  <w:rPr>
                    <w:rFonts w:ascii="Times New Roman" w:hAnsi="Times New Roman" w:cs="Times New Roman"/>
                    <w:sz w:val="24"/>
                    <w:szCs w:val="24"/>
                    <w:lang w:eastAsia="lt-LT"/>
                  </w:rPr>
                </w:pPr>
                <w:r>
                  <w:rPr>
                    <w:rFonts w:ascii="Times New Roman" w:hAnsi="Times New Roman" w:cs="Times New Roman"/>
                    <w:sz w:val="24"/>
                    <w:szCs w:val="24"/>
                    <w:lang w:eastAsia="lt-LT"/>
                  </w:rPr>
                  <w:t>1.4.15.1. valstybės siena su Baltarusija–Kena–Vilnius (Vaidotai)–Kaišiadorys–Kaunas (Rokai)–Kybartai–valstybės siena su Rusijos Federacija</w:t>
                </w:r>
              </w:p>
            </w:tc>
          </w:tr>
          <w:tr>
            <w:tc>
              <w:tcPr>
                <w:tcW w:w="0" w:type="auto"/>
                <w:vMerge/>
                <w:tcBorders>
                  <w:top w:val="single" w:sz="4" w:space="0" w:color="auto"/>
                  <w:left w:val="single" w:sz="4" w:space="0" w:color="auto"/>
                  <w:bottom w:val="single" w:sz="4" w:space="0" w:color="auto"/>
                  <w:right w:val="single" w:sz="4" w:space="0" w:color="auto"/>
                </w:tcBorders>
                <w:vAlign w:val="center"/>
              </w:tcPr>
              <w:p>
                <w:pPr>
                  <w:rPr>
                    <w:szCs w:val="24"/>
                  </w:rPr>
                </w:pPr>
              </w:p>
            </w:tc>
            <w:tc>
              <w:tcPr>
                <w:tcW w:w="0" w:type="auto"/>
                <w:vMerge/>
                <w:tcBorders>
                  <w:left w:val="single" w:sz="4" w:space="0" w:color="auto"/>
                  <w:right w:val="single" w:sz="4" w:space="0" w:color="auto"/>
                </w:tcBorders>
                <w:vAlign w:val="center"/>
              </w:tcPr>
              <w:p>
                <w:pPr>
                  <w:rPr>
                    <w:szCs w:val="24"/>
                  </w:rPr>
                </w:pPr>
              </w:p>
            </w:tc>
            <w:tc>
              <w:tcPr>
                <w:tcW w:w="9639" w:type="dxa"/>
                <w:tcBorders>
                  <w:top w:val="single" w:sz="4" w:space="0" w:color="auto"/>
                  <w:left w:val="single" w:sz="4" w:space="0" w:color="auto"/>
                  <w:bottom w:val="single" w:sz="4" w:space="0" w:color="auto"/>
                  <w:right w:val="single" w:sz="4" w:space="0" w:color="auto"/>
                </w:tcBorders>
              </w:tcPr>
              <w:p>
                <w:pPr>
                  <w:jc w:val="both"/>
                  <w:rPr>
                    <w:rFonts w:ascii="Times New Roman" w:hAnsi="Times New Roman" w:cs="Times New Roman"/>
                    <w:sz w:val="24"/>
                    <w:szCs w:val="24"/>
                    <w:lang w:eastAsia="lt-LT"/>
                  </w:rPr>
                </w:pPr>
                <w:r>
                  <w:rPr>
                    <w:rFonts w:ascii="Times New Roman" w:hAnsi="Times New Roman" w:cs="Times New Roman"/>
                    <w:sz w:val="24"/>
                    <w:szCs w:val="24"/>
                    <w:lang w:eastAsia="lt-LT"/>
                  </w:rPr>
                  <w:t>1.4.15.2. Kaišiadorys–Radviliškis–Šiauliai–Klaipėda („Draugystė“)</w:t>
                </w:r>
              </w:p>
            </w:tc>
          </w:tr>
          <w:tr>
            <w:tc>
              <w:tcPr>
                <w:tcW w:w="0" w:type="auto"/>
                <w:vMerge/>
                <w:tcBorders>
                  <w:top w:val="single" w:sz="4" w:space="0" w:color="auto"/>
                  <w:left w:val="single" w:sz="4" w:space="0" w:color="auto"/>
                  <w:bottom w:val="single" w:sz="4" w:space="0" w:color="auto"/>
                  <w:right w:val="single" w:sz="4" w:space="0" w:color="auto"/>
                </w:tcBorders>
                <w:vAlign w:val="center"/>
              </w:tcPr>
              <w:p>
                <w:pPr>
                  <w:rPr>
                    <w:szCs w:val="24"/>
                  </w:rPr>
                </w:pPr>
              </w:p>
            </w:tc>
            <w:tc>
              <w:tcPr>
                <w:tcW w:w="0" w:type="auto"/>
                <w:vMerge/>
                <w:tcBorders>
                  <w:left w:val="single" w:sz="4" w:space="0" w:color="auto"/>
                  <w:right w:val="single" w:sz="4" w:space="0" w:color="auto"/>
                </w:tcBorders>
                <w:vAlign w:val="center"/>
              </w:tcPr>
              <w:p>
                <w:pPr>
                  <w:rPr>
                    <w:szCs w:val="24"/>
                  </w:rPr>
                </w:pPr>
              </w:p>
            </w:tc>
            <w:tc>
              <w:tcPr>
                <w:tcW w:w="9639" w:type="dxa"/>
                <w:tcBorders>
                  <w:top w:val="single" w:sz="4" w:space="0" w:color="auto"/>
                  <w:left w:val="single" w:sz="4" w:space="0" w:color="auto"/>
                  <w:bottom w:val="single" w:sz="4" w:space="0" w:color="auto"/>
                  <w:right w:val="single" w:sz="4" w:space="0" w:color="auto"/>
                </w:tcBorders>
              </w:tcPr>
              <w:p>
                <w:pPr>
                  <w:jc w:val="both"/>
                  <w:rPr>
                    <w:rFonts w:ascii="Times New Roman" w:hAnsi="Times New Roman" w:cs="Times New Roman"/>
                    <w:sz w:val="24"/>
                    <w:szCs w:val="24"/>
                    <w:lang w:eastAsia="lt-LT"/>
                  </w:rPr>
                </w:pPr>
                <w:r>
                  <w:rPr>
                    <w:rFonts w:ascii="Times New Roman" w:hAnsi="Times New Roman" w:cs="Times New Roman"/>
                    <w:sz w:val="24"/>
                    <w:szCs w:val="24"/>
                    <w:lang w:eastAsia="lt-LT"/>
                  </w:rPr>
                  <w:t>1.4.15.3. Gaižiūnai–Palemonas</w:t>
                </w:r>
              </w:p>
            </w:tc>
          </w:tr>
          <w:tr>
            <w:tc>
              <w:tcPr>
                <w:tcW w:w="0" w:type="auto"/>
                <w:vMerge/>
                <w:tcBorders>
                  <w:top w:val="single" w:sz="4" w:space="0" w:color="auto"/>
                  <w:left w:val="single" w:sz="4" w:space="0" w:color="auto"/>
                  <w:bottom w:val="single" w:sz="4" w:space="0" w:color="auto"/>
                  <w:right w:val="single" w:sz="4" w:space="0" w:color="auto"/>
                </w:tcBorders>
                <w:vAlign w:val="center"/>
              </w:tcPr>
              <w:p>
                <w:pPr>
                  <w:rPr>
                    <w:szCs w:val="24"/>
                  </w:rPr>
                </w:pPr>
              </w:p>
            </w:tc>
            <w:tc>
              <w:tcPr>
                <w:tcW w:w="0" w:type="auto"/>
                <w:vMerge/>
                <w:tcBorders>
                  <w:left w:val="single" w:sz="4" w:space="0" w:color="auto"/>
                  <w:right w:val="single" w:sz="4" w:space="0" w:color="auto"/>
                </w:tcBorders>
                <w:vAlign w:val="center"/>
              </w:tcPr>
              <w:p>
                <w:pPr>
                  <w:rPr>
                    <w:szCs w:val="24"/>
                  </w:rPr>
                </w:pPr>
              </w:p>
            </w:tc>
            <w:tc>
              <w:tcPr>
                <w:tcW w:w="9639" w:type="dxa"/>
                <w:tcBorders>
                  <w:top w:val="single" w:sz="4" w:space="0" w:color="auto"/>
                  <w:left w:val="single" w:sz="4" w:space="0" w:color="auto"/>
                  <w:bottom w:val="single" w:sz="4" w:space="0" w:color="auto"/>
                  <w:right w:val="single" w:sz="4" w:space="0" w:color="auto"/>
                </w:tcBorders>
              </w:tcPr>
              <w:p>
                <w:pPr>
                  <w:jc w:val="both"/>
                  <w:rPr>
                    <w:rFonts w:ascii="Times New Roman" w:hAnsi="Times New Roman" w:cs="Times New Roman"/>
                    <w:sz w:val="24"/>
                    <w:szCs w:val="24"/>
                    <w:lang w:eastAsia="lt-LT"/>
                  </w:rPr>
                </w:pPr>
                <w:r>
                  <w:rPr>
                    <w:rFonts w:ascii="Times New Roman" w:hAnsi="Times New Roman" w:cs="Times New Roman"/>
                    <w:sz w:val="24"/>
                    <w:szCs w:val="24"/>
                    <w:lang w:eastAsia="lt-LT"/>
                  </w:rPr>
                  <w:t>1.4.15.4. Šiauliai–Joniškis–valstybės siena su Latvija</w:t>
                </w:r>
              </w:p>
            </w:tc>
          </w:tr>
          <w:tr>
            <w:tc>
              <w:tcPr>
                <w:tcW w:w="0" w:type="auto"/>
                <w:vMerge/>
                <w:tcBorders>
                  <w:top w:val="single" w:sz="4" w:space="0" w:color="auto"/>
                  <w:left w:val="single" w:sz="4" w:space="0" w:color="auto"/>
                  <w:bottom w:val="single" w:sz="4" w:space="0" w:color="auto"/>
                  <w:right w:val="single" w:sz="4" w:space="0" w:color="auto"/>
                </w:tcBorders>
                <w:vAlign w:val="center"/>
              </w:tcPr>
              <w:p>
                <w:pPr>
                  <w:rPr>
                    <w:szCs w:val="24"/>
                  </w:rPr>
                </w:pPr>
              </w:p>
            </w:tc>
            <w:tc>
              <w:tcPr>
                <w:tcW w:w="0" w:type="auto"/>
                <w:vMerge/>
                <w:tcBorders>
                  <w:left w:val="single" w:sz="4" w:space="0" w:color="auto"/>
                  <w:right w:val="single" w:sz="4" w:space="0" w:color="auto"/>
                </w:tcBorders>
                <w:vAlign w:val="center"/>
              </w:tcPr>
              <w:p>
                <w:pPr>
                  <w:rPr>
                    <w:szCs w:val="24"/>
                  </w:rPr>
                </w:pPr>
              </w:p>
            </w:tc>
            <w:tc>
              <w:tcPr>
                <w:tcW w:w="9639" w:type="dxa"/>
                <w:tcBorders>
                  <w:top w:val="single" w:sz="4" w:space="0" w:color="auto"/>
                  <w:left w:val="single" w:sz="4" w:space="0" w:color="auto"/>
                  <w:bottom w:val="single" w:sz="4" w:space="0" w:color="auto"/>
                  <w:right w:val="single" w:sz="4" w:space="0" w:color="auto"/>
                </w:tcBorders>
              </w:tcPr>
              <w:p>
                <w:pPr>
                  <w:jc w:val="both"/>
                  <w:rPr>
                    <w:rFonts w:ascii="Times New Roman" w:hAnsi="Times New Roman" w:cs="Times New Roman"/>
                    <w:sz w:val="24"/>
                    <w:szCs w:val="24"/>
                    <w:lang w:eastAsia="lt-LT"/>
                  </w:rPr>
                </w:pPr>
                <w:r>
                  <w:rPr>
                    <w:rFonts w:ascii="Times New Roman" w:hAnsi="Times New Roman" w:cs="Times New Roman"/>
                    <w:sz w:val="24"/>
                    <w:szCs w:val="24"/>
                    <w:lang w:eastAsia="lt-LT"/>
                  </w:rPr>
                  <w:t>1.4.15.5. Kazlų Rūda–Šeštokai–Mockava–valstybės siena su Lenkija</w:t>
                </w:r>
              </w:p>
            </w:tc>
          </w:tr>
          <w:tr>
            <w:tc>
              <w:tcPr>
                <w:tcW w:w="0" w:type="auto"/>
                <w:vMerge/>
                <w:tcBorders>
                  <w:top w:val="single" w:sz="4" w:space="0" w:color="auto"/>
                  <w:left w:val="single" w:sz="4" w:space="0" w:color="auto"/>
                  <w:bottom w:val="single" w:sz="4" w:space="0" w:color="auto"/>
                  <w:right w:val="single" w:sz="4" w:space="0" w:color="auto"/>
                </w:tcBorders>
                <w:vAlign w:val="center"/>
              </w:tcPr>
              <w:p>
                <w:pPr>
                  <w:rPr>
                    <w:szCs w:val="24"/>
                  </w:rPr>
                </w:pPr>
              </w:p>
            </w:tc>
            <w:tc>
              <w:tcPr>
                <w:tcW w:w="0" w:type="auto"/>
                <w:vMerge/>
                <w:tcBorders>
                  <w:left w:val="single" w:sz="4" w:space="0" w:color="auto"/>
                  <w:right w:val="single" w:sz="4" w:space="0" w:color="auto"/>
                </w:tcBorders>
                <w:vAlign w:val="center"/>
              </w:tcPr>
              <w:p>
                <w:pPr>
                  <w:rPr>
                    <w:szCs w:val="24"/>
                  </w:rPr>
                </w:pPr>
              </w:p>
            </w:tc>
            <w:tc>
              <w:tcPr>
                <w:tcW w:w="9639" w:type="dxa"/>
                <w:tcBorders>
                  <w:top w:val="single" w:sz="4" w:space="0" w:color="auto"/>
                  <w:left w:val="single" w:sz="4" w:space="0" w:color="auto"/>
                  <w:bottom w:val="single" w:sz="4" w:space="0" w:color="auto"/>
                  <w:right w:val="single" w:sz="4" w:space="0" w:color="auto"/>
                </w:tcBorders>
              </w:tcPr>
              <w:p>
                <w:pPr>
                  <w:jc w:val="both"/>
                  <w:rPr>
                    <w:rFonts w:ascii="Times New Roman" w:hAnsi="Times New Roman" w:cs="Times New Roman"/>
                    <w:sz w:val="24"/>
                    <w:szCs w:val="24"/>
                    <w:lang w:eastAsia="lt-LT"/>
                  </w:rPr>
                </w:pPr>
                <w:r>
                  <w:rPr>
                    <w:rFonts w:ascii="Times New Roman" w:hAnsi="Times New Roman" w:cs="Times New Roman"/>
                    <w:sz w:val="24"/>
                    <w:szCs w:val="24"/>
                    <w:lang w:eastAsia="lt-LT"/>
                  </w:rPr>
                  <w:t>1.4.15.6. Radviliškis–Pagėgiai–valstybės siena su Rusijos Federacija</w:t>
                </w:r>
              </w:p>
            </w:tc>
          </w:tr>
          <w:tr>
            <w:tc>
              <w:tcPr>
                <w:tcW w:w="0" w:type="auto"/>
                <w:vMerge/>
                <w:tcBorders>
                  <w:top w:val="single" w:sz="4" w:space="0" w:color="auto"/>
                  <w:left w:val="single" w:sz="4" w:space="0" w:color="auto"/>
                  <w:bottom w:val="single" w:sz="4" w:space="0" w:color="auto"/>
                  <w:right w:val="single" w:sz="4" w:space="0" w:color="auto"/>
                </w:tcBorders>
                <w:vAlign w:val="center"/>
              </w:tcPr>
              <w:p>
                <w:pPr>
                  <w:rPr>
                    <w:szCs w:val="24"/>
                  </w:rPr>
                </w:pPr>
              </w:p>
            </w:tc>
            <w:tc>
              <w:tcPr>
                <w:tcW w:w="0" w:type="auto"/>
                <w:vMerge/>
                <w:tcBorders>
                  <w:left w:val="single" w:sz="4" w:space="0" w:color="auto"/>
                  <w:right w:val="single" w:sz="4" w:space="0" w:color="auto"/>
                </w:tcBorders>
                <w:vAlign w:val="center"/>
              </w:tcPr>
              <w:p>
                <w:pPr>
                  <w:rPr>
                    <w:szCs w:val="24"/>
                  </w:rPr>
                </w:pPr>
              </w:p>
            </w:tc>
            <w:tc>
              <w:tcPr>
                <w:tcW w:w="9639" w:type="dxa"/>
                <w:tcBorders>
                  <w:top w:val="single" w:sz="4" w:space="0" w:color="auto"/>
                  <w:left w:val="single" w:sz="4" w:space="0" w:color="auto"/>
                  <w:bottom w:val="single" w:sz="4" w:space="0" w:color="auto"/>
                  <w:right w:val="single" w:sz="4" w:space="0" w:color="auto"/>
                </w:tcBorders>
              </w:tcPr>
              <w:p>
                <w:pPr>
                  <w:jc w:val="both"/>
                  <w:rPr>
                    <w:rFonts w:ascii="Times New Roman" w:hAnsi="Times New Roman" w:cs="Times New Roman"/>
                    <w:sz w:val="24"/>
                    <w:szCs w:val="24"/>
                    <w:lang w:eastAsia="lt-LT"/>
                  </w:rPr>
                </w:pPr>
                <w:r>
                  <w:rPr>
                    <w:rFonts w:ascii="Times New Roman" w:hAnsi="Times New Roman" w:cs="Times New Roman"/>
                    <w:sz w:val="24"/>
                    <w:szCs w:val="24"/>
                    <w:lang w:eastAsia="lt-LT"/>
                  </w:rPr>
                  <w:t>1.4.15.7. Radviliškis–Panevėžys–Obeliai–valstybės siena su Latvija</w:t>
                </w:r>
              </w:p>
            </w:tc>
          </w:tr>
          <w:tr>
            <w:tc>
              <w:tcPr>
                <w:tcW w:w="0" w:type="auto"/>
                <w:vMerge/>
                <w:tcBorders>
                  <w:top w:val="single" w:sz="4" w:space="0" w:color="auto"/>
                  <w:left w:val="single" w:sz="4" w:space="0" w:color="auto"/>
                  <w:bottom w:val="single" w:sz="4" w:space="0" w:color="auto"/>
                  <w:right w:val="single" w:sz="4" w:space="0" w:color="auto"/>
                </w:tcBorders>
                <w:vAlign w:val="center"/>
              </w:tcPr>
              <w:p>
                <w:pPr>
                  <w:rPr>
                    <w:szCs w:val="24"/>
                  </w:rPr>
                </w:pPr>
              </w:p>
            </w:tc>
            <w:tc>
              <w:tcPr>
                <w:tcW w:w="0" w:type="auto"/>
                <w:vMerge/>
                <w:tcBorders>
                  <w:left w:val="single" w:sz="4" w:space="0" w:color="auto"/>
                  <w:right w:val="single" w:sz="4" w:space="0" w:color="auto"/>
                </w:tcBorders>
                <w:vAlign w:val="center"/>
              </w:tcPr>
              <w:p>
                <w:pPr>
                  <w:rPr>
                    <w:szCs w:val="24"/>
                  </w:rPr>
                </w:pPr>
              </w:p>
            </w:tc>
            <w:tc>
              <w:tcPr>
                <w:tcW w:w="9639" w:type="dxa"/>
                <w:tcBorders>
                  <w:top w:val="single" w:sz="4" w:space="0" w:color="auto"/>
                  <w:left w:val="single" w:sz="4" w:space="0" w:color="auto"/>
                  <w:bottom w:val="single" w:sz="4" w:space="0" w:color="auto"/>
                  <w:right w:val="single" w:sz="4" w:space="0" w:color="auto"/>
                </w:tcBorders>
              </w:tcPr>
              <w:p>
                <w:pPr>
                  <w:jc w:val="both"/>
                  <w:rPr>
                    <w:rFonts w:ascii="Times New Roman" w:hAnsi="Times New Roman" w:cs="Times New Roman"/>
                    <w:sz w:val="24"/>
                    <w:szCs w:val="24"/>
                    <w:lang w:eastAsia="lt-LT"/>
                  </w:rPr>
                </w:pPr>
                <w:r>
                  <w:rPr>
                    <w:rFonts w:ascii="Times New Roman" w:hAnsi="Times New Roman" w:cs="Times New Roman"/>
                    <w:sz w:val="24"/>
                    <w:szCs w:val="24"/>
                    <w:lang w:eastAsia="lt-LT"/>
                  </w:rPr>
                  <w:t>1.4.15.8. Naujoji Vilnia–Turmantas–valstybės siena su Latvija</w:t>
                </w:r>
              </w:p>
            </w:tc>
          </w:tr>
          <w:tr>
            <w:tc>
              <w:tcPr>
                <w:tcW w:w="0" w:type="auto"/>
                <w:vMerge/>
                <w:tcBorders>
                  <w:top w:val="single" w:sz="4" w:space="0" w:color="auto"/>
                  <w:left w:val="single" w:sz="4" w:space="0" w:color="auto"/>
                  <w:bottom w:val="single" w:sz="4" w:space="0" w:color="auto"/>
                  <w:right w:val="single" w:sz="4" w:space="0" w:color="auto"/>
                </w:tcBorders>
                <w:vAlign w:val="center"/>
              </w:tcPr>
              <w:p>
                <w:pPr>
                  <w:rPr>
                    <w:szCs w:val="24"/>
                  </w:rPr>
                </w:pPr>
              </w:p>
            </w:tc>
            <w:tc>
              <w:tcPr>
                <w:tcW w:w="0" w:type="auto"/>
                <w:vMerge/>
                <w:tcBorders>
                  <w:left w:val="single" w:sz="4" w:space="0" w:color="auto"/>
                  <w:right w:val="single" w:sz="4" w:space="0" w:color="auto"/>
                </w:tcBorders>
                <w:vAlign w:val="center"/>
              </w:tcPr>
              <w:p>
                <w:pPr>
                  <w:rPr>
                    <w:szCs w:val="24"/>
                  </w:rPr>
                </w:pPr>
              </w:p>
            </w:tc>
            <w:tc>
              <w:tcPr>
                <w:tcW w:w="9639" w:type="dxa"/>
                <w:tcBorders>
                  <w:top w:val="single" w:sz="4" w:space="0" w:color="auto"/>
                  <w:left w:val="single" w:sz="4" w:space="0" w:color="auto"/>
                  <w:bottom w:val="single" w:sz="4" w:space="0" w:color="auto"/>
                  <w:right w:val="single" w:sz="4" w:space="0" w:color="auto"/>
                </w:tcBorders>
              </w:tcPr>
              <w:p>
                <w:pPr>
                  <w:jc w:val="both"/>
                  <w:rPr>
                    <w:rFonts w:ascii="Times New Roman" w:hAnsi="Times New Roman" w:cs="Times New Roman"/>
                    <w:sz w:val="24"/>
                    <w:szCs w:val="24"/>
                    <w:lang w:eastAsia="lt-LT"/>
                  </w:rPr>
                </w:pPr>
                <w:r>
                  <w:rPr>
                    <w:rFonts w:ascii="Times New Roman" w:hAnsi="Times New Roman" w:cs="Times New Roman"/>
                    <w:sz w:val="24"/>
                    <w:szCs w:val="24"/>
                    <w:lang w:eastAsia="lt-LT"/>
                  </w:rPr>
                  <w:t>1.4.15.9. Vilnius–Stasylos–valstybės siena su Baltarusija</w:t>
                </w:r>
              </w:p>
            </w:tc>
          </w:tr>
          <w:tr>
            <w:tc>
              <w:tcPr>
                <w:tcW w:w="0" w:type="auto"/>
                <w:vMerge/>
                <w:tcBorders>
                  <w:top w:val="single" w:sz="4" w:space="0" w:color="auto"/>
                  <w:left w:val="single" w:sz="4" w:space="0" w:color="auto"/>
                  <w:bottom w:val="single" w:sz="4" w:space="0" w:color="auto"/>
                  <w:right w:val="single" w:sz="4" w:space="0" w:color="auto"/>
                </w:tcBorders>
                <w:vAlign w:val="center"/>
              </w:tcPr>
              <w:p>
                <w:pPr>
                  <w:rPr>
                    <w:szCs w:val="24"/>
                  </w:rPr>
                </w:pPr>
              </w:p>
            </w:tc>
            <w:tc>
              <w:tcPr>
                <w:tcW w:w="0" w:type="auto"/>
                <w:vMerge/>
                <w:tcBorders>
                  <w:left w:val="single" w:sz="4" w:space="0" w:color="auto"/>
                  <w:right w:val="single" w:sz="4" w:space="0" w:color="auto"/>
                </w:tcBorders>
                <w:vAlign w:val="center"/>
              </w:tcPr>
              <w:p>
                <w:pPr>
                  <w:rPr>
                    <w:szCs w:val="24"/>
                  </w:rPr>
                </w:pPr>
              </w:p>
            </w:tc>
            <w:tc>
              <w:tcPr>
                <w:tcW w:w="9639" w:type="dxa"/>
                <w:tcBorders>
                  <w:top w:val="single" w:sz="4" w:space="0" w:color="auto"/>
                  <w:left w:val="single" w:sz="4" w:space="0" w:color="auto"/>
                  <w:bottom w:val="single" w:sz="4" w:space="0" w:color="auto"/>
                  <w:right w:val="single" w:sz="4" w:space="0" w:color="auto"/>
                </w:tcBorders>
              </w:tcPr>
              <w:p>
                <w:pPr>
                  <w:rPr>
                    <w:rFonts w:ascii="Times New Roman" w:hAnsi="Times New Roman" w:cs="Times New Roman"/>
                    <w:color w:val="000000"/>
                    <w:sz w:val="24"/>
                    <w:szCs w:val="24"/>
                  </w:rPr>
                </w:pPr>
                <w:r>
                  <w:rPr>
                    <w:rFonts w:ascii="Times New Roman" w:hAnsi="Times New Roman" w:cs="Times New Roman"/>
                    <w:color w:val="000000"/>
                    <w:sz w:val="24"/>
                    <w:szCs w:val="24"/>
                  </w:rPr>
                  <w:t xml:space="preserve">1.4.16. Vaidotų kuro bazė, esanti adresu Vilnius, Terminalo g. 8 </w:t>
                </w:r>
              </w:p>
            </w:tc>
          </w:tr>
          <w:tr>
            <w:tc>
              <w:tcPr>
                <w:tcW w:w="0" w:type="auto"/>
                <w:vMerge/>
                <w:tcBorders>
                  <w:top w:val="single" w:sz="4" w:space="0" w:color="auto"/>
                  <w:left w:val="single" w:sz="4" w:space="0" w:color="auto"/>
                  <w:bottom w:val="single" w:sz="4" w:space="0" w:color="auto"/>
                  <w:right w:val="single" w:sz="4" w:space="0" w:color="auto"/>
                </w:tcBorders>
                <w:vAlign w:val="center"/>
              </w:tcPr>
              <w:p>
                <w:pPr>
                  <w:rPr>
                    <w:szCs w:val="24"/>
                  </w:rPr>
                </w:pPr>
              </w:p>
            </w:tc>
            <w:tc>
              <w:tcPr>
                <w:tcW w:w="0" w:type="auto"/>
                <w:vMerge/>
                <w:tcBorders>
                  <w:left w:val="single" w:sz="4" w:space="0" w:color="auto"/>
                  <w:right w:val="single" w:sz="4" w:space="0" w:color="auto"/>
                </w:tcBorders>
                <w:vAlign w:val="center"/>
              </w:tcPr>
              <w:p>
                <w:pPr>
                  <w:rPr>
                    <w:szCs w:val="24"/>
                  </w:rPr>
                </w:pPr>
              </w:p>
            </w:tc>
            <w:tc>
              <w:tcPr>
                <w:tcW w:w="9639" w:type="dxa"/>
                <w:tcBorders>
                  <w:top w:val="single" w:sz="4" w:space="0" w:color="auto"/>
                  <w:left w:val="single" w:sz="4" w:space="0" w:color="auto"/>
                  <w:bottom w:val="single" w:sz="4" w:space="0" w:color="auto"/>
                  <w:right w:val="single" w:sz="4" w:space="0" w:color="auto"/>
                </w:tcBorders>
              </w:tcPr>
              <w:p>
                <w:pPr>
                  <w:jc w:val="both"/>
                  <w:rPr>
                    <w:rFonts w:ascii="Times New Roman" w:hAnsi="Times New Roman" w:cs="Times New Roman"/>
                    <w:sz w:val="24"/>
                    <w:szCs w:val="24"/>
                    <w:lang w:eastAsia="lt-LT"/>
                  </w:rPr>
                </w:pPr>
                <w:r>
                  <w:rPr>
                    <w:rFonts w:ascii="Times New Roman" w:hAnsi="Times New Roman" w:cs="Times New Roman"/>
                    <w:sz w:val="24"/>
                    <w:szCs w:val="24"/>
                    <w:lang w:eastAsia="lt-LT"/>
                  </w:rPr>
                  <w:t>1.4.17. Radviliškio kuro bazė, esanti adresu Radviliškis, Laisvės al. 17</w:t>
                </w:r>
              </w:p>
            </w:tc>
          </w:tr>
          <w:tr>
            <w:tc>
              <w:tcPr>
                <w:tcW w:w="0" w:type="auto"/>
                <w:vMerge/>
                <w:tcBorders>
                  <w:top w:val="single" w:sz="4" w:space="0" w:color="auto"/>
                  <w:left w:val="single" w:sz="4" w:space="0" w:color="auto"/>
                  <w:bottom w:val="single" w:sz="4" w:space="0" w:color="auto"/>
                  <w:right w:val="single" w:sz="4" w:space="0" w:color="auto"/>
                </w:tcBorders>
                <w:vAlign w:val="center"/>
              </w:tcPr>
              <w:p>
                <w:pPr>
                  <w:rPr>
                    <w:szCs w:val="24"/>
                  </w:rPr>
                </w:pPr>
              </w:p>
            </w:tc>
            <w:tc>
              <w:tcPr>
                <w:tcW w:w="0" w:type="auto"/>
                <w:vMerge/>
                <w:tcBorders>
                  <w:left w:val="single" w:sz="4" w:space="0" w:color="auto"/>
                  <w:right w:val="single" w:sz="4" w:space="0" w:color="auto"/>
                </w:tcBorders>
                <w:vAlign w:val="center"/>
              </w:tcPr>
              <w:p>
                <w:pPr>
                  <w:rPr>
                    <w:szCs w:val="24"/>
                  </w:rPr>
                </w:pPr>
              </w:p>
            </w:tc>
            <w:tc>
              <w:tcPr>
                <w:tcW w:w="9639" w:type="dxa"/>
                <w:tcBorders>
                  <w:top w:val="single" w:sz="4" w:space="0" w:color="auto"/>
                  <w:left w:val="single" w:sz="4" w:space="0" w:color="auto"/>
                  <w:bottom w:val="single" w:sz="4" w:space="0" w:color="auto"/>
                  <w:right w:val="single" w:sz="4" w:space="0" w:color="auto"/>
                </w:tcBorders>
              </w:tcPr>
              <w:p>
                <w:pPr>
                  <w:jc w:val="both"/>
                  <w:rPr>
                    <w:rFonts w:ascii="Times New Roman" w:hAnsi="Times New Roman" w:cs="Times New Roman"/>
                    <w:sz w:val="24"/>
                    <w:szCs w:val="24"/>
                    <w:lang w:eastAsia="lt-LT"/>
                  </w:rPr>
                </w:pPr>
                <w:r>
                  <w:rPr>
                    <w:rFonts w:ascii="Times New Roman" w:hAnsi="Times New Roman" w:cs="Times New Roman"/>
                    <w:sz w:val="24"/>
                    <w:szCs w:val="24"/>
                    <w:lang w:eastAsia="lt-LT"/>
                  </w:rPr>
                  <w:t>1.4.18. Klaipėdos kuro sandėlis, esantis adresu Klaipėda, S. Daukanto g. 47</w:t>
                </w:r>
              </w:p>
            </w:tc>
          </w:tr>
          <w:tr>
            <w:tc>
              <w:tcPr>
                <w:tcW w:w="0" w:type="auto"/>
                <w:vMerge/>
                <w:tcBorders>
                  <w:top w:val="single" w:sz="4" w:space="0" w:color="auto"/>
                  <w:left w:val="single" w:sz="4" w:space="0" w:color="auto"/>
                  <w:bottom w:val="single" w:sz="4" w:space="0" w:color="auto"/>
                  <w:right w:val="single" w:sz="4" w:space="0" w:color="auto"/>
                </w:tcBorders>
                <w:vAlign w:val="center"/>
              </w:tcPr>
              <w:p>
                <w:pPr>
                  <w:rPr>
                    <w:szCs w:val="24"/>
                  </w:rPr>
                </w:pPr>
              </w:p>
            </w:tc>
            <w:tc>
              <w:tcPr>
                <w:tcW w:w="0" w:type="auto"/>
                <w:vMerge/>
                <w:tcBorders>
                  <w:left w:val="single" w:sz="4" w:space="0" w:color="auto"/>
                  <w:right w:val="single" w:sz="4" w:space="0" w:color="auto"/>
                </w:tcBorders>
                <w:vAlign w:val="center"/>
              </w:tcPr>
              <w:p>
                <w:pPr>
                  <w:rPr>
                    <w:szCs w:val="24"/>
                  </w:rPr>
                </w:pPr>
              </w:p>
            </w:tc>
            <w:tc>
              <w:tcPr>
                <w:tcW w:w="9639" w:type="dxa"/>
                <w:tcBorders>
                  <w:top w:val="single" w:sz="4" w:space="0" w:color="auto"/>
                  <w:left w:val="single" w:sz="4" w:space="0" w:color="auto"/>
                  <w:bottom w:val="single" w:sz="4" w:space="0" w:color="auto"/>
                  <w:right w:val="single" w:sz="4" w:space="0" w:color="auto"/>
                </w:tcBorders>
              </w:tcPr>
              <w:p>
                <w:pPr>
                  <w:jc w:val="both"/>
                  <w:rPr>
                    <w:rFonts w:ascii="Times New Roman" w:hAnsi="Times New Roman" w:cs="Times New Roman"/>
                    <w:sz w:val="24"/>
                    <w:szCs w:val="24"/>
                    <w:lang w:eastAsia="lt-LT"/>
                  </w:rPr>
                </w:pPr>
                <w:r>
                  <w:rPr>
                    <w:rFonts w:ascii="Times New Roman" w:hAnsi="Times New Roman" w:cs="Times New Roman"/>
                    <w:color w:val="000000"/>
                    <w:sz w:val="24"/>
                    <w:szCs w:val="24"/>
                    <w:lang w:eastAsia="lt-LT"/>
                  </w:rPr>
                  <w:t>1.4.19. Ypatingos valstybinės svarbos projekto „Rail Baltica“ geležinkelio linija</w:t>
                </w:r>
              </w:p>
            </w:tc>
          </w:tr>
          <w:tr>
            <w:tc>
              <w:tcPr>
                <w:tcW w:w="0" w:type="auto"/>
                <w:vMerge/>
                <w:tcBorders>
                  <w:top w:val="single" w:sz="4" w:space="0" w:color="auto"/>
                  <w:left w:val="single" w:sz="4" w:space="0" w:color="auto"/>
                  <w:bottom w:val="single" w:sz="4" w:space="0" w:color="auto"/>
                  <w:right w:val="single" w:sz="4" w:space="0" w:color="auto"/>
                </w:tcBorders>
                <w:vAlign w:val="center"/>
              </w:tcPr>
              <w:p>
                <w:pPr>
                  <w:rPr>
                    <w:szCs w:val="24"/>
                  </w:rPr>
                </w:pPr>
              </w:p>
            </w:tc>
            <w:tc>
              <w:tcPr>
                <w:tcW w:w="0" w:type="auto"/>
                <w:vMerge/>
                <w:tcBorders>
                  <w:left w:val="single" w:sz="4" w:space="0" w:color="auto"/>
                  <w:bottom w:val="single" w:sz="4" w:space="0" w:color="auto"/>
                  <w:right w:val="single" w:sz="4" w:space="0" w:color="auto"/>
                </w:tcBorders>
                <w:vAlign w:val="center"/>
              </w:tcPr>
              <w:p>
                <w:pPr>
                  <w:rPr>
                    <w:szCs w:val="24"/>
                  </w:rPr>
                </w:pPr>
              </w:p>
            </w:tc>
            <w:tc>
              <w:tcPr>
                <w:tcW w:w="9639" w:type="dxa"/>
                <w:tcBorders>
                  <w:top w:val="single" w:sz="4" w:space="0" w:color="auto"/>
                  <w:left w:val="single" w:sz="4" w:space="0" w:color="auto"/>
                  <w:bottom w:val="single" w:sz="4" w:space="0" w:color="auto"/>
                  <w:right w:val="single" w:sz="4" w:space="0" w:color="auto"/>
                </w:tcBorders>
              </w:tcPr>
              <w:p>
                <w:pPr>
                  <w:jc w:val="both"/>
                  <w:rPr>
                    <w:rFonts w:ascii="Times New Roman" w:hAnsi="Times New Roman" w:cs="Times New Roman"/>
                    <w:color w:val="000000"/>
                    <w:sz w:val="24"/>
                    <w:szCs w:val="24"/>
                    <w:lang w:eastAsia="lt-LT"/>
                  </w:rPr>
                </w:pPr>
                <w:r>
                  <w:rPr>
                    <w:rFonts w:ascii="Times New Roman" w:hAnsi="Times New Roman" w:cs="Times New Roman"/>
                    <w:color w:val="000000"/>
                    <w:sz w:val="24"/>
                    <w:szCs w:val="24"/>
                    <w:lang w:eastAsia="lt-LT"/>
                  </w:rPr>
                  <w:t xml:space="preserve">1.4.20. </w:t>
                </w:r>
                <w:r>
                  <w:rPr>
                    <w:rFonts w:ascii="Times New Roman" w:hAnsi="Times New Roman" w:cs="Times New Roman"/>
                    <w:bCs/>
                    <w:color w:val="000000"/>
                    <w:sz w:val="24"/>
                    <w:szCs w:val="24"/>
                    <w:lang w:eastAsia="lt-LT"/>
                  </w:rPr>
                  <w:t>Į karines teritorijos vedantys ar šiose teritorijose esantys geležinkelio keliai</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4657"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rPr>
                </w:pPr>
                <w:r>
                  <w:rPr>
                    <w:rFonts w:ascii="Times New Roman" w:hAnsi="Times New Roman" w:cs="Times New Roman"/>
                    <w:sz w:val="24"/>
                    <w:szCs w:val="24"/>
                  </w:rPr>
                  <w:t>1.5. Klaipėdos valstybinio jūrų uosto hidrotechniniai įrenginiai, krantinės, navigacijos keliai ir kanalai, navigaciniai įrenginiai ir kiti infrastruktūros objektai</w:t>
                </w: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rPr>
                </w:pPr>
                <w:r>
                  <w:rPr>
                    <w:rFonts w:ascii="Times New Roman" w:hAnsi="Times New Roman" w:cs="Times New Roman"/>
                    <w:sz w:val="24"/>
                    <w:szCs w:val="24"/>
                  </w:rPr>
                  <w:t>1.5.1. Klaipėdos valstybinio jūrų uosto hidrotechniniai įrenginiai, krantinės, navigacijos keliai ir kanalai, navigaciniai įrenginiai ir kiti infrastruktūros objektai, esantys Klaipėdos valstybinio jūrų uosto teritorijoje</w:t>
                </w:r>
              </w:p>
            </w:tc>
          </w:tr>
          <w:tr>
            <w:trPr>
              <w:trHeight w:val="1188"/>
            </w:trP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4657"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rPr>
                </w:pPr>
                <w:r>
                  <w:rPr>
                    <w:rFonts w:ascii="Times New Roman" w:hAnsi="Times New Roman" w:cs="Times New Roman"/>
                    <w:sz w:val="24"/>
                    <w:szCs w:val="24"/>
                  </w:rPr>
                  <w:t>1.6. Oro erdvės valdymo sistemos, oro eismo srautų valdymo sistemos, oro eismo paslaugų sistemos, ryšių sistemos, navigacijos sistemos, stebėjimo (apžvalgos) sistemos įrenginiai, oro navigacijos informacijos paslaugų sistemos</w:t>
                </w: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rPr>
                </w:pPr>
                <w:r>
                  <w:rPr>
                    <w:rFonts w:ascii="Times New Roman" w:hAnsi="Times New Roman" w:cs="Times New Roman"/>
                    <w:sz w:val="24"/>
                    <w:szCs w:val="24"/>
                  </w:rPr>
                  <w:t>1.6.1. Oro erdvės valdymo sistemos, oro eismo srautų valdymo sistemos, oro eismo paslaugų sistemos, ryšių sistemos, navigacijos sistemos, stebėjimo (apžvalgos) sistemos įrenginiai, oro navigacijos informacijos paslaugų sistemos</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4657"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rPr>
                </w:pPr>
                <w:r>
                  <w:rPr>
                    <w:rFonts w:ascii="Times New Roman" w:hAnsi="Times New Roman" w:cs="Times New Roman"/>
                    <w:sz w:val="24"/>
                    <w:szCs w:val="24"/>
                  </w:rPr>
                  <w:t>1.7. Valstybės įmonės Registrų centro informacinių technologijų techninė ir programinė įranga, programinės įrangos platformos ir pagrindinių valstybės registrų bei valstybės informacinių sistemų, kuriose tvarkoma ypatingos svarbos informacija, duomenys</w:t>
                </w: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highlight w:val="yellow"/>
                  </w:rPr>
                </w:pPr>
                <w:r>
                  <w:rPr>
                    <w:rFonts w:ascii="Times New Roman" w:eastAsia="Times New Roman" w:hAnsi="Times New Roman" w:cs="Times New Roman"/>
                    <w:sz w:val="24"/>
                    <w:szCs w:val="24"/>
                  </w:rPr>
                  <w:t>1.7.1. Administraciniai pastatai, esantys adresu Vilnius, Vinco Kudirkos g. 18-3 ir Tilto g. 17</w:t>
                </w:r>
              </w:p>
            </w:tc>
          </w:tr>
          <w:tr>
            <w:tc>
              <w:tcPr>
                <w:tcW w:w="696" w:type="dxa"/>
                <w:vMerge w:val="restart"/>
                <w:tcBorders>
                  <w:top w:val="single" w:sz="4" w:space="0" w:color="auto"/>
                  <w:left w:val="single" w:sz="4" w:space="0" w:color="auto"/>
                  <w:bottom w:val="single" w:sz="4" w:space="0" w:color="auto"/>
                  <w:right w:val="single" w:sz="4" w:space="0" w:color="auto"/>
                </w:tcBorders>
              </w:tcPr>
              <w:p>
                <w:pPr>
                  <w:rPr>
                    <w:rFonts w:ascii="Times New Roman" w:hAnsi="Times New Roman" w:cs="Times New Roman"/>
                    <w:sz w:val="24"/>
                    <w:szCs w:val="24"/>
                  </w:rPr>
                </w:pPr>
              </w:p>
              <w:p>
                <w:pPr>
                  <w:rPr>
                    <w:rFonts w:ascii="Times New Roman" w:hAnsi="Times New Roman" w:cs="Times New Roman"/>
                    <w:sz w:val="24"/>
                    <w:szCs w:val="24"/>
                  </w:rPr>
                </w:pPr>
                <w:r>
                  <w:rPr>
                    <w:rFonts w:ascii="Times New Roman" w:hAnsi="Times New Roman" w:cs="Times New Roman"/>
                    <w:sz w:val="24"/>
                    <w:szCs w:val="24"/>
                  </w:rPr>
                  <w:t>2.</w:t>
                </w:r>
              </w:p>
            </w:tc>
            <w:tc>
              <w:tcPr>
                <w:tcW w:w="14296" w:type="dxa"/>
                <w:gridSpan w:val="2"/>
                <w:tcBorders>
                  <w:top w:val="single" w:sz="4" w:space="0" w:color="auto"/>
                  <w:left w:val="single" w:sz="4" w:space="0" w:color="auto"/>
                  <w:bottom w:val="single" w:sz="4" w:space="0" w:color="auto"/>
                  <w:right w:val="single" w:sz="4" w:space="0" w:color="auto"/>
                </w:tcBorders>
              </w:tcPr>
              <w:p>
                <w:pPr>
                  <w:jc w:val="both"/>
                  <w:rPr>
                    <w:rFonts w:ascii="Times New Roman" w:hAnsi="Times New Roman" w:cs="Times New Roman"/>
                    <w:sz w:val="24"/>
                    <w:szCs w:val="24"/>
                  </w:rPr>
                </w:pPr>
              </w:p>
              <w:p>
                <w:pPr>
                  <w:jc w:val="both"/>
                  <w:rPr>
                    <w:rFonts w:ascii="Times New Roman" w:hAnsi="Times New Roman" w:cs="Times New Roman"/>
                    <w:sz w:val="24"/>
                    <w:szCs w:val="24"/>
                  </w:rPr>
                </w:pPr>
                <w:r>
                  <w:rPr>
                    <w:rFonts w:ascii="Times New Roman" w:hAnsi="Times New Roman" w:cs="Times New Roman"/>
                    <w:sz w:val="24"/>
                    <w:szCs w:val="24"/>
                  </w:rPr>
                  <w:t>Nacionaliniam saugumui užtikrinti svarbią reikšmę turinti infrastruktūra</w:t>
                </w:r>
              </w:p>
              <w:p>
                <w:pPr>
                  <w:jc w:val="both"/>
                  <w:rPr>
                    <w:rFonts w:ascii="Times New Roman" w:hAnsi="Times New Roman" w:cs="Times New Roman"/>
                    <w:sz w:val="24"/>
                    <w:szCs w:val="24"/>
                  </w:rPr>
                </w:pPr>
              </w:p>
            </w:tc>
          </w:tr>
          <w:tr>
            <w:trPr>
              <w:trHeight w:val="694"/>
            </w:trP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4657" w:type="dxa"/>
                <w:vMerge w:val="restart"/>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rPr>
                </w:pPr>
                <w:r>
                  <w:rPr>
                    <w:rFonts w:ascii="Times New Roman" w:hAnsi="Times New Roman" w:cs="Times New Roman"/>
                    <w:sz w:val="24"/>
                    <w:szCs w:val="24"/>
                  </w:rPr>
                  <w:t>2.1. Viešiesiems geriamojo vandens tiekėjams ir nuotekų tvarkytojams nuosavybės teise priklausanti ar kitaip valdoma ir (arba) naudojama geriamojo vandens tiekimo ir (arba) nuotekų tvarkymo infrastruktūra</w:t>
                </w: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rPr>
                </w:pPr>
                <w:r>
                  <w:rPr>
                    <w:rFonts w:ascii="Times New Roman" w:hAnsi="Times New Roman" w:cs="Times New Roman"/>
                    <w:sz w:val="24"/>
                    <w:szCs w:val="24"/>
                  </w:rPr>
                  <w:t xml:space="preserve">2.1.1. Viešiesiems geriamojo vandens tiekėjams ir nuotekų tvarkytojams nuosavybės teise priklausančios ar kitaip valdomos ir (arba) naudojamos vandenvietės: </w:t>
                </w:r>
              </w:p>
            </w:tc>
          </w:tr>
          <w:tr>
            <w:trPr>
              <w:trHeight w:val="278"/>
            </w:trP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b/>
                    <w:i/>
                    <w:sz w:val="24"/>
                    <w:szCs w:val="24"/>
                    <w:u w:val="single"/>
                  </w:rPr>
                </w:pPr>
                <w:r>
                  <w:rPr>
                    <w:rFonts w:ascii="Times New Roman" w:hAnsi="Times New Roman" w:cs="Times New Roman"/>
                    <w:sz w:val="24"/>
                    <w:szCs w:val="24"/>
                  </w:rPr>
                  <w:t xml:space="preserve">2.1.1.1. vandens išgavimo įrenginiai </w:t>
                </w:r>
              </w:p>
            </w:tc>
          </w:tr>
          <w:tr>
            <w:trPr>
              <w:trHeight w:val="267"/>
            </w:trP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b/>
                    <w:i/>
                    <w:sz w:val="24"/>
                    <w:szCs w:val="24"/>
                    <w:u w:val="single"/>
                  </w:rPr>
                </w:pPr>
                <w:r>
                  <w:rPr>
                    <w:rFonts w:ascii="Times New Roman" w:hAnsi="Times New Roman" w:cs="Times New Roman"/>
                    <w:sz w:val="24"/>
                    <w:szCs w:val="24"/>
                  </w:rPr>
                  <w:t>2.1.1.2. vandens tiekimo siurblinės</w:t>
                </w:r>
              </w:p>
            </w:tc>
          </w:tr>
          <w:tr>
            <w:trPr>
              <w:trHeight w:val="272"/>
            </w:trP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b/>
                    <w:i/>
                    <w:sz w:val="24"/>
                    <w:szCs w:val="24"/>
                    <w:u w:val="single"/>
                  </w:rPr>
                </w:pPr>
                <w:r>
                  <w:rPr>
                    <w:rFonts w:ascii="Times New Roman" w:hAnsi="Times New Roman" w:cs="Times New Roman"/>
                    <w:sz w:val="24"/>
                    <w:szCs w:val="24"/>
                  </w:rPr>
                  <w:t>2.1.1.3. vandens gerinimo įrenginiai</w:t>
                </w:r>
              </w:p>
            </w:tc>
          </w:tr>
          <w:tr>
            <w:trPr>
              <w:trHeight w:val="261"/>
            </w:trP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rPr>
                </w:pPr>
                <w:r>
                  <w:rPr>
                    <w:rFonts w:ascii="Times New Roman" w:hAnsi="Times New Roman" w:cs="Times New Roman"/>
                    <w:sz w:val="24"/>
                    <w:szCs w:val="24"/>
                  </w:rPr>
                  <w:t>2.1.1.4. geriamojo vandens rezervuarai</w:t>
                </w:r>
              </w:p>
            </w:tc>
          </w:tr>
          <w:tr>
            <w:trPr>
              <w:trHeight w:val="521"/>
            </w:trP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rPr>
                </w:pPr>
                <w:r>
                  <w:rPr>
                    <w:rFonts w:ascii="Times New Roman" w:hAnsi="Times New Roman" w:cs="Times New Roman"/>
                    <w:sz w:val="24"/>
                    <w:szCs w:val="24"/>
                  </w:rPr>
                  <w:t xml:space="preserve">2.1.2. Viešiesiems geriamojo vandens tiekėjams ir nuotekų tvarkytojams nuosavybės teise priklausantys ar kitaip valdomi ir (arba) naudojami nuotekų tvarkymo įrenginiai: </w:t>
                </w:r>
              </w:p>
            </w:tc>
          </w:tr>
          <w:tr>
            <w:trPr>
              <w:trHeight w:val="311"/>
            </w:trP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b/>
                    <w:i/>
                    <w:sz w:val="24"/>
                    <w:szCs w:val="24"/>
                    <w:u w:val="single"/>
                  </w:rPr>
                </w:pPr>
                <w:r>
                  <w:rPr>
                    <w:rFonts w:ascii="Times New Roman" w:hAnsi="Times New Roman" w:cs="Times New Roman"/>
                    <w:sz w:val="24"/>
                    <w:szCs w:val="24"/>
                  </w:rPr>
                  <w:t>2.1.2.1. siurblinės</w:t>
                </w:r>
              </w:p>
            </w:tc>
          </w:tr>
          <w:tr>
            <w:trPr>
              <w:trHeight w:val="259"/>
            </w:trP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b/>
                    <w:i/>
                    <w:sz w:val="24"/>
                    <w:szCs w:val="24"/>
                    <w:u w:val="single"/>
                  </w:rPr>
                </w:pPr>
                <w:r>
                  <w:rPr>
                    <w:rFonts w:ascii="Times New Roman" w:hAnsi="Times New Roman" w:cs="Times New Roman"/>
                    <w:sz w:val="24"/>
                    <w:szCs w:val="24"/>
                  </w:rPr>
                  <w:t>2.1.2.2. nuotekų valyklos</w:t>
                </w:r>
              </w:p>
            </w:tc>
          </w:tr>
          <w:tr>
            <w:trPr>
              <w:trHeight w:val="263"/>
            </w:trP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b/>
                    <w:i/>
                    <w:sz w:val="24"/>
                    <w:szCs w:val="24"/>
                    <w:u w:val="single"/>
                  </w:rPr>
                </w:pPr>
                <w:r>
                  <w:rPr>
                    <w:rFonts w:ascii="Times New Roman" w:hAnsi="Times New Roman" w:cs="Times New Roman"/>
                    <w:sz w:val="24"/>
                    <w:szCs w:val="24"/>
                  </w:rPr>
                  <w:t>2.1.2.3. nuotekų kaupimo rezervuarai</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4657" w:type="dxa"/>
                <w:vMerge w:val="restart"/>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rPr>
                </w:pPr>
                <w:r>
                  <w:rPr>
                    <w:rFonts w:ascii="Times New Roman" w:hAnsi="Times New Roman" w:cs="Times New Roman"/>
                    <w:sz w:val="24"/>
                    <w:szCs w:val="24"/>
                  </w:rPr>
                  <w:t>2.2. Polderiai ir jų statiniai Klaipėdos ir Šilutės rajonų bei Pagėgių savivaldybėse</w:t>
                </w: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rPr>
                </w:pPr>
                <w:r>
                  <w:rPr>
                    <w:rFonts w:ascii="Times New Roman" w:hAnsi="Times New Roman" w:cs="Times New Roman"/>
                    <w:sz w:val="24"/>
                    <w:szCs w:val="24"/>
                  </w:rPr>
                  <w:t>2.2.1. Klaipėdos rajono savivaldybėje esantys polderiai ir jų statiniai:</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highlight w:val="red"/>
                  </w:rPr>
                </w:pPr>
                <w:r>
                  <w:rPr>
                    <w:rFonts w:ascii="Times New Roman" w:hAnsi="Times New Roman" w:cs="Times New Roman"/>
                    <w:sz w:val="24"/>
                    <w:szCs w:val="24"/>
                  </w:rPr>
                  <w:t>2.2.1.1. 6 žieminiai polderiai: plotas – 9290 ha, pylimų ilgis – 49,1 km, griovių ilgis – 136 km</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highlight w:val="red"/>
                  </w:rPr>
                </w:pPr>
                <w:r>
                  <w:rPr>
                    <w:rFonts w:ascii="Times New Roman" w:hAnsi="Times New Roman" w:cs="Times New Roman"/>
                    <w:sz w:val="24"/>
                    <w:szCs w:val="24"/>
                  </w:rPr>
                  <w:t>2.2.1.2. siurblinės – 7 vnt.</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highlight w:val="red"/>
                  </w:rPr>
                </w:pPr>
                <w:r>
                  <w:rPr>
                    <w:rFonts w:ascii="Times New Roman" w:hAnsi="Times New Roman" w:cs="Times New Roman"/>
                    <w:sz w:val="24"/>
                    <w:szCs w:val="24"/>
                  </w:rPr>
                  <w:t>2.2.1.3. pralaidos – 137 vnt.</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rPr>
                </w:pPr>
                <w:r>
                  <w:rPr>
                    <w:rFonts w:ascii="Times New Roman" w:hAnsi="Times New Roman" w:cs="Times New Roman"/>
                    <w:sz w:val="24"/>
                    <w:szCs w:val="24"/>
                  </w:rPr>
                  <w:t>2.2.1.4. reguliavimo šliuzas – 1 vnt.</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rPr>
                </w:pPr>
                <w:r>
                  <w:rPr>
                    <w:rFonts w:ascii="Times New Roman" w:hAnsi="Times New Roman" w:cs="Times New Roman"/>
                    <w:sz w:val="24"/>
                    <w:szCs w:val="24"/>
                  </w:rPr>
                  <w:t>2.2.1.5. tiltai – 3 vnt.</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highlight w:val="red"/>
                  </w:rPr>
                </w:pPr>
                <w:r>
                  <w:rPr>
                    <w:rFonts w:ascii="Times New Roman" w:hAnsi="Times New Roman" w:cs="Times New Roman"/>
                    <w:sz w:val="24"/>
                    <w:szCs w:val="24"/>
                  </w:rPr>
                  <w:t>2.2.2. Šilutės rajono savivaldybėje esantys polderiai ir jų statiniai:</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highlight w:val="red"/>
                  </w:rPr>
                </w:pPr>
                <w:r>
                  <w:rPr>
                    <w:rFonts w:ascii="Times New Roman" w:hAnsi="Times New Roman" w:cs="Times New Roman"/>
                    <w:sz w:val="24"/>
                    <w:szCs w:val="24"/>
                  </w:rPr>
                  <w:t>2.2.2.1. 12 žieminių ir 13 vasarinių polderių: plotas – 26238 ha, pylimų ilgis – 218,87 km, griovių ilgis – 822  km</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highlight w:val="red"/>
                  </w:rPr>
                </w:pPr>
                <w:r>
                  <w:rPr>
                    <w:rFonts w:ascii="Times New Roman" w:hAnsi="Times New Roman" w:cs="Times New Roman"/>
                    <w:sz w:val="24"/>
                    <w:szCs w:val="24"/>
                  </w:rPr>
                  <w:t>2.2.2.2. siurblinės – 38 vnt.</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highlight w:val="red"/>
                  </w:rPr>
                </w:pPr>
                <w:r>
                  <w:rPr>
                    <w:rFonts w:ascii="Times New Roman" w:hAnsi="Times New Roman" w:cs="Times New Roman"/>
                    <w:sz w:val="24"/>
                    <w:szCs w:val="24"/>
                  </w:rPr>
                  <w:t>2.2.2.3. pralaidos – 676 vnt.</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highlight w:val="red"/>
                  </w:rPr>
                </w:pPr>
                <w:r>
                  <w:rPr>
                    <w:rFonts w:ascii="Times New Roman" w:hAnsi="Times New Roman" w:cs="Times New Roman"/>
                    <w:sz w:val="24"/>
                    <w:szCs w:val="24"/>
                  </w:rPr>
                  <w:t>2.2.2.4. reguliavimo šliuzai – 52 vnt.</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highlight w:val="red"/>
                  </w:rPr>
                </w:pPr>
                <w:r>
                  <w:rPr>
                    <w:rFonts w:ascii="Times New Roman" w:hAnsi="Times New Roman" w:cs="Times New Roman"/>
                    <w:sz w:val="24"/>
                    <w:szCs w:val="24"/>
                  </w:rPr>
                  <w:t>2.2.2.5. tiltai – 16 vnt.</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highlight w:val="red"/>
                  </w:rPr>
                </w:pPr>
                <w:r>
                  <w:rPr>
                    <w:rFonts w:ascii="Times New Roman" w:hAnsi="Times New Roman" w:cs="Times New Roman"/>
                    <w:sz w:val="24"/>
                    <w:szCs w:val="24"/>
                  </w:rPr>
                  <w:t>2.2.3. Pagėgių savivaldybėje</w:t>
                </w:r>
                <w:r>
                  <w:t xml:space="preserve"> </w:t>
                </w:r>
                <w:r>
                  <w:rPr>
                    <w:rFonts w:ascii="Times New Roman" w:hAnsi="Times New Roman" w:cs="Times New Roman"/>
                    <w:sz w:val="24"/>
                    <w:szCs w:val="24"/>
                  </w:rPr>
                  <w:t>esantys polderiai ir jų statiniai:</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highlight w:val="red"/>
                  </w:rPr>
                </w:pPr>
                <w:r>
                  <w:rPr>
                    <w:rFonts w:ascii="Times New Roman" w:hAnsi="Times New Roman" w:cs="Times New Roman"/>
                    <w:sz w:val="24"/>
                    <w:szCs w:val="24"/>
                  </w:rPr>
                  <w:t xml:space="preserve">2.2.3.1. </w:t>
                </w:r>
                <w:r>
                  <w:rPr>
                    <w:rFonts w:ascii="Times New Roman" w:hAnsi="Times New Roman"/>
                    <w:sz w:val="24"/>
                    <w:szCs w:val="24"/>
                  </w:rPr>
                  <w:t>3 vasariniai polderiai: plotas 4729 ha,</w:t>
                </w:r>
                <w:r>
                  <w:rPr>
                    <w:rFonts w:ascii="Times New Roman" w:hAnsi="Times New Roman" w:cs="Times New Roman"/>
                    <w:sz w:val="24"/>
                    <w:szCs w:val="24"/>
                  </w:rPr>
                  <w:t xml:space="preserve"> pylimų ilgis – 21 km, griovių ilgis – 82,5 km</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highlight w:val="red"/>
                  </w:rPr>
                </w:pPr>
                <w:r>
                  <w:rPr>
                    <w:rFonts w:ascii="Times New Roman" w:hAnsi="Times New Roman" w:cs="Times New Roman"/>
                    <w:sz w:val="24"/>
                    <w:szCs w:val="24"/>
                  </w:rPr>
                  <w:t>2.2.3.2. siurblinė – 1 vnt.</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highlight w:val="red"/>
                  </w:rPr>
                </w:pPr>
                <w:r>
                  <w:rPr>
                    <w:rFonts w:ascii="Times New Roman" w:hAnsi="Times New Roman" w:cs="Times New Roman"/>
                    <w:sz w:val="24"/>
                    <w:szCs w:val="24"/>
                  </w:rPr>
                  <w:t>2.2.3.3. pralaidos – 111 vnt.</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highlight w:val="red"/>
                  </w:rPr>
                </w:pPr>
                <w:r>
                  <w:rPr>
                    <w:rFonts w:ascii="Times New Roman" w:hAnsi="Times New Roman" w:cs="Times New Roman"/>
                    <w:sz w:val="24"/>
                    <w:szCs w:val="24"/>
                  </w:rPr>
                  <w:t>2.2.3.4. tiltai – 2 vnt.</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4657" w:type="dxa"/>
                <w:vMerge w:val="restart"/>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rPr>
                </w:pPr>
                <w:r>
                  <w:rPr>
                    <w:rFonts w:ascii="Times New Roman" w:hAnsi="Times New Roman" w:cs="Times New Roman"/>
                    <w:sz w:val="24"/>
                    <w:szCs w:val="24"/>
                  </w:rPr>
                  <w:t>2.3. Suskystintų gamtinių dujų terminalo infrastruktūra, kaip ji apibrėžta Lietuvos Respublikos suskystintų gamtinių dujų terminalo įstatyme</w:t>
                </w:r>
              </w:p>
            </w:tc>
            <w:tc>
              <w:tcPr>
                <w:tcW w:w="9639" w:type="dxa"/>
                <w:tcBorders>
                  <w:top w:val="single" w:sz="4" w:space="0" w:color="auto"/>
                  <w:left w:val="single" w:sz="4" w:space="0" w:color="auto"/>
                  <w:bottom w:val="single" w:sz="4" w:space="0" w:color="auto"/>
                  <w:right w:val="single" w:sz="4" w:space="0" w:color="auto"/>
                </w:tcBorders>
                <w:hideMark/>
              </w:tcPr>
              <w:p>
                <w:pPr>
                  <w:pStyle w:val="Sraopastraipa"/>
                  <w:tabs>
                    <w:tab w:val="left" w:pos="363"/>
                  </w:tabs>
                  <w:spacing w:after="0" w:line="240" w:lineRule="auto"/>
                  <w:ind w:left="0"/>
                  <w:jc w:val="both"/>
                  <w:rPr>
                    <w:rFonts w:ascii="Times New Roman" w:hAnsi="Times New Roman" w:cs="Times New Roman"/>
                    <w:sz w:val="24"/>
                    <w:szCs w:val="24"/>
                  </w:rPr>
                </w:pPr>
                <w:r>
                  <w:rPr>
                    <w:rFonts w:ascii="Times New Roman" w:hAnsi="Times New Roman" w:cs="Times New Roman"/>
                    <w:sz w:val="24"/>
                    <w:szCs w:val="24"/>
                  </w:rPr>
                  <w:t>2.3.1. Plaukiojančioji suskystintų gamtinių dujų saugykla-laivas „Independence“</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pStyle w:val="Sraopastraipa"/>
                  <w:tabs>
                    <w:tab w:val="left" w:pos="363"/>
                  </w:tabs>
                  <w:spacing w:after="0" w:line="240" w:lineRule="auto"/>
                  <w:ind w:left="0"/>
                  <w:jc w:val="both"/>
                  <w:rPr>
                    <w:rFonts w:ascii="Times New Roman" w:hAnsi="Times New Roman" w:cs="Times New Roman"/>
                    <w:b/>
                    <w:i/>
                    <w:sz w:val="24"/>
                    <w:szCs w:val="24"/>
                    <w:highlight w:val="red"/>
                    <w:u w:val="single"/>
                  </w:rPr>
                </w:pPr>
                <w:r>
                  <w:rPr>
                    <w:rFonts w:ascii="Times New Roman" w:hAnsi="Times New Roman" w:cs="Times New Roman"/>
                    <w:sz w:val="24"/>
                    <w:szCs w:val="24"/>
                  </w:rPr>
                  <w:t>2.3.2. Aukšto slėgio dujų platformos pastatas krantinėje</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pStyle w:val="Sraopastraipa"/>
                  <w:tabs>
                    <w:tab w:val="left" w:pos="363"/>
                  </w:tabs>
                  <w:spacing w:after="0" w:line="240" w:lineRule="auto"/>
                  <w:ind w:left="0"/>
                  <w:jc w:val="both"/>
                  <w:rPr>
                    <w:rFonts w:ascii="Times New Roman" w:hAnsi="Times New Roman" w:cs="Times New Roman"/>
                    <w:b/>
                    <w:i/>
                    <w:sz w:val="24"/>
                    <w:szCs w:val="24"/>
                    <w:highlight w:val="red"/>
                    <w:u w:val="single"/>
                  </w:rPr>
                </w:pPr>
                <w:r>
                  <w:rPr>
                    <w:rFonts w:ascii="Times New Roman" w:hAnsi="Times New Roman" w:cs="Times New Roman"/>
                    <w:sz w:val="24"/>
                    <w:szCs w:val="24"/>
                  </w:rPr>
                  <w:t>2.3.3. Aptarnavimo platformos pastatas</w:t>
                </w:r>
                <w:r>
                  <w:t xml:space="preserve"> </w:t>
                </w:r>
                <w:r>
                  <w:rPr>
                    <w:rFonts w:ascii="Times New Roman" w:hAnsi="Times New Roman" w:cs="Times New Roman"/>
                    <w:sz w:val="24"/>
                    <w:szCs w:val="24"/>
                  </w:rPr>
                  <w:t>krantinėje</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pStyle w:val="Sraopastraipa"/>
                  <w:tabs>
                    <w:tab w:val="left" w:pos="363"/>
                  </w:tabs>
                  <w:spacing w:after="0" w:line="240" w:lineRule="auto"/>
                  <w:ind w:left="0"/>
                  <w:jc w:val="both"/>
                  <w:rPr>
                    <w:rFonts w:ascii="Times New Roman" w:hAnsi="Times New Roman" w:cs="Times New Roman"/>
                    <w:b/>
                    <w:i/>
                    <w:sz w:val="24"/>
                    <w:szCs w:val="24"/>
                    <w:highlight w:val="red"/>
                    <w:u w:val="single"/>
                  </w:rPr>
                </w:pPr>
                <w:r>
                  <w:rPr>
                    <w:rFonts w:ascii="Times New Roman" w:hAnsi="Times New Roman" w:cs="Times New Roman"/>
                    <w:sz w:val="24"/>
                    <w:szCs w:val="24"/>
                  </w:rPr>
                  <w:t>2.3.4. Krantinės hidrotechniniai statiniai – suskystintų gamtinių dujų terminalo platformos</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pStyle w:val="Sraopastraipa"/>
                  <w:tabs>
                    <w:tab w:val="left" w:pos="363"/>
                  </w:tabs>
                  <w:spacing w:after="0" w:line="240" w:lineRule="auto"/>
                  <w:ind w:left="0"/>
                  <w:jc w:val="both"/>
                  <w:rPr>
                    <w:rFonts w:ascii="Times New Roman" w:hAnsi="Times New Roman" w:cs="Times New Roman"/>
                    <w:sz w:val="24"/>
                    <w:szCs w:val="24"/>
                  </w:rPr>
                </w:pPr>
                <w:r>
                  <w:rPr>
                    <w:rFonts w:ascii="Times New Roman" w:hAnsi="Times New Roman" w:cs="Times New Roman"/>
                    <w:sz w:val="24"/>
                    <w:szCs w:val="24"/>
                  </w:rPr>
                  <w:t>2.3.5. Suskystintų gamtinių dujų terminalo jungiamasis dujotiekis, 3 objektai</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pStyle w:val="Sraopastraipa"/>
                  <w:tabs>
                    <w:tab w:val="left" w:pos="363"/>
                  </w:tabs>
                  <w:spacing w:after="0" w:line="240" w:lineRule="auto"/>
                  <w:ind w:left="0"/>
                  <w:jc w:val="both"/>
                  <w:rPr>
                    <w:rFonts w:ascii="Times New Roman" w:hAnsi="Times New Roman" w:cs="Times New Roman"/>
                    <w:b/>
                    <w:i/>
                    <w:sz w:val="24"/>
                    <w:szCs w:val="24"/>
                    <w:u w:val="single"/>
                  </w:rPr>
                </w:pPr>
                <w:r>
                  <w:rPr>
                    <w:rFonts w:ascii="Times New Roman" w:hAnsi="Times New Roman" w:cs="Times New Roman"/>
                    <w:sz w:val="24"/>
                    <w:szCs w:val="24"/>
                  </w:rPr>
                  <w:t>2.3.6. Valdymo buities pastatas</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pStyle w:val="Sraopastraipa"/>
                  <w:tabs>
                    <w:tab w:val="left" w:pos="363"/>
                  </w:tabs>
                  <w:spacing w:after="0" w:line="240" w:lineRule="auto"/>
                  <w:ind w:left="0"/>
                  <w:jc w:val="both"/>
                  <w:rPr>
                    <w:rFonts w:ascii="Times New Roman" w:hAnsi="Times New Roman" w:cs="Times New Roman"/>
                    <w:b/>
                    <w:i/>
                    <w:sz w:val="24"/>
                    <w:szCs w:val="24"/>
                    <w:highlight w:val="red"/>
                    <w:u w:val="single"/>
                  </w:rPr>
                </w:pPr>
                <w:r>
                  <w:rPr>
                    <w:rFonts w:ascii="Times New Roman" w:hAnsi="Times New Roman" w:cs="Times New Roman"/>
                    <w:sz w:val="24"/>
                    <w:szCs w:val="24"/>
                  </w:rPr>
                  <w:t>2.3.7. Dujų apskaitos stotis</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pStyle w:val="Sraopastraipa"/>
                  <w:tabs>
                    <w:tab w:val="left" w:pos="363"/>
                  </w:tabs>
                  <w:spacing w:after="0" w:line="240" w:lineRule="auto"/>
                  <w:ind w:left="0"/>
                  <w:jc w:val="both"/>
                  <w:rPr>
                    <w:rFonts w:ascii="Times New Roman" w:hAnsi="Times New Roman" w:cs="Times New Roman"/>
                    <w:b/>
                    <w:i/>
                    <w:sz w:val="24"/>
                    <w:szCs w:val="24"/>
                    <w:highlight w:val="red"/>
                    <w:u w:val="single"/>
                  </w:rPr>
                </w:pPr>
                <w:r>
                  <w:rPr>
                    <w:rFonts w:ascii="Times New Roman" w:hAnsi="Times New Roman" w:cs="Times New Roman"/>
                    <w:sz w:val="24"/>
                    <w:szCs w:val="24"/>
                  </w:rPr>
                  <w:t>2.3.8. Ryšių bokštas</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4657"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rPr>
                </w:pPr>
                <w:r>
                  <w:rPr>
                    <w:rFonts w:ascii="Times New Roman" w:hAnsi="Times New Roman" w:cs="Times New Roman"/>
                    <w:sz w:val="24"/>
                    <w:szCs w:val="24"/>
                  </w:rPr>
                  <w:t>2.4. Lietuvos elektros energijos perdavimo sistemos operatoriaus valdomas Lietuvos elektros energetikos sistemos valdymo centras (taip pat elektros perdavimo sistemos valdymo ir duomenų bei elektros energetikos sistemos valdymo informacinių technologijų techninė ir programinė įranga, realaus laiko programinės įrangos platformos) ir rezervinis valdymo centras</w:t>
                </w: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rPr>
                </w:pPr>
                <w:r>
                  <w:rPr>
                    <w:rFonts w:ascii="Times New Roman" w:hAnsi="Times New Roman" w:cs="Times New Roman"/>
                    <w:sz w:val="24"/>
                    <w:szCs w:val="24"/>
                  </w:rPr>
                  <w:t>2.4.1. Lietuvos elektros energetikos sistemos valdymo centras, esantis adresu Vilniaus apskr., Vilniaus m. sav., Vilnius, Juozapavičiaus g. 13</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4657"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rPr>
                </w:pPr>
                <w:r>
                  <w:rPr>
                    <w:rFonts w:ascii="Times New Roman" w:hAnsi="Times New Roman" w:cs="Times New Roman"/>
                    <w:sz w:val="24"/>
                    <w:szCs w:val="24"/>
                  </w:rPr>
                  <w:t>2.5. Lietuvos gamtinių dujų perdavimo sistemos operatoriaus valdomas Lietuvos gamtinių dujų perdavimo sistemos dispečerinio valdymo centras</w:t>
                </w: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rPr>
                </w:pPr>
                <w:r>
                  <w:rPr>
                    <w:rFonts w:ascii="Times New Roman" w:hAnsi="Times New Roman" w:cs="Times New Roman"/>
                    <w:sz w:val="24"/>
                    <w:szCs w:val="24"/>
                  </w:rPr>
                  <w:t>2.5.1. Gamtinių dujų perdavimo sistemos dispečerinio valdymo centras (DC), esantis adresu Gudelių g. 49, Vilnius</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4657" w:type="dxa"/>
                <w:vMerge w:val="restart"/>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rPr>
                </w:pPr>
                <w:r>
                  <w:rPr>
                    <w:rFonts w:ascii="Times New Roman" w:hAnsi="Times New Roman" w:cs="Times New Roman"/>
                    <w:sz w:val="24"/>
                    <w:szCs w:val="24"/>
                  </w:rPr>
                  <w:t>2.6. 330 kV ir aukštesnės įtampos elektros energijos perdavimo linijos ir elektros energijos perdavimo jungtys su užsienio valstybių elektros energetikos sistemomis (elektros energijos perdavimo linijos, skirstyklos, keitiklių stotys), reikalingos elektros energijos perdavimo funkcijai atlikti</w:t>
                </w:r>
              </w:p>
            </w:tc>
            <w:tc>
              <w:tcPr>
                <w:tcW w:w="9639" w:type="dxa"/>
                <w:tcBorders>
                  <w:top w:val="single" w:sz="4" w:space="0" w:color="auto"/>
                  <w:left w:val="single" w:sz="4" w:space="0" w:color="auto"/>
                  <w:bottom w:val="single" w:sz="4" w:space="0" w:color="auto"/>
                  <w:right w:val="single" w:sz="4" w:space="0" w:color="auto"/>
                </w:tcBorders>
                <w:hideMark/>
              </w:tcPr>
              <w:p>
                <w:pPr>
                  <w:tabs>
                    <w:tab w:val="left" w:pos="34"/>
                  </w:tabs>
                  <w:ind w:left="34"/>
                  <w:jc w:val="both"/>
                  <w:rPr>
                    <w:rFonts w:ascii="Times New Roman" w:hAnsi="Times New Roman" w:cs="Times New Roman"/>
                    <w:i/>
                    <w:sz w:val="24"/>
                    <w:szCs w:val="24"/>
                  </w:rPr>
                </w:pPr>
                <w:r>
                  <w:rPr>
                    <w:rFonts w:ascii="Times New Roman" w:hAnsi="Times New Roman" w:cs="Times New Roman"/>
                    <w:sz w:val="24"/>
                    <w:szCs w:val="24"/>
                  </w:rPr>
                  <w:t>2.6.1. 330 kV ir aukštesnės įtampos elektros energijos perdavimo (oro linijos ir 300 kV kabelių) linijos:</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pStyle w:val="Sraopastraipa"/>
                  <w:tabs>
                    <w:tab w:val="left" w:pos="373"/>
                  </w:tabs>
                  <w:spacing w:after="0" w:line="240" w:lineRule="auto"/>
                  <w:ind w:left="0"/>
                  <w:jc w:val="both"/>
                  <w:rPr>
                    <w:rFonts w:ascii="Times New Roman" w:hAnsi="Times New Roman" w:cs="Times New Roman"/>
                    <w:b/>
                    <w:i/>
                    <w:sz w:val="24"/>
                    <w:szCs w:val="24"/>
                    <w:highlight w:val="red"/>
                    <w:u w:val="single"/>
                  </w:rPr>
                </w:pPr>
                <w:r>
                  <w:rPr>
                    <w:rFonts w:ascii="Times New Roman" w:hAnsi="Times New Roman" w:cs="Times New Roman"/>
                    <w:sz w:val="24"/>
                    <w:szCs w:val="24"/>
                  </w:rPr>
                  <w:t>2.6.1.1. Aizkrauklė–Panevėžys (LN 316)</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pStyle w:val="Sraopastraipa"/>
                  <w:tabs>
                    <w:tab w:val="left" w:pos="373"/>
                  </w:tabs>
                  <w:spacing w:after="0" w:line="240" w:lineRule="auto"/>
                  <w:ind w:left="0"/>
                  <w:jc w:val="both"/>
                  <w:rPr>
                    <w:rFonts w:ascii="Times New Roman" w:hAnsi="Times New Roman" w:cs="Times New Roman"/>
                    <w:b/>
                    <w:i/>
                    <w:sz w:val="24"/>
                    <w:szCs w:val="24"/>
                    <w:u w:val="single"/>
                  </w:rPr>
                </w:pPr>
                <w:r>
                  <w:rPr>
                    <w:rFonts w:ascii="Times New Roman" w:hAnsi="Times New Roman" w:cs="Times New Roman"/>
                    <w:sz w:val="24"/>
                    <w:szCs w:val="24"/>
                  </w:rPr>
                  <w:t>2.6.1.2. Alytus–Elk Bis 1 (LitPol Link)</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pStyle w:val="Sraopastraipa"/>
                  <w:tabs>
                    <w:tab w:val="left" w:pos="373"/>
                  </w:tabs>
                  <w:spacing w:after="0" w:line="240" w:lineRule="auto"/>
                  <w:ind w:left="0"/>
                  <w:jc w:val="both"/>
                  <w:rPr>
                    <w:rFonts w:ascii="Times New Roman" w:hAnsi="Times New Roman" w:cs="Times New Roman"/>
                    <w:b/>
                    <w:i/>
                    <w:sz w:val="24"/>
                    <w:szCs w:val="24"/>
                    <w:u w:val="single"/>
                  </w:rPr>
                </w:pPr>
                <w:r>
                  <w:rPr>
                    <w:rFonts w:ascii="Times New Roman" w:hAnsi="Times New Roman" w:cs="Times New Roman"/>
                    <w:sz w:val="24"/>
                    <w:szCs w:val="24"/>
                  </w:rPr>
                  <w:t>2.6.1.3. Alytus–Elk Bis 2 (LitPol Link)</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pStyle w:val="Sraopastraipa"/>
                  <w:tabs>
                    <w:tab w:val="left" w:pos="373"/>
                  </w:tabs>
                  <w:spacing w:after="0" w:line="240" w:lineRule="auto"/>
                  <w:ind w:left="0"/>
                  <w:jc w:val="both"/>
                  <w:rPr>
                    <w:rFonts w:ascii="Times New Roman" w:hAnsi="Times New Roman" w:cs="Times New Roman"/>
                    <w:b/>
                    <w:i/>
                    <w:sz w:val="24"/>
                    <w:szCs w:val="24"/>
                    <w:u w:val="single"/>
                  </w:rPr>
                </w:pPr>
                <w:r>
                  <w:rPr>
                    <w:rFonts w:ascii="Times New Roman" w:hAnsi="Times New Roman" w:cs="Times New Roman"/>
                    <w:sz w:val="24"/>
                    <w:szCs w:val="24"/>
                  </w:rPr>
                  <w:t>2.6.1.4. Alytus–Gardinas (LN 368)</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pStyle w:val="Sraopastraipa"/>
                  <w:tabs>
                    <w:tab w:val="left" w:pos="373"/>
                  </w:tabs>
                  <w:spacing w:after="0" w:line="240" w:lineRule="auto"/>
                  <w:ind w:left="0"/>
                  <w:jc w:val="both"/>
                  <w:rPr>
                    <w:rFonts w:ascii="Times New Roman" w:hAnsi="Times New Roman" w:cs="Times New Roman"/>
                    <w:b/>
                    <w:i/>
                    <w:sz w:val="24"/>
                    <w:szCs w:val="24"/>
                    <w:u w:val="single"/>
                  </w:rPr>
                </w:pPr>
                <w:r>
                  <w:rPr>
                    <w:rFonts w:ascii="Times New Roman" w:hAnsi="Times New Roman" w:cs="Times New Roman"/>
                    <w:sz w:val="24"/>
                    <w:szCs w:val="24"/>
                  </w:rPr>
                  <w:t>2.6.1.5. Alytus–Keitiklis 1 (LitPol Link)</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pStyle w:val="Sraopastraipa"/>
                  <w:tabs>
                    <w:tab w:val="left" w:pos="373"/>
                  </w:tabs>
                  <w:spacing w:after="0" w:line="240" w:lineRule="auto"/>
                  <w:ind w:left="0"/>
                  <w:jc w:val="both"/>
                  <w:rPr>
                    <w:rFonts w:ascii="Times New Roman" w:hAnsi="Times New Roman" w:cs="Times New Roman"/>
                    <w:b/>
                    <w:i/>
                    <w:sz w:val="24"/>
                    <w:szCs w:val="24"/>
                    <w:u w:val="single"/>
                  </w:rPr>
                </w:pPr>
                <w:r>
                  <w:rPr>
                    <w:rFonts w:ascii="Times New Roman" w:hAnsi="Times New Roman" w:cs="Times New Roman"/>
                    <w:sz w:val="24"/>
                    <w:szCs w:val="24"/>
                  </w:rPr>
                  <w:t>2.6.1.6. Telšių atšaka (LN 457)</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pStyle w:val="Sraopastraipa"/>
                  <w:tabs>
                    <w:tab w:val="left" w:pos="373"/>
                  </w:tabs>
                  <w:spacing w:after="0" w:line="240" w:lineRule="auto"/>
                  <w:ind w:left="0"/>
                  <w:jc w:val="both"/>
                  <w:rPr>
                    <w:rFonts w:ascii="Times New Roman" w:hAnsi="Times New Roman" w:cs="Times New Roman"/>
                    <w:b/>
                    <w:i/>
                    <w:sz w:val="24"/>
                    <w:szCs w:val="24"/>
                    <w:highlight w:val="red"/>
                    <w:u w:val="single"/>
                  </w:rPr>
                </w:pPr>
                <w:r>
                  <w:rPr>
                    <w:rFonts w:ascii="Times New Roman" w:hAnsi="Times New Roman" w:cs="Times New Roman"/>
                    <w:sz w:val="24"/>
                    <w:szCs w:val="24"/>
                  </w:rPr>
                  <w:t>2.6.1.7. Bitėnai–Sovetskas I (LN 325)</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pStyle w:val="Sraopastraipa"/>
                  <w:tabs>
                    <w:tab w:val="left" w:pos="373"/>
                  </w:tabs>
                  <w:spacing w:after="0" w:line="240" w:lineRule="auto"/>
                  <w:ind w:left="0"/>
                  <w:jc w:val="both"/>
                  <w:rPr>
                    <w:rFonts w:ascii="Times New Roman" w:hAnsi="Times New Roman" w:cs="Times New Roman"/>
                    <w:b/>
                    <w:i/>
                    <w:sz w:val="24"/>
                    <w:szCs w:val="24"/>
                    <w:highlight w:val="red"/>
                    <w:u w:val="single"/>
                  </w:rPr>
                </w:pPr>
                <w:r>
                  <w:rPr>
                    <w:rFonts w:ascii="Times New Roman" w:hAnsi="Times New Roman" w:cs="Times New Roman"/>
                    <w:sz w:val="24"/>
                    <w:szCs w:val="24"/>
                  </w:rPr>
                  <w:t>2.6.1.8. Bitėnai–Sovetskas II (LN 326)</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pStyle w:val="Sraopastraipa"/>
                  <w:tabs>
                    <w:tab w:val="left" w:pos="373"/>
                  </w:tabs>
                  <w:spacing w:after="0" w:line="240" w:lineRule="auto"/>
                  <w:ind w:left="0"/>
                  <w:jc w:val="both"/>
                  <w:rPr>
                    <w:rFonts w:ascii="Times New Roman" w:hAnsi="Times New Roman" w:cs="Times New Roman"/>
                    <w:b/>
                    <w:i/>
                    <w:sz w:val="24"/>
                    <w:szCs w:val="24"/>
                    <w:highlight w:val="red"/>
                    <w:u w:val="single"/>
                  </w:rPr>
                </w:pPr>
                <w:r>
                  <w:rPr>
                    <w:rFonts w:ascii="Times New Roman" w:hAnsi="Times New Roman" w:cs="Times New Roman"/>
                    <w:sz w:val="24"/>
                    <w:szCs w:val="24"/>
                  </w:rPr>
                  <w:t>2.6.1.9. Grobinė–Klaipėda (LN 324)</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pStyle w:val="Sraopastraipa"/>
                  <w:tabs>
                    <w:tab w:val="left" w:pos="373"/>
                  </w:tabs>
                  <w:spacing w:after="0" w:line="240" w:lineRule="auto"/>
                  <w:ind w:left="0"/>
                  <w:jc w:val="both"/>
                  <w:rPr>
                    <w:rFonts w:ascii="Times New Roman" w:hAnsi="Times New Roman" w:cs="Times New Roman"/>
                    <w:b/>
                    <w:i/>
                    <w:sz w:val="24"/>
                    <w:szCs w:val="24"/>
                    <w:highlight w:val="red"/>
                    <w:u w:val="single"/>
                  </w:rPr>
                </w:pPr>
                <w:r>
                  <w:rPr>
                    <w:rFonts w:ascii="Times New Roman" w:hAnsi="Times New Roman" w:cs="Times New Roman"/>
                    <w:sz w:val="24"/>
                    <w:szCs w:val="24"/>
                  </w:rPr>
                  <w:t>2.6.1.10. Ignalinos AE–Baltarusija (LN 705)</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pStyle w:val="Sraopastraipa"/>
                  <w:tabs>
                    <w:tab w:val="left" w:pos="373"/>
                  </w:tabs>
                  <w:spacing w:after="0" w:line="240" w:lineRule="auto"/>
                  <w:ind w:left="0"/>
                  <w:jc w:val="both"/>
                  <w:rPr>
                    <w:rFonts w:ascii="Times New Roman" w:hAnsi="Times New Roman" w:cs="Times New Roman"/>
                    <w:b/>
                    <w:i/>
                    <w:sz w:val="24"/>
                    <w:szCs w:val="24"/>
                    <w:highlight w:val="red"/>
                    <w:u w:val="single"/>
                  </w:rPr>
                </w:pPr>
                <w:r>
                  <w:rPr>
                    <w:rFonts w:ascii="Times New Roman" w:hAnsi="Times New Roman" w:cs="Times New Roman"/>
                    <w:sz w:val="24"/>
                    <w:szCs w:val="24"/>
                  </w:rPr>
                  <w:t>2.6.1.11. Ignalinos AE–Lyksna (LN 451)</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pStyle w:val="Sraopastraipa"/>
                  <w:tabs>
                    <w:tab w:val="left" w:pos="373"/>
                  </w:tabs>
                  <w:spacing w:after="0" w:line="240" w:lineRule="auto"/>
                  <w:ind w:left="0"/>
                  <w:jc w:val="both"/>
                  <w:rPr>
                    <w:rFonts w:ascii="Times New Roman" w:hAnsi="Times New Roman" w:cs="Times New Roman"/>
                    <w:b/>
                    <w:i/>
                    <w:sz w:val="24"/>
                    <w:szCs w:val="24"/>
                    <w:highlight w:val="red"/>
                    <w:u w:val="single"/>
                  </w:rPr>
                </w:pPr>
                <w:r>
                  <w:rPr>
                    <w:rFonts w:ascii="Times New Roman" w:hAnsi="Times New Roman" w:cs="Times New Roman"/>
                    <w:sz w:val="24"/>
                    <w:szCs w:val="24"/>
                  </w:rPr>
                  <w:t>2.6.1.12. Ignalinos AE–Smurgainys (LN 452)</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pStyle w:val="Sraopastraipa"/>
                  <w:tabs>
                    <w:tab w:val="left" w:pos="373"/>
                  </w:tabs>
                  <w:spacing w:after="0" w:line="240" w:lineRule="auto"/>
                  <w:ind w:left="0"/>
                  <w:jc w:val="both"/>
                  <w:rPr>
                    <w:rFonts w:ascii="Times New Roman" w:hAnsi="Times New Roman" w:cs="Times New Roman"/>
                    <w:b/>
                    <w:i/>
                    <w:sz w:val="24"/>
                    <w:szCs w:val="24"/>
                    <w:highlight w:val="red"/>
                    <w:u w:val="single"/>
                  </w:rPr>
                </w:pPr>
                <w:r>
                  <w:rPr>
                    <w:rFonts w:ascii="Times New Roman" w:hAnsi="Times New Roman" w:cs="Times New Roman"/>
                    <w:sz w:val="24"/>
                    <w:szCs w:val="24"/>
                  </w:rPr>
                  <w:t>2.6.1.13. Ignalinos AE–Utena (LN 453)</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pStyle w:val="Sraopastraipa"/>
                  <w:tabs>
                    <w:tab w:val="left" w:pos="373"/>
                  </w:tabs>
                  <w:spacing w:after="0" w:line="240" w:lineRule="auto"/>
                  <w:ind w:left="0"/>
                  <w:jc w:val="both"/>
                  <w:rPr>
                    <w:rFonts w:ascii="Times New Roman" w:hAnsi="Times New Roman" w:cs="Times New Roman"/>
                    <w:b/>
                    <w:i/>
                    <w:sz w:val="24"/>
                    <w:szCs w:val="24"/>
                    <w:highlight w:val="red"/>
                    <w:u w:val="single"/>
                  </w:rPr>
                </w:pPr>
                <w:r>
                  <w:rPr>
                    <w:rFonts w:ascii="Times New Roman" w:hAnsi="Times New Roman" w:cs="Times New Roman"/>
                    <w:sz w:val="24"/>
                    <w:szCs w:val="24"/>
                  </w:rPr>
                  <w:t>2.6.1.14. Jelgava–Šiauliai (LN 305)</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pStyle w:val="Sraopastraipa"/>
                  <w:tabs>
                    <w:tab w:val="left" w:pos="373"/>
                  </w:tabs>
                  <w:spacing w:after="0" w:line="240" w:lineRule="auto"/>
                  <w:ind w:left="0"/>
                  <w:jc w:val="both"/>
                  <w:rPr>
                    <w:rFonts w:ascii="Times New Roman" w:hAnsi="Times New Roman" w:cs="Times New Roman"/>
                    <w:b/>
                    <w:i/>
                    <w:sz w:val="24"/>
                    <w:szCs w:val="24"/>
                    <w:highlight w:val="red"/>
                    <w:u w:val="single"/>
                  </w:rPr>
                </w:pPr>
                <w:r>
                  <w:rPr>
                    <w:rFonts w:ascii="Times New Roman" w:hAnsi="Times New Roman" w:cs="Times New Roman"/>
                    <w:sz w:val="24"/>
                    <w:szCs w:val="24"/>
                  </w:rPr>
                  <w:t>2.6.1.15. Jonava–Panevėžys (LN 317)</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pStyle w:val="Sraopastraipa"/>
                  <w:tabs>
                    <w:tab w:val="left" w:pos="373"/>
                  </w:tabs>
                  <w:spacing w:after="0" w:line="240" w:lineRule="auto"/>
                  <w:ind w:left="0"/>
                  <w:jc w:val="both"/>
                  <w:rPr>
                    <w:rFonts w:ascii="Times New Roman" w:hAnsi="Times New Roman" w:cs="Times New Roman"/>
                    <w:b/>
                    <w:i/>
                    <w:sz w:val="24"/>
                    <w:szCs w:val="24"/>
                    <w:highlight w:val="red"/>
                    <w:u w:val="single"/>
                  </w:rPr>
                </w:pPr>
                <w:r>
                  <w:rPr>
                    <w:rFonts w:ascii="Times New Roman" w:hAnsi="Times New Roman" w:cs="Times New Roman"/>
                    <w:sz w:val="24"/>
                    <w:szCs w:val="24"/>
                  </w:rPr>
                  <w:t>2.6.1.16. Jurbarkas–Bitėnai (LN 531)</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pStyle w:val="Sraopastraipa"/>
                  <w:tabs>
                    <w:tab w:val="left" w:pos="373"/>
                  </w:tabs>
                  <w:spacing w:after="0" w:line="240" w:lineRule="auto"/>
                  <w:ind w:left="0"/>
                  <w:jc w:val="both"/>
                  <w:rPr>
                    <w:rFonts w:ascii="Times New Roman" w:hAnsi="Times New Roman" w:cs="Times New Roman"/>
                    <w:b/>
                    <w:i/>
                    <w:sz w:val="24"/>
                    <w:szCs w:val="24"/>
                    <w:highlight w:val="red"/>
                    <w:u w:val="single"/>
                  </w:rPr>
                </w:pPr>
                <w:r>
                  <w:rPr>
                    <w:rFonts w:ascii="Times New Roman" w:hAnsi="Times New Roman" w:cs="Times New Roman"/>
                    <w:sz w:val="24"/>
                    <w:szCs w:val="24"/>
                  </w:rPr>
                  <w:t>2.6.1.17. Kaunas–Jurbarkas (LN 327)</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pStyle w:val="Sraopastraipa"/>
                  <w:tabs>
                    <w:tab w:val="left" w:pos="373"/>
                  </w:tabs>
                  <w:spacing w:after="0" w:line="240" w:lineRule="auto"/>
                  <w:ind w:left="0"/>
                  <w:jc w:val="both"/>
                  <w:rPr>
                    <w:rFonts w:ascii="Times New Roman" w:hAnsi="Times New Roman" w:cs="Times New Roman"/>
                    <w:b/>
                    <w:i/>
                    <w:sz w:val="24"/>
                    <w:szCs w:val="24"/>
                    <w:highlight w:val="red"/>
                    <w:u w:val="single"/>
                  </w:rPr>
                </w:pPr>
                <w:r>
                  <w:rPr>
                    <w:rFonts w:ascii="Times New Roman" w:hAnsi="Times New Roman" w:cs="Times New Roman"/>
                    <w:sz w:val="24"/>
                    <w:szCs w:val="24"/>
                  </w:rPr>
                  <w:t>2.6.1.18. Klaipėda–Šyša (LN 530)</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pStyle w:val="Sraopastraipa"/>
                  <w:tabs>
                    <w:tab w:val="left" w:pos="373"/>
                  </w:tabs>
                  <w:spacing w:after="0" w:line="240" w:lineRule="auto"/>
                  <w:ind w:left="0"/>
                  <w:jc w:val="both"/>
                  <w:rPr>
                    <w:rFonts w:ascii="Times New Roman" w:hAnsi="Times New Roman" w:cs="Times New Roman"/>
                    <w:b/>
                    <w:i/>
                    <w:sz w:val="24"/>
                    <w:szCs w:val="24"/>
                    <w:highlight w:val="red"/>
                    <w:u w:val="single"/>
                  </w:rPr>
                </w:pPr>
                <w:r>
                  <w:rPr>
                    <w:rFonts w:ascii="Times New Roman" w:hAnsi="Times New Roman" w:cs="Times New Roman"/>
                    <w:sz w:val="24"/>
                    <w:szCs w:val="24"/>
                  </w:rPr>
                  <w:t>2.6.1.19. Klaipėda–Telšiai (LN 458)</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pStyle w:val="Sraopastraipa"/>
                  <w:tabs>
                    <w:tab w:val="left" w:pos="373"/>
                  </w:tabs>
                  <w:spacing w:after="0" w:line="240" w:lineRule="auto"/>
                  <w:ind w:left="0"/>
                  <w:rPr>
                    <w:rFonts w:ascii="Times New Roman" w:hAnsi="Times New Roman" w:cs="Times New Roman"/>
                    <w:sz w:val="24"/>
                    <w:szCs w:val="24"/>
                  </w:rPr>
                </w:pPr>
                <w:r>
                  <w:rPr>
                    <w:rFonts w:ascii="Times New Roman" w:hAnsi="Times New Roman" w:cs="Times New Roman"/>
                    <w:sz w:val="24"/>
                    <w:szCs w:val="24"/>
                  </w:rPr>
                  <w:t>2.6.1.20. Kruonio HAE–Kaunas (LN 328)</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pStyle w:val="Sraopastraipa"/>
                  <w:tabs>
                    <w:tab w:val="left" w:pos="373"/>
                  </w:tabs>
                  <w:spacing w:after="0" w:line="240" w:lineRule="auto"/>
                  <w:ind w:left="0"/>
                  <w:rPr>
                    <w:rFonts w:ascii="Times New Roman" w:hAnsi="Times New Roman" w:cs="Times New Roman"/>
                    <w:sz w:val="24"/>
                    <w:szCs w:val="24"/>
                  </w:rPr>
                </w:pPr>
                <w:r>
                  <w:rPr>
                    <w:rFonts w:ascii="Times New Roman" w:hAnsi="Times New Roman" w:cs="Times New Roman"/>
                    <w:sz w:val="24"/>
                    <w:szCs w:val="24"/>
                  </w:rPr>
                  <w:t>2.6.1.21. Kruonio HAE–Kaunas (LN 329)</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pStyle w:val="Sraopastraipa"/>
                  <w:tabs>
                    <w:tab w:val="left" w:pos="373"/>
                  </w:tabs>
                  <w:spacing w:after="0" w:line="240" w:lineRule="auto"/>
                  <w:ind w:left="0"/>
                  <w:rPr>
                    <w:rFonts w:ascii="Times New Roman" w:hAnsi="Times New Roman" w:cs="Times New Roman"/>
                    <w:sz w:val="24"/>
                    <w:szCs w:val="24"/>
                  </w:rPr>
                </w:pPr>
                <w:r>
                  <w:rPr>
                    <w:rFonts w:ascii="Times New Roman" w:hAnsi="Times New Roman" w:cs="Times New Roman"/>
                    <w:sz w:val="24"/>
                    <w:szCs w:val="24"/>
                  </w:rPr>
                  <w:t>2.6.1.22. Kruonio HAE–Sovietskas (LN 447)</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pStyle w:val="Sraopastraipa"/>
                  <w:tabs>
                    <w:tab w:val="left" w:pos="373"/>
                  </w:tabs>
                  <w:spacing w:after="0" w:line="240" w:lineRule="auto"/>
                  <w:ind w:left="0"/>
                  <w:rPr>
                    <w:rFonts w:ascii="Times New Roman" w:hAnsi="Times New Roman" w:cs="Times New Roman"/>
                    <w:sz w:val="24"/>
                    <w:szCs w:val="24"/>
                  </w:rPr>
                </w:pPr>
                <w:r>
                  <w:rPr>
                    <w:rFonts w:ascii="Times New Roman" w:hAnsi="Times New Roman" w:cs="Times New Roman"/>
                    <w:sz w:val="24"/>
                    <w:szCs w:val="24"/>
                  </w:rPr>
                  <w:t>2.6.1.23. Lietuvos elektrinė–Alytus (LN 330)</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pStyle w:val="Sraopastraipa"/>
                  <w:tabs>
                    <w:tab w:val="left" w:pos="373"/>
                  </w:tabs>
                  <w:spacing w:after="0" w:line="240" w:lineRule="auto"/>
                  <w:ind w:left="0"/>
                  <w:rPr>
                    <w:rFonts w:ascii="Times New Roman" w:hAnsi="Times New Roman" w:cs="Times New Roman"/>
                    <w:sz w:val="24"/>
                    <w:szCs w:val="24"/>
                  </w:rPr>
                </w:pPr>
                <w:r>
                  <w:rPr>
                    <w:rFonts w:ascii="Times New Roman" w:hAnsi="Times New Roman" w:cs="Times New Roman"/>
                    <w:sz w:val="24"/>
                    <w:szCs w:val="24"/>
                  </w:rPr>
                  <w:t>2.6.1.24. Lietuvos elektrinė–Jonava (LN 318)</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pStyle w:val="Sraopastraipa"/>
                  <w:tabs>
                    <w:tab w:val="left" w:pos="373"/>
                  </w:tabs>
                  <w:spacing w:after="0" w:line="240" w:lineRule="auto"/>
                  <w:ind w:left="0"/>
                  <w:rPr>
                    <w:rFonts w:ascii="Times New Roman" w:hAnsi="Times New Roman" w:cs="Times New Roman"/>
                    <w:sz w:val="24"/>
                    <w:szCs w:val="24"/>
                  </w:rPr>
                </w:pPr>
                <w:r>
                  <w:rPr>
                    <w:rFonts w:ascii="Times New Roman" w:hAnsi="Times New Roman" w:cs="Times New Roman"/>
                    <w:sz w:val="24"/>
                    <w:szCs w:val="24"/>
                  </w:rPr>
                  <w:t>2.6.1.25. Lietuvos elektrinė–Kruonio HAE (LN 307)</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pStyle w:val="Sraopastraipa"/>
                  <w:tabs>
                    <w:tab w:val="left" w:pos="373"/>
                  </w:tabs>
                  <w:spacing w:after="0" w:line="240" w:lineRule="auto"/>
                  <w:ind w:left="0"/>
                  <w:rPr>
                    <w:rFonts w:ascii="Times New Roman" w:hAnsi="Times New Roman" w:cs="Times New Roman"/>
                    <w:sz w:val="24"/>
                    <w:szCs w:val="24"/>
                  </w:rPr>
                </w:pPr>
                <w:r>
                  <w:rPr>
                    <w:rFonts w:ascii="Times New Roman" w:hAnsi="Times New Roman" w:cs="Times New Roman"/>
                    <w:sz w:val="24"/>
                    <w:szCs w:val="24"/>
                  </w:rPr>
                  <w:t>2.6.1.26. Lietuvos elektrinė–Kruonio HAE (LN 308)</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pStyle w:val="Sraopastraipa"/>
                  <w:tabs>
                    <w:tab w:val="left" w:pos="373"/>
                  </w:tabs>
                  <w:spacing w:after="0" w:line="240" w:lineRule="auto"/>
                  <w:ind w:left="0"/>
                  <w:rPr>
                    <w:rFonts w:ascii="Times New Roman" w:hAnsi="Times New Roman" w:cs="Times New Roman"/>
                    <w:sz w:val="24"/>
                    <w:szCs w:val="24"/>
                  </w:rPr>
                </w:pPr>
                <w:r>
                  <w:rPr>
                    <w:rFonts w:ascii="Times New Roman" w:hAnsi="Times New Roman" w:cs="Times New Roman"/>
                    <w:sz w:val="24"/>
                    <w:szCs w:val="24"/>
                  </w:rPr>
                  <w:t>2.6.1.27. Lietuvos elektrinė–Neris (LN 331)</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pStyle w:val="Sraopastraipa"/>
                  <w:tabs>
                    <w:tab w:val="left" w:pos="373"/>
                  </w:tabs>
                  <w:spacing w:after="0" w:line="240" w:lineRule="auto"/>
                  <w:ind w:left="0"/>
                  <w:rPr>
                    <w:rFonts w:ascii="Times New Roman" w:hAnsi="Times New Roman" w:cs="Times New Roman"/>
                    <w:sz w:val="24"/>
                    <w:szCs w:val="24"/>
                  </w:rPr>
                </w:pPr>
                <w:r>
                  <w:rPr>
                    <w:rFonts w:ascii="Times New Roman" w:hAnsi="Times New Roman" w:cs="Times New Roman"/>
                    <w:sz w:val="24"/>
                    <w:szCs w:val="24"/>
                  </w:rPr>
                  <w:t>2.6.1.28. Lietuvos elektrinė–Vilnius (LN 332)</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pStyle w:val="Sraopastraipa"/>
                  <w:tabs>
                    <w:tab w:val="left" w:pos="373"/>
                  </w:tabs>
                  <w:spacing w:after="0" w:line="240" w:lineRule="auto"/>
                  <w:ind w:left="0"/>
                  <w:rPr>
                    <w:rFonts w:ascii="Times New Roman" w:hAnsi="Times New Roman" w:cs="Times New Roman"/>
                    <w:sz w:val="24"/>
                    <w:szCs w:val="24"/>
                  </w:rPr>
                </w:pPr>
                <w:r>
                  <w:rPr>
                    <w:rFonts w:ascii="Times New Roman" w:hAnsi="Times New Roman" w:cs="Times New Roman"/>
                    <w:sz w:val="24"/>
                    <w:szCs w:val="24"/>
                  </w:rPr>
                  <w:t>2.6.1.29. Neris–Utena (LN 456)</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pStyle w:val="Sraopastraipa"/>
                  <w:tabs>
                    <w:tab w:val="left" w:pos="373"/>
                  </w:tabs>
                  <w:spacing w:after="0" w:line="240" w:lineRule="auto"/>
                  <w:ind w:left="0"/>
                  <w:jc w:val="both"/>
                  <w:rPr>
                    <w:rFonts w:ascii="Times New Roman" w:hAnsi="Times New Roman" w:cs="Times New Roman"/>
                    <w:b/>
                    <w:i/>
                    <w:sz w:val="24"/>
                    <w:szCs w:val="24"/>
                    <w:highlight w:val="red"/>
                    <w:u w:val="single"/>
                  </w:rPr>
                </w:pPr>
                <w:r>
                  <w:rPr>
                    <w:rFonts w:ascii="Times New Roman" w:hAnsi="Times New Roman" w:cs="Times New Roman"/>
                    <w:sz w:val="24"/>
                    <w:szCs w:val="24"/>
                  </w:rPr>
                  <w:t>2.6.1.30. Polockas–Ignalinos AE (LN 450)</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pStyle w:val="Sraopastraipa"/>
                  <w:tabs>
                    <w:tab w:val="left" w:pos="373"/>
                  </w:tabs>
                  <w:spacing w:after="0" w:line="240" w:lineRule="auto"/>
                  <w:ind w:left="0"/>
                  <w:jc w:val="both"/>
                  <w:rPr>
                    <w:rFonts w:ascii="Times New Roman" w:hAnsi="Times New Roman" w:cs="Times New Roman"/>
                    <w:b/>
                    <w:i/>
                    <w:sz w:val="24"/>
                    <w:szCs w:val="24"/>
                    <w:highlight w:val="red"/>
                    <w:u w:val="single"/>
                  </w:rPr>
                </w:pPr>
                <w:r>
                  <w:rPr>
                    <w:rFonts w:ascii="Times New Roman" w:hAnsi="Times New Roman" w:cs="Times New Roman"/>
                    <w:sz w:val="24"/>
                    <w:szCs w:val="24"/>
                  </w:rPr>
                  <w:t>2.6.1.31. Šiauliai–Kaunas (LN 306)</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pStyle w:val="Sraopastraipa"/>
                  <w:tabs>
                    <w:tab w:val="left" w:pos="373"/>
                  </w:tabs>
                  <w:spacing w:after="0" w:line="240" w:lineRule="auto"/>
                  <w:ind w:left="0"/>
                  <w:jc w:val="both"/>
                  <w:rPr>
                    <w:rFonts w:ascii="Times New Roman" w:hAnsi="Times New Roman" w:cs="Times New Roman"/>
                    <w:b/>
                    <w:i/>
                    <w:sz w:val="24"/>
                    <w:szCs w:val="24"/>
                    <w:highlight w:val="red"/>
                    <w:u w:val="single"/>
                  </w:rPr>
                </w:pPr>
                <w:r>
                  <w:rPr>
                    <w:rFonts w:ascii="Times New Roman" w:hAnsi="Times New Roman" w:cs="Times New Roman"/>
                    <w:sz w:val="24"/>
                    <w:szCs w:val="24"/>
                  </w:rPr>
                  <w:t>2.6.1.32. Šyša–Bitėnai (LN 532)</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pStyle w:val="Sraopastraipa"/>
                  <w:tabs>
                    <w:tab w:val="left" w:pos="373"/>
                  </w:tabs>
                  <w:spacing w:after="0" w:line="240" w:lineRule="auto"/>
                  <w:ind w:left="0"/>
                  <w:jc w:val="both"/>
                  <w:rPr>
                    <w:rFonts w:ascii="Times New Roman" w:hAnsi="Times New Roman" w:cs="Times New Roman"/>
                    <w:b/>
                    <w:i/>
                    <w:sz w:val="24"/>
                    <w:szCs w:val="24"/>
                    <w:highlight w:val="red"/>
                    <w:u w:val="single"/>
                  </w:rPr>
                </w:pPr>
                <w:r>
                  <w:rPr>
                    <w:rFonts w:ascii="Times New Roman" w:hAnsi="Times New Roman" w:cs="Times New Roman"/>
                    <w:sz w:val="24"/>
                    <w:szCs w:val="24"/>
                  </w:rPr>
                  <w:t>2.6.1.33. Utena–Ignalinos AE (LN 454)</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pStyle w:val="Sraopastraipa"/>
                  <w:tabs>
                    <w:tab w:val="left" w:pos="373"/>
                  </w:tabs>
                  <w:spacing w:after="0" w:line="240" w:lineRule="auto"/>
                  <w:ind w:left="0"/>
                  <w:jc w:val="both"/>
                  <w:rPr>
                    <w:rFonts w:ascii="Times New Roman" w:hAnsi="Times New Roman" w:cs="Times New Roman"/>
                    <w:b/>
                    <w:i/>
                    <w:sz w:val="24"/>
                    <w:szCs w:val="24"/>
                    <w:highlight w:val="red"/>
                    <w:u w:val="single"/>
                  </w:rPr>
                </w:pPr>
                <w:r>
                  <w:rPr>
                    <w:rFonts w:ascii="Times New Roman" w:hAnsi="Times New Roman" w:cs="Times New Roman"/>
                    <w:sz w:val="24"/>
                    <w:szCs w:val="24"/>
                  </w:rPr>
                  <w:t>2.6.1.34. Utena–Panevėžys (LN 455)</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pStyle w:val="Sraopastraipa"/>
                  <w:tabs>
                    <w:tab w:val="left" w:pos="373"/>
                  </w:tabs>
                  <w:spacing w:after="0" w:line="240" w:lineRule="auto"/>
                  <w:ind w:left="0"/>
                  <w:jc w:val="both"/>
                  <w:rPr>
                    <w:rFonts w:ascii="Times New Roman" w:hAnsi="Times New Roman" w:cs="Times New Roman"/>
                    <w:b/>
                    <w:i/>
                    <w:sz w:val="24"/>
                    <w:szCs w:val="24"/>
                    <w:highlight w:val="red"/>
                    <w:u w:val="single"/>
                  </w:rPr>
                </w:pPr>
                <w:r>
                  <w:rPr>
                    <w:rFonts w:ascii="Times New Roman" w:hAnsi="Times New Roman" w:cs="Times New Roman"/>
                    <w:sz w:val="24"/>
                    <w:szCs w:val="24"/>
                  </w:rPr>
                  <w:t>2.6.1.35. Vilnius–Molodečnas (LN 333)</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pStyle w:val="Sraopastraipa"/>
                  <w:tabs>
                    <w:tab w:val="left" w:pos="373"/>
                  </w:tabs>
                  <w:spacing w:after="0" w:line="240" w:lineRule="auto"/>
                  <w:ind w:left="0"/>
                  <w:jc w:val="both"/>
                  <w:rPr>
                    <w:rFonts w:ascii="Times New Roman" w:hAnsi="Times New Roman" w:cs="Times New Roman"/>
                    <w:b/>
                    <w:i/>
                    <w:sz w:val="24"/>
                    <w:szCs w:val="24"/>
                    <w:highlight w:val="red"/>
                    <w:u w:val="single"/>
                  </w:rPr>
                </w:pPr>
                <w:r>
                  <w:rPr>
                    <w:rFonts w:ascii="Times New Roman" w:hAnsi="Times New Roman" w:cs="Times New Roman"/>
                    <w:sz w:val="24"/>
                    <w:szCs w:val="24"/>
                  </w:rPr>
                  <w:t>2.6.1.36. Klaipėda–Nibru (300 kV nuolatinės srovės elektros kabelis (NordBalt)</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pStyle w:val="Sraopastraipa"/>
                  <w:tabs>
                    <w:tab w:val="left" w:pos="373"/>
                  </w:tabs>
                  <w:spacing w:after="0" w:line="240" w:lineRule="auto"/>
                  <w:ind w:left="0"/>
                  <w:jc w:val="both"/>
                  <w:rPr>
                    <w:rFonts w:ascii="Times New Roman" w:hAnsi="Times New Roman" w:cs="Times New Roman"/>
                    <w:b/>
                    <w:i/>
                    <w:sz w:val="24"/>
                    <w:szCs w:val="24"/>
                    <w:highlight w:val="red"/>
                    <w:u w:val="single"/>
                  </w:rPr>
                </w:pPr>
                <w:r>
                  <w:rPr>
                    <w:rFonts w:ascii="Times New Roman" w:hAnsi="Times New Roman" w:cs="Times New Roman"/>
                    <w:sz w:val="24"/>
                    <w:szCs w:val="24"/>
                  </w:rPr>
                  <w:t>2.6.1.37. Kruonio HAE–Alytus (LN 366)</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pStyle w:val="Sraopastraipa"/>
                  <w:tabs>
                    <w:tab w:val="left" w:pos="373"/>
                  </w:tabs>
                  <w:spacing w:after="0" w:line="240" w:lineRule="auto"/>
                  <w:ind w:left="0"/>
                  <w:jc w:val="both"/>
                  <w:rPr>
                    <w:rFonts w:ascii="Times New Roman" w:hAnsi="Times New Roman" w:cs="Times New Roman"/>
                    <w:b/>
                    <w:i/>
                    <w:sz w:val="24"/>
                    <w:szCs w:val="24"/>
                    <w:highlight w:val="red"/>
                    <w:u w:val="single"/>
                  </w:rPr>
                </w:pPr>
                <w:r>
                  <w:rPr>
                    <w:rFonts w:ascii="Times New Roman" w:hAnsi="Times New Roman" w:cs="Times New Roman"/>
                    <w:sz w:val="24"/>
                    <w:szCs w:val="24"/>
                  </w:rPr>
                  <w:t>2.6.1.38. Kruonio HAE–Alytus (LN 367)</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tabs>
                    <w:tab w:val="left" w:pos="373"/>
                  </w:tabs>
                  <w:jc w:val="both"/>
                  <w:rPr>
                    <w:rFonts w:ascii="Times New Roman" w:hAnsi="Times New Roman" w:cs="Times New Roman"/>
                    <w:b/>
                    <w:i/>
                    <w:sz w:val="24"/>
                    <w:szCs w:val="24"/>
                    <w:highlight w:val="red"/>
                    <w:u w:val="single"/>
                  </w:rPr>
                </w:pPr>
                <w:r>
                  <w:rPr>
                    <w:rFonts w:ascii="Times New Roman" w:hAnsi="Times New Roman" w:cs="Times New Roman"/>
                    <w:sz w:val="24"/>
                    <w:szCs w:val="24"/>
                  </w:rPr>
                  <w:t>2.6.2. 330 kV ir aukštesnės įtampos transformatorių pastotės (technologinis kompleksas, kurį sudaro 330 kV ir 110 kV skirstyklos, autotransformavimo įrenginiai ir nuotolinio valdymo sistemos), skirstyklos ir nuolatinės srovės keitikliai:</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pStyle w:val="Sraopastraipa"/>
                  <w:tabs>
                    <w:tab w:val="left" w:pos="373"/>
                  </w:tabs>
                  <w:spacing w:after="0" w:line="240" w:lineRule="auto"/>
                  <w:ind w:left="0"/>
                  <w:jc w:val="both"/>
                  <w:rPr>
                    <w:rFonts w:ascii="Times New Roman" w:hAnsi="Times New Roman" w:cs="Times New Roman"/>
                    <w:b/>
                    <w:i/>
                    <w:sz w:val="24"/>
                    <w:szCs w:val="24"/>
                    <w:highlight w:val="red"/>
                    <w:u w:val="single"/>
                  </w:rPr>
                </w:pPr>
                <w:r>
                  <w:rPr>
                    <w:rFonts w:ascii="Times New Roman" w:hAnsi="Times New Roman" w:cs="Times New Roman"/>
                    <w:sz w:val="24"/>
                    <w:szCs w:val="24"/>
                  </w:rPr>
                  <w:t>2.6.2.1. Neries 330/110/10 kV transformatorių pastotė, esanti adresu Vilniaus apskr., Vilniaus r. sav., Nemenčinės sen., Karveliškių vs., Vilijos g. 67</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pStyle w:val="Sraopastraipa"/>
                  <w:tabs>
                    <w:tab w:val="left" w:pos="373"/>
                  </w:tabs>
                  <w:spacing w:after="0" w:line="240" w:lineRule="auto"/>
                  <w:ind w:left="0"/>
                  <w:jc w:val="both"/>
                  <w:rPr>
                    <w:rFonts w:ascii="Times New Roman" w:hAnsi="Times New Roman" w:cs="Times New Roman"/>
                    <w:b/>
                    <w:i/>
                    <w:sz w:val="24"/>
                    <w:szCs w:val="24"/>
                    <w:highlight w:val="red"/>
                    <w:u w:val="single"/>
                  </w:rPr>
                </w:pPr>
                <w:r>
                  <w:rPr>
                    <w:rFonts w:ascii="Times New Roman" w:hAnsi="Times New Roman" w:cs="Times New Roman"/>
                    <w:sz w:val="24"/>
                    <w:szCs w:val="24"/>
                  </w:rPr>
                  <w:t>2.6.2.2. Vilniaus 330/110/10 kV transformatorių pastotė, esanti adresu Vilniaus apskr., Vilniaus m. sav., Vilnius, J. Tiškevičiaus g. 72A</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pStyle w:val="Sraopastraipa"/>
                  <w:tabs>
                    <w:tab w:val="left" w:pos="373"/>
                  </w:tabs>
                  <w:spacing w:after="0" w:line="240" w:lineRule="auto"/>
                  <w:ind w:left="0"/>
                  <w:jc w:val="both"/>
                  <w:rPr>
                    <w:rFonts w:ascii="Times New Roman" w:hAnsi="Times New Roman" w:cs="Times New Roman"/>
                    <w:b/>
                    <w:i/>
                    <w:sz w:val="24"/>
                    <w:szCs w:val="24"/>
                    <w:highlight w:val="red"/>
                    <w:u w:val="single"/>
                  </w:rPr>
                </w:pPr>
                <w:r>
                  <w:rPr>
                    <w:rFonts w:ascii="Times New Roman" w:hAnsi="Times New Roman" w:cs="Times New Roman"/>
                    <w:sz w:val="24"/>
                    <w:szCs w:val="24"/>
                  </w:rPr>
                  <w:t>2.6.2.3. Lietuvos E 330 kV skirstykla, esanti adresu Vilniaus apskr., Elektrėnų sav., Elektrėnų sen., Elektrėnai, Elektrinės g. 21G</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pStyle w:val="Sraopastraipa"/>
                  <w:tabs>
                    <w:tab w:val="left" w:pos="373"/>
                  </w:tabs>
                  <w:spacing w:after="0" w:line="240" w:lineRule="auto"/>
                  <w:ind w:left="0"/>
                  <w:jc w:val="both"/>
                  <w:rPr>
                    <w:rFonts w:ascii="Times New Roman" w:hAnsi="Times New Roman" w:cs="Times New Roman"/>
                    <w:b/>
                    <w:i/>
                    <w:sz w:val="24"/>
                    <w:szCs w:val="24"/>
                    <w:highlight w:val="red"/>
                    <w:u w:val="single"/>
                  </w:rPr>
                </w:pPr>
                <w:r>
                  <w:rPr>
                    <w:rFonts w:ascii="Times New Roman" w:hAnsi="Times New Roman" w:cs="Times New Roman"/>
                    <w:sz w:val="24"/>
                    <w:szCs w:val="24"/>
                  </w:rPr>
                  <w:t>2.6.2.4. Kauno 330/110/10 kV transformatorių pastotė, esanti adresu Kauno apskr., Kauno r. sav., Karmėlavos sen., Biruliškių k., Pastotės g. 9</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pStyle w:val="Sraopastraipa"/>
                  <w:tabs>
                    <w:tab w:val="left" w:pos="373"/>
                  </w:tabs>
                  <w:spacing w:after="0" w:line="240" w:lineRule="auto"/>
                  <w:ind w:left="0"/>
                  <w:jc w:val="both"/>
                  <w:rPr>
                    <w:rFonts w:ascii="Times New Roman" w:hAnsi="Times New Roman" w:cs="Times New Roman"/>
                    <w:b/>
                    <w:i/>
                    <w:sz w:val="24"/>
                    <w:szCs w:val="24"/>
                    <w:highlight w:val="red"/>
                    <w:u w:val="single"/>
                  </w:rPr>
                </w:pPr>
                <w:r>
                  <w:rPr>
                    <w:rFonts w:ascii="Times New Roman" w:hAnsi="Times New Roman" w:cs="Times New Roman"/>
                    <w:sz w:val="24"/>
                    <w:szCs w:val="24"/>
                  </w:rPr>
                  <w:t>2.6.2.5. Jonavos 330/110/10 kV transformatorių pastotė, esanti adresu Kauno apskr., Jonavos r. sav., Jonava, Girelės g. 9</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pStyle w:val="Sraopastraipa"/>
                  <w:tabs>
                    <w:tab w:val="left" w:pos="373"/>
                  </w:tabs>
                  <w:spacing w:after="0" w:line="240" w:lineRule="auto"/>
                  <w:ind w:left="0"/>
                  <w:jc w:val="both"/>
                  <w:rPr>
                    <w:rFonts w:ascii="Times New Roman" w:hAnsi="Times New Roman" w:cs="Times New Roman"/>
                    <w:b/>
                    <w:i/>
                    <w:sz w:val="24"/>
                    <w:szCs w:val="24"/>
                    <w:highlight w:val="red"/>
                    <w:u w:val="single"/>
                  </w:rPr>
                </w:pPr>
                <w:r>
                  <w:rPr>
                    <w:rFonts w:ascii="Times New Roman" w:hAnsi="Times New Roman" w:cs="Times New Roman"/>
                    <w:sz w:val="24"/>
                    <w:szCs w:val="24"/>
                  </w:rPr>
                  <w:t>2.6.2.6. Kruonio HAE 330/110/10 kV transformatorių pastotė, esanti adresu Kauno apskr., Kaišiadorių r. sav., Kruonio sen., Vaiguvos k., 1</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pStyle w:val="Sraopastraipa"/>
                  <w:tabs>
                    <w:tab w:val="left" w:pos="373"/>
                  </w:tabs>
                  <w:spacing w:after="0" w:line="240" w:lineRule="auto"/>
                  <w:ind w:left="0"/>
                  <w:jc w:val="both"/>
                  <w:rPr>
                    <w:rFonts w:ascii="Times New Roman" w:hAnsi="Times New Roman" w:cs="Times New Roman"/>
                    <w:b/>
                    <w:i/>
                    <w:sz w:val="24"/>
                    <w:szCs w:val="24"/>
                    <w:highlight w:val="red"/>
                    <w:u w:val="single"/>
                  </w:rPr>
                </w:pPr>
                <w:r>
                  <w:rPr>
                    <w:rFonts w:ascii="Times New Roman" w:hAnsi="Times New Roman" w:cs="Times New Roman"/>
                    <w:sz w:val="24"/>
                    <w:szCs w:val="24"/>
                  </w:rPr>
                  <w:t>2.6.2.7. Klaipėdos 330/110/10 kV transformatorių pastotė, esanti adresu Klaipėdos apskr., Klaipėdos r. sav., Dovilų sen., Kiškėnų k., Šatrijos takas 19</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pStyle w:val="Sraopastraipa"/>
                  <w:tabs>
                    <w:tab w:val="left" w:pos="373"/>
                  </w:tabs>
                  <w:spacing w:after="0" w:line="240" w:lineRule="auto"/>
                  <w:ind w:left="0"/>
                  <w:jc w:val="both"/>
                  <w:rPr>
                    <w:rFonts w:ascii="Times New Roman" w:hAnsi="Times New Roman" w:cs="Times New Roman"/>
                    <w:b/>
                    <w:i/>
                    <w:sz w:val="24"/>
                    <w:szCs w:val="24"/>
                    <w:highlight w:val="red"/>
                    <w:u w:val="single"/>
                  </w:rPr>
                </w:pPr>
                <w:r>
                  <w:rPr>
                    <w:rFonts w:ascii="Times New Roman" w:hAnsi="Times New Roman" w:cs="Times New Roman"/>
                    <w:sz w:val="24"/>
                    <w:szCs w:val="24"/>
                  </w:rPr>
                  <w:t>2.6.2.8. Klaipėdos aukštos įtampos nuolatinės srovės keitiklis ir 330 kV skirstykla (NordBalt), esantys adresu Klaipėdos apskr., Klaipėdos r. sav., Dovilų sen., Kiškėnų k., Šatrijos takas 19</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pStyle w:val="Sraopastraipa"/>
                  <w:tabs>
                    <w:tab w:val="left" w:pos="373"/>
                  </w:tabs>
                  <w:spacing w:after="0" w:line="240" w:lineRule="auto"/>
                  <w:ind w:left="0"/>
                  <w:jc w:val="both"/>
                  <w:rPr>
                    <w:rFonts w:ascii="Times New Roman" w:hAnsi="Times New Roman" w:cs="Times New Roman"/>
                    <w:b/>
                    <w:i/>
                    <w:sz w:val="24"/>
                    <w:szCs w:val="24"/>
                    <w:highlight w:val="red"/>
                    <w:u w:val="single"/>
                  </w:rPr>
                </w:pPr>
                <w:r>
                  <w:rPr>
                    <w:rFonts w:ascii="Times New Roman" w:hAnsi="Times New Roman" w:cs="Times New Roman"/>
                    <w:sz w:val="24"/>
                    <w:szCs w:val="24"/>
                  </w:rPr>
                  <w:t>2.6.2.9. Telšių 330/110/10 kV transformatorių pastotė, esanti adresu Telšių apskr., Telšių r. sav., Degaičių sen., Gintalų k. 1</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pStyle w:val="Sraopastraipa"/>
                  <w:tabs>
                    <w:tab w:val="left" w:pos="373"/>
                  </w:tabs>
                  <w:spacing w:after="0" w:line="240" w:lineRule="auto"/>
                  <w:ind w:left="0"/>
                  <w:jc w:val="both"/>
                  <w:rPr>
                    <w:rFonts w:ascii="Times New Roman" w:hAnsi="Times New Roman" w:cs="Times New Roman"/>
                    <w:b/>
                    <w:i/>
                    <w:sz w:val="24"/>
                    <w:szCs w:val="24"/>
                    <w:highlight w:val="red"/>
                    <w:u w:val="single"/>
                  </w:rPr>
                </w:pPr>
                <w:r>
                  <w:rPr>
                    <w:rFonts w:ascii="Times New Roman" w:hAnsi="Times New Roman" w:cs="Times New Roman"/>
                    <w:sz w:val="24"/>
                    <w:szCs w:val="24"/>
                  </w:rPr>
                  <w:t>2.6.2.10. Bitėnų 330/110/10 kV transformatorių pastotė, esanti adresu Klaipėdos apskr., Pagėgių sav., Lumpėnų sen., Bitėnų k., Bitės g. 3A</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pStyle w:val="Sraopastraipa"/>
                  <w:tabs>
                    <w:tab w:val="left" w:pos="373"/>
                  </w:tabs>
                  <w:spacing w:after="0" w:line="240" w:lineRule="auto"/>
                  <w:ind w:left="0"/>
                  <w:jc w:val="both"/>
                  <w:rPr>
                    <w:rFonts w:ascii="Times New Roman" w:hAnsi="Times New Roman" w:cs="Times New Roman"/>
                    <w:b/>
                    <w:i/>
                    <w:sz w:val="24"/>
                    <w:szCs w:val="24"/>
                    <w:highlight w:val="red"/>
                    <w:u w:val="single"/>
                  </w:rPr>
                </w:pPr>
                <w:r>
                  <w:rPr>
                    <w:rFonts w:ascii="Times New Roman" w:hAnsi="Times New Roman" w:cs="Times New Roman"/>
                    <w:sz w:val="24"/>
                    <w:szCs w:val="24"/>
                  </w:rPr>
                  <w:t>2.6.2.11. Šyšos VE 30/330 kV transformatorių pastotė, esanti adresu Klaipėdos apskr., Šilutės r. sav., Katyčių sen., Antšyčių k. 10A</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pStyle w:val="Sraopastraipa"/>
                  <w:tabs>
                    <w:tab w:val="left" w:pos="373"/>
                  </w:tabs>
                  <w:spacing w:after="0" w:line="240" w:lineRule="auto"/>
                  <w:ind w:left="0"/>
                  <w:jc w:val="both"/>
                  <w:rPr>
                    <w:rFonts w:ascii="Times New Roman" w:hAnsi="Times New Roman" w:cs="Times New Roman"/>
                    <w:b/>
                    <w:i/>
                    <w:sz w:val="24"/>
                    <w:szCs w:val="24"/>
                    <w:highlight w:val="red"/>
                    <w:u w:val="single"/>
                  </w:rPr>
                </w:pPr>
                <w:r>
                  <w:rPr>
                    <w:rFonts w:ascii="Times New Roman" w:hAnsi="Times New Roman" w:cs="Times New Roman"/>
                    <w:sz w:val="24"/>
                    <w:szCs w:val="24"/>
                  </w:rPr>
                  <w:t>2.6.2.12. Panevėžio 330/110/10 kV transformatorių pastotė, esanti adresu Panevėžio apskr., Panevėžio r. sav., Panevėžio sen., Bliūdžių k., Pušaloto g. 230</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pStyle w:val="Sraopastraipa"/>
                  <w:tabs>
                    <w:tab w:val="left" w:pos="373"/>
                  </w:tabs>
                  <w:spacing w:after="0" w:line="240" w:lineRule="auto"/>
                  <w:ind w:left="0"/>
                  <w:jc w:val="both"/>
                  <w:rPr>
                    <w:rFonts w:ascii="Times New Roman" w:hAnsi="Times New Roman" w:cs="Times New Roman"/>
                    <w:b/>
                    <w:i/>
                    <w:sz w:val="24"/>
                    <w:szCs w:val="24"/>
                    <w:highlight w:val="red"/>
                    <w:u w:val="single"/>
                  </w:rPr>
                </w:pPr>
                <w:r>
                  <w:rPr>
                    <w:rFonts w:ascii="Times New Roman" w:hAnsi="Times New Roman" w:cs="Times New Roman"/>
                    <w:sz w:val="24"/>
                    <w:szCs w:val="24"/>
                  </w:rPr>
                  <w:t>2.6.2.13. Šiaulių 330/110/10 kV transformatorių pastotė, esanti adresu Šiaulių apskr., Šiaulių m. sav., Šiauliai, Pramonės g. 2E</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pStyle w:val="Sraopastraipa"/>
                  <w:tabs>
                    <w:tab w:val="left" w:pos="373"/>
                  </w:tabs>
                  <w:spacing w:after="0" w:line="240" w:lineRule="auto"/>
                  <w:ind w:left="0"/>
                  <w:jc w:val="both"/>
                  <w:rPr>
                    <w:rFonts w:ascii="Times New Roman" w:hAnsi="Times New Roman" w:cs="Times New Roman"/>
                    <w:b/>
                    <w:i/>
                    <w:sz w:val="24"/>
                    <w:szCs w:val="24"/>
                    <w:highlight w:val="red"/>
                    <w:u w:val="single"/>
                  </w:rPr>
                </w:pPr>
                <w:r>
                  <w:rPr>
                    <w:rFonts w:ascii="Times New Roman" w:hAnsi="Times New Roman" w:cs="Times New Roman"/>
                    <w:sz w:val="24"/>
                    <w:szCs w:val="24"/>
                  </w:rPr>
                  <w:t>2.6.2.14. Jurbarko 330/110/10 kV transformatorių pastotė, esanti adresu Tauragės apskr., Jurbarko r. sav., Jurbarkų sen., Dainių k., Eržvilko g. 3A</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pStyle w:val="Sraopastraipa"/>
                  <w:tabs>
                    <w:tab w:val="left" w:pos="373"/>
                  </w:tabs>
                  <w:spacing w:after="0" w:line="240" w:lineRule="auto"/>
                  <w:ind w:left="0"/>
                  <w:jc w:val="both"/>
                  <w:rPr>
                    <w:rFonts w:ascii="Times New Roman" w:hAnsi="Times New Roman" w:cs="Times New Roman"/>
                    <w:b/>
                    <w:i/>
                    <w:sz w:val="24"/>
                    <w:szCs w:val="24"/>
                    <w:highlight w:val="red"/>
                    <w:u w:val="single"/>
                  </w:rPr>
                </w:pPr>
                <w:r>
                  <w:rPr>
                    <w:rFonts w:ascii="Times New Roman" w:hAnsi="Times New Roman" w:cs="Times New Roman"/>
                    <w:sz w:val="24"/>
                    <w:szCs w:val="24"/>
                  </w:rPr>
                  <w:t>2.6.2.15. Utenos 330/110/10 kV transformatorių pastotė, esanti adresu Utenos apskr., Utenos r. sav., Sudeikių sen., Sirutėnų k., Santarvės g. 39</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pStyle w:val="Sraopastraipa"/>
                  <w:tabs>
                    <w:tab w:val="left" w:pos="373"/>
                  </w:tabs>
                  <w:spacing w:after="0" w:line="240" w:lineRule="auto"/>
                  <w:ind w:left="0"/>
                  <w:jc w:val="both"/>
                  <w:rPr>
                    <w:rFonts w:ascii="Times New Roman" w:hAnsi="Times New Roman" w:cs="Times New Roman"/>
                    <w:b/>
                    <w:i/>
                    <w:sz w:val="24"/>
                    <w:szCs w:val="24"/>
                    <w:highlight w:val="red"/>
                    <w:u w:val="single"/>
                  </w:rPr>
                </w:pPr>
                <w:r>
                  <w:rPr>
                    <w:rFonts w:ascii="Times New Roman" w:hAnsi="Times New Roman" w:cs="Times New Roman"/>
                    <w:sz w:val="24"/>
                    <w:szCs w:val="24"/>
                  </w:rPr>
                  <w:t>2.6.2.16. Ignalinos AE 330/110/6 kV transformatorių pastotė, esanti adresu Utenos apskr., Visagino sav., Petriškės k., Elektrinės g. 3</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pStyle w:val="Sraopastraipa"/>
                  <w:tabs>
                    <w:tab w:val="left" w:pos="373"/>
                  </w:tabs>
                  <w:spacing w:after="0" w:line="240" w:lineRule="auto"/>
                  <w:ind w:left="0"/>
                  <w:jc w:val="both"/>
                  <w:rPr>
                    <w:rFonts w:ascii="Times New Roman" w:hAnsi="Times New Roman" w:cs="Times New Roman"/>
                    <w:b/>
                    <w:i/>
                    <w:sz w:val="24"/>
                    <w:szCs w:val="24"/>
                    <w:highlight w:val="red"/>
                    <w:u w:val="single"/>
                  </w:rPr>
                </w:pPr>
                <w:r>
                  <w:rPr>
                    <w:rFonts w:ascii="Times New Roman" w:hAnsi="Times New Roman" w:cs="Times New Roman"/>
                    <w:sz w:val="24"/>
                    <w:szCs w:val="24"/>
                  </w:rPr>
                  <w:t>2.6.2.17. Alytaus 330/110/10 kV transformatorių pastotė, esanti adresu Alytaus apskr., Alytaus r. sav., Alytaus sen., Butkūnų k., Kauno kelias 4</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b/>
                    <w:i/>
                    <w:sz w:val="24"/>
                    <w:szCs w:val="24"/>
                    <w:highlight w:val="red"/>
                    <w:u w:val="single"/>
                  </w:rPr>
                </w:pPr>
                <w:r>
                  <w:rPr>
                    <w:rFonts w:ascii="Times New Roman" w:hAnsi="Times New Roman" w:cs="Times New Roman"/>
                    <w:sz w:val="24"/>
                    <w:szCs w:val="24"/>
                  </w:rPr>
                  <w:t>2.6.2.18. Alytaus aukštos įtampos nuolatinės srovės keitiklis ir 330–400 kV skirstyklos (LitPol Link), esantys adresu Alytaus apskr., Alytaus r. sav., Alytaus sen., Butrimiškių k., Lankų g. 45</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4657" w:type="dxa"/>
                <w:vMerge w:val="restart"/>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rPr>
                </w:pPr>
                <w:r>
                  <w:rPr>
                    <w:rFonts w:ascii="Times New Roman" w:hAnsi="Times New Roman" w:cs="Times New Roman"/>
                    <w:sz w:val="24"/>
                    <w:szCs w:val="24"/>
                  </w:rPr>
                  <w:t>2.7. Lietuvos elektrinė</w:t>
                </w: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eastAsia="Calibri" w:hAnsi="Times New Roman" w:cs="Times New Roman"/>
                    <w:sz w:val="24"/>
                    <w:szCs w:val="24"/>
                    <w:lang w:eastAsia="lt-LT"/>
                  </w:rPr>
                </w:pPr>
                <w:r>
                  <w:rPr>
                    <w:rFonts w:ascii="Times New Roman" w:eastAsia="Calibri" w:hAnsi="Times New Roman" w:cs="Times New Roman"/>
                    <w:sz w:val="24"/>
                    <w:szCs w:val="24"/>
                    <w:lang w:eastAsia="lt-LT"/>
                  </w:rPr>
                  <w:t>2.7.1. Nacionaliniam saugumui užtikrinti svarbūs įrenginiai ir turtas, esantys adresu 26108 Elektrėnai, Elektrinės g. 21:</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b/>
                    <w:i/>
                    <w:sz w:val="24"/>
                    <w:szCs w:val="24"/>
                    <w:highlight w:val="red"/>
                    <w:u w:val="single"/>
                  </w:rPr>
                </w:pPr>
                <w:r>
                  <w:rPr>
                    <w:rFonts w:ascii="Times New Roman" w:eastAsia="Calibri" w:hAnsi="Times New Roman" w:cs="Times New Roman"/>
                    <w:sz w:val="24"/>
                    <w:szCs w:val="24"/>
                    <w:lang w:eastAsia="lt-LT"/>
                  </w:rPr>
                  <w:t>2.7.1.1. Kombinuotojo ciklo blokas (su valdymo pultu)</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b/>
                    <w:i/>
                    <w:sz w:val="24"/>
                    <w:szCs w:val="24"/>
                    <w:highlight w:val="red"/>
                    <w:u w:val="single"/>
                  </w:rPr>
                </w:pPr>
                <w:r>
                  <w:rPr>
                    <w:rFonts w:ascii="Times New Roman" w:eastAsia="Calibri" w:hAnsi="Times New Roman" w:cs="Times New Roman"/>
                    <w:sz w:val="24"/>
                    <w:szCs w:val="24"/>
                    <w:lang w:eastAsia="lt-LT"/>
                  </w:rPr>
                  <w:t>2.7.1.2. Kombinuotojo ciklo bloko dujų kompresorinė</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b/>
                    <w:i/>
                    <w:sz w:val="24"/>
                    <w:szCs w:val="24"/>
                    <w:highlight w:val="red"/>
                    <w:u w:val="single"/>
                  </w:rPr>
                </w:pPr>
                <w:r>
                  <w:rPr>
                    <w:rFonts w:ascii="Times New Roman" w:eastAsia="Calibri" w:hAnsi="Times New Roman" w:cs="Times New Roman"/>
                    <w:sz w:val="24"/>
                    <w:szCs w:val="24"/>
                    <w:lang w:eastAsia="lt-LT"/>
                  </w:rPr>
                  <w:t>2.7.1.3. 7-asis ir 8-asis blokai</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b/>
                    <w:i/>
                    <w:sz w:val="24"/>
                    <w:szCs w:val="24"/>
                    <w:highlight w:val="red"/>
                    <w:u w:val="single"/>
                  </w:rPr>
                </w:pPr>
                <w:r>
                  <w:rPr>
                    <w:rFonts w:ascii="Times New Roman" w:eastAsia="Calibri" w:hAnsi="Times New Roman" w:cs="Times New Roman"/>
                    <w:sz w:val="24"/>
                    <w:szCs w:val="24"/>
                    <w:lang w:eastAsia="lt-LT"/>
                  </w:rPr>
                  <w:t>2.7.1.4. Žalio vandens nudruskinimo įrenginiai</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b/>
                    <w:i/>
                    <w:sz w:val="24"/>
                    <w:szCs w:val="24"/>
                    <w:highlight w:val="red"/>
                    <w:u w:val="single"/>
                  </w:rPr>
                </w:pPr>
                <w:r>
                  <w:rPr>
                    <w:rFonts w:ascii="Times New Roman" w:eastAsia="Calibri" w:hAnsi="Times New Roman" w:cs="Times New Roman"/>
                    <w:sz w:val="24"/>
                    <w:szCs w:val="24"/>
                    <w:lang w:eastAsia="lt-LT"/>
                  </w:rPr>
                  <w:t>2.7.1.5. Elektrolizerinė ir vandenilio saugojimo resiveriai</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4657" w:type="dxa"/>
                <w:vMerge w:val="restart"/>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rPr>
                </w:pPr>
                <w:r>
                  <w:rPr>
                    <w:rFonts w:ascii="Times New Roman" w:hAnsi="Times New Roman" w:cs="Times New Roman"/>
                    <w:sz w:val="24"/>
                    <w:szCs w:val="24"/>
                  </w:rPr>
                  <w:t>2.8. Kruonio hidroakumuliacinė elektrinė</w:t>
                </w: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i/>
                    <w:sz w:val="24"/>
                    <w:szCs w:val="24"/>
                  </w:rPr>
                </w:pPr>
                <w:r>
                  <w:rPr>
                    <w:rFonts w:ascii="Times New Roman" w:hAnsi="Times New Roman" w:cs="Times New Roman"/>
                    <w:sz w:val="24"/>
                    <w:szCs w:val="24"/>
                  </w:rPr>
                  <w:t>2.8.</w:t>
                </w:r>
                <w:r>
                  <w:rPr>
                    <w:rFonts w:ascii="Times New Roman" w:eastAsia="Calibri" w:hAnsi="Times New Roman" w:cs="Times New Roman"/>
                    <w:sz w:val="24"/>
                    <w:szCs w:val="24"/>
                    <w:lang w:eastAsia="lt-LT"/>
                  </w:rPr>
                  <w:t xml:space="preserve">1. </w:t>
                </w:r>
                <w:r>
                  <w:rPr>
                    <w:rFonts w:ascii="Times New Roman" w:hAnsi="Times New Roman" w:cs="Times New Roman"/>
                    <w:sz w:val="24"/>
                    <w:szCs w:val="24"/>
                  </w:rPr>
                  <w:t xml:space="preserve">Nacionaliniam saugumui užtikrinti svarbūs įrenginiai ir turtas, esantys adresu Marių g. 6, 56312 Maisiejūnų k., Kruonio sen., Kaišiadorių r. sav.: </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b/>
                    <w:i/>
                    <w:sz w:val="24"/>
                    <w:szCs w:val="24"/>
                    <w:highlight w:val="red"/>
                    <w:u w:val="single"/>
                  </w:rPr>
                </w:pPr>
                <w:r>
                  <w:rPr>
                    <w:rFonts w:ascii="Times New Roman" w:hAnsi="Times New Roman" w:cs="Times New Roman"/>
                    <w:sz w:val="24"/>
                    <w:szCs w:val="24"/>
                  </w:rPr>
                  <w:t>2.8.</w:t>
                </w:r>
                <w:r>
                  <w:rPr>
                    <w:rFonts w:ascii="Times New Roman" w:eastAsia="Calibri" w:hAnsi="Times New Roman" w:cs="Times New Roman"/>
                    <w:sz w:val="24"/>
                    <w:szCs w:val="24"/>
                    <w:lang w:eastAsia="lt-LT"/>
                  </w:rPr>
                  <w:t>1.</w:t>
                </w:r>
                <w:r>
                  <w:rPr>
                    <w:rFonts w:ascii="Times New Roman" w:hAnsi="Times New Roman" w:cs="Times New Roman"/>
                    <w:sz w:val="24"/>
                    <w:szCs w:val="24"/>
                  </w:rPr>
                  <w:t>1. Hidroakumuliacinės jėgainės pastatas (su jame esančiais pagrindiniais gamybos įrenginiais)</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b/>
                    <w:i/>
                    <w:sz w:val="24"/>
                    <w:szCs w:val="24"/>
                    <w:highlight w:val="red"/>
                    <w:u w:val="single"/>
                  </w:rPr>
                </w:pPr>
                <w:r>
                  <w:rPr>
                    <w:rFonts w:ascii="Times New Roman" w:hAnsi="Times New Roman" w:cs="Times New Roman"/>
                    <w:sz w:val="24"/>
                    <w:szCs w:val="24"/>
                  </w:rPr>
                  <w:t>2.8.</w:t>
                </w:r>
                <w:r>
                  <w:rPr>
                    <w:rFonts w:ascii="Times New Roman" w:eastAsia="Calibri" w:hAnsi="Times New Roman" w:cs="Times New Roman"/>
                    <w:sz w:val="24"/>
                    <w:szCs w:val="24"/>
                    <w:lang w:eastAsia="lt-LT"/>
                  </w:rPr>
                  <w:t>1.</w:t>
                </w:r>
                <w:r>
                  <w:rPr>
                    <w:rFonts w:ascii="Times New Roman" w:hAnsi="Times New Roman" w:cs="Times New Roman"/>
                    <w:sz w:val="24"/>
                    <w:szCs w:val="24"/>
                  </w:rPr>
                  <w:t>2. Vandens priimtuvas</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b/>
                    <w:i/>
                    <w:sz w:val="24"/>
                    <w:szCs w:val="24"/>
                    <w:highlight w:val="red"/>
                    <w:u w:val="single"/>
                  </w:rPr>
                </w:pPr>
                <w:r>
                  <w:rPr>
                    <w:rFonts w:ascii="Times New Roman" w:hAnsi="Times New Roman" w:cs="Times New Roman"/>
                    <w:sz w:val="24"/>
                    <w:szCs w:val="24"/>
                  </w:rPr>
                  <w:t>2.8.</w:t>
                </w:r>
                <w:r>
                  <w:rPr>
                    <w:rFonts w:ascii="Times New Roman" w:eastAsia="Calibri" w:hAnsi="Times New Roman" w:cs="Times New Roman"/>
                    <w:sz w:val="24"/>
                    <w:szCs w:val="24"/>
                    <w:lang w:eastAsia="lt-LT"/>
                  </w:rPr>
                  <w:t>1.</w:t>
                </w:r>
                <w:r>
                  <w:rPr>
                    <w:rFonts w:ascii="Times New Roman" w:hAnsi="Times New Roman" w:cs="Times New Roman"/>
                    <w:sz w:val="24"/>
                    <w:szCs w:val="24"/>
                  </w:rPr>
                  <w:t>3. Administracinis gamybinis pastatas (su centriniu valdymo pultu)</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b/>
                    <w:i/>
                    <w:sz w:val="24"/>
                    <w:szCs w:val="24"/>
                    <w:highlight w:val="red"/>
                    <w:u w:val="single"/>
                  </w:rPr>
                </w:pPr>
                <w:r>
                  <w:rPr>
                    <w:rFonts w:ascii="Times New Roman" w:hAnsi="Times New Roman" w:cs="Times New Roman"/>
                    <w:sz w:val="24"/>
                    <w:szCs w:val="24"/>
                  </w:rPr>
                  <w:t>2.8.1.4. Slėginis vamzdynas</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b/>
                    <w:i/>
                    <w:sz w:val="24"/>
                    <w:szCs w:val="24"/>
                    <w:highlight w:val="red"/>
                    <w:u w:val="single"/>
                  </w:rPr>
                </w:pPr>
                <w:r>
                  <w:rPr>
                    <w:rFonts w:ascii="Times New Roman" w:hAnsi="Times New Roman" w:cs="Times New Roman"/>
                    <w:sz w:val="24"/>
                    <w:szCs w:val="24"/>
                  </w:rPr>
                  <w:t>2.8.1.5. Aukštutinis baseinas</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b/>
                    <w:i/>
                    <w:sz w:val="24"/>
                    <w:szCs w:val="24"/>
                    <w:highlight w:val="red"/>
                    <w:u w:val="single"/>
                  </w:rPr>
                </w:pPr>
                <w:r>
                  <w:rPr>
                    <w:rFonts w:ascii="Times New Roman" w:hAnsi="Times New Roman" w:cs="Times New Roman"/>
                    <w:sz w:val="24"/>
                    <w:szCs w:val="24"/>
                  </w:rPr>
                  <w:t>2.8.1.6. Reversinis kanalas</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4657" w:type="dxa"/>
                <w:vMerge w:val="restart"/>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rPr>
                </w:pPr>
                <w:r>
                  <w:rPr>
                    <w:rFonts w:ascii="Times New Roman" w:hAnsi="Times New Roman" w:cs="Times New Roman"/>
                    <w:sz w:val="24"/>
                    <w:szCs w:val="24"/>
                  </w:rPr>
                  <w:t>2.9. Kauno Algirdo Brazausko hidroelektrinė</w:t>
                </w: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rPr>
                </w:pPr>
                <w:r>
                  <w:rPr>
                    <w:rFonts w:ascii="Times New Roman" w:hAnsi="Times New Roman" w:cs="Times New Roman"/>
                    <w:sz w:val="24"/>
                    <w:szCs w:val="24"/>
                  </w:rPr>
                  <w:t xml:space="preserve">2.9.1. Nacionaliniam saugumui užtikrinti svarbūs įrenginiai ir turtas, esantys adresu T. Masiulio g. 22A, 52439 Kaunas: </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b/>
                    <w:i/>
                    <w:sz w:val="24"/>
                    <w:szCs w:val="24"/>
                    <w:highlight w:val="red"/>
                    <w:u w:val="single"/>
                  </w:rPr>
                </w:pPr>
                <w:r>
                  <w:rPr>
                    <w:rFonts w:ascii="Times New Roman" w:hAnsi="Times New Roman" w:cs="Times New Roman"/>
                    <w:sz w:val="24"/>
                    <w:szCs w:val="24"/>
                  </w:rPr>
                  <w:t>2.9.1.1. Hidroelektrinė (su jame esančiais pagrindiniais gamybos įrenginiais)</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b/>
                    <w:i/>
                    <w:sz w:val="24"/>
                    <w:szCs w:val="24"/>
                    <w:highlight w:val="red"/>
                    <w:u w:val="single"/>
                  </w:rPr>
                </w:pPr>
                <w:r>
                  <w:rPr>
                    <w:rFonts w:ascii="Times New Roman" w:hAnsi="Times New Roman" w:cs="Times New Roman"/>
                    <w:sz w:val="24"/>
                    <w:szCs w:val="24"/>
                  </w:rPr>
                  <w:t>2.9.1.2. Vandens nupylimo užtvanka (su dviem aptarnavimo ožiniais kranais)</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b/>
                    <w:i/>
                    <w:sz w:val="24"/>
                    <w:szCs w:val="24"/>
                    <w:highlight w:val="red"/>
                    <w:u w:val="single"/>
                  </w:rPr>
                </w:pPr>
                <w:r>
                  <w:rPr>
                    <w:rFonts w:ascii="Times New Roman" w:hAnsi="Times New Roman" w:cs="Times New Roman"/>
                    <w:sz w:val="24"/>
                    <w:szCs w:val="24"/>
                  </w:rPr>
                  <w:t>2.9.1.3. Kairysis ramtas</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b/>
                    <w:i/>
                    <w:sz w:val="24"/>
                    <w:szCs w:val="24"/>
                    <w:highlight w:val="red"/>
                    <w:u w:val="single"/>
                  </w:rPr>
                </w:pPr>
                <w:r>
                  <w:rPr>
                    <w:rFonts w:ascii="Times New Roman" w:hAnsi="Times New Roman" w:cs="Times New Roman"/>
                    <w:sz w:val="24"/>
                    <w:szCs w:val="24"/>
                  </w:rPr>
                  <w:t>2.9.1.4. Kiti inžineriniai statiniai: žemės užtvanka 1, žemės užtvanka 2, žemės užtvanka 3, nuvedamasis kanalas, viršutinio ir žemutinio bjefo sąsajos</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4657" w:type="dxa"/>
                <w:vMerge w:val="restart"/>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rPr>
                </w:pPr>
                <w:r>
                  <w:rPr>
                    <w:rFonts w:ascii="Times New Roman" w:hAnsi="Times New Roman" w:cs="Times New Roman"/>
                    <w:sz w:val="24"/>
                    <w:szCs w:val="24"/>
                  </w:rPr>
                  <w:t>2.10. Lietuvos gamtinių dujų perdavimo sistemos operatoriaus valdomos gamtinių dujų perdavimo sistemos vamzdynas (išskyrus vamzdyno dalį, iš esmės naudojamą gamtinėms dujoms vietoje paskirstyti, siekiant pristatyti jas gamtinių dujų vartotojams), dujų kompresorių stočių ir tarpvalstybinių dujų apskaitos stočių pagrindinė technologinė įranga (gamtinių dujų perdavimo vamzdynai, kompresoriai, turbinos), reikalinga gamtinių dujų perdavimo funkcijai atlikti</w:t>
                </w:r>
              </w:p>
            </w:tc>
            <w:tc>
              <w:tcPr>
                <w:tcW w:w="9639" w:type="dxa"/>
                <w:tcBorders>
                  <w:top w:val="single" w:sz="4" w:space="0" w:color="auto"/>
                  <w:left w:val="single" w:sz="4" w:space="0" w:color="auto"/>
                  <w:bottom w:val="single" w:sz="4" w:space="0" w:color="auto"/>
                  <w:right w:val="single" w:sz="4" w:space="0" w:color="auto"/>
                </w:tcBorders>
                <w:hideMark/>
              </w:tcPr>
              <w:p>
                <w:pPr>
                  <w:tabs>
                    <w:tab w:val="left" w:pos="232"/>
                  </w:tabs>
                  <w:jc w:val="both"/>
                  <w:rPr>
                    <w:rFonts w:ascii="Times New Roman" w:hAnsi="Times New Roman" w:cs="Times New Roman"/>
                    <w:sz w:val="24"/>
                    <w:szCs w:val="24"/>
                  </w:rPr>
                </w:pPr>
                <w:r>
                  <w:rPr>
                    <w:rFonts w:ascii="Times New Roman" w:hAnsi="Times New Roman" w:cs="Times New Roman"/>
                    <w:sz w:val="24"/>
                    <w:szCs w:val="24"/>
                  </w:rPr>
                  <w:t>2.10.1. Gamtinių dujų perdavimo sistemos vamzdynas, išskyrus vamzdyno dalį, iš esmės naudojamą gamtinėms dujoms vietoje paskirstyti, siekiant pristatyti jas gamtinių dujų vartotojams, kurio ilgis yra 2113,78 km ir kuris yra Akmenės rajono, Alytaus rajono, Anykščių rajono, Birštono, Biržų rajono, Elektrėnų, Ignalinos rajono, Jonavos rajono, Jurbarko rajono, Kaišiadorių rajono, Kauno rajono, Kėdainių rajono, Klaipėdos rajono, Kretingos rajono, Marijampolės, Pakruojo rajono, Panevėžio rajono, Pasvalio rajono, Plungės rajono, Prienų rajono, Radviliškio rajono, Rietavo, Šakių rajono, Šalčininkų rajono, Šiaulių rajono, Šilutės rajono, Širvintų rajono, Švenčionių rajono, Tauragės rajono, Telšių rajono, Trakų rajono, Ukmergės rajono, Utenos rajono, Vilkaviškio rajono, Vilniaus miesto, Vilniaus rajono, Visagino savivaldybių teritorijoje</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pStyle w:val="Sraopastraipa"/>
                  <w:tabs>
                    <w:tab w:val="left" w:pos="232"/>
                  </w:tabs>
                  <w:spacing w:after="0" w:line="240" w:lineRule="auto"/>
                  <w:ind w:left="-52" w:firstLine="86"/>
                  <w:jc w:val="both"/>
                  <w:rPr>
                    <w:rFonts w:ascii="Times New Roman" w:hAnsi="Times New Roman" w:cs="Times New Roman"/>
                    <w:b/>
                    <w:i/>
                    <w:sz w:val="24"/>
                    <w:szCs w:val="24"/>
                    <w:highlight w:val="red"/>
                    <w:u w:val="single"/>
                  </w:rPr>
                </w:pPr>
                <w:r>
                  <w:rPr>
                    <w:rFonts w:ascii="Times New Roman" w:hAnsi="Times New Roman" w:cs="Times New Roman"/>
                    <w:sz w:val="24"/>
                    <w:szCs w:val="24"/>
                  </w:rPr>
                  <w:t xml:space="preserve">2.10.2. Panevėžio dujų kompresorių stotis (Panevėžio DKS), esanti adresu Panevėžio r. sav., Maksvytiškių k., Verslo g. 11 </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pStyle w:val="Sraopastraipa"/>
                  <w:tabs>
                    <w:tab w:val="left" w:pos="232"/>
                  </w:tabs>
                  <w:spacing w:after="0" w:line="240" w:lineRule="auto"/>
                  <w:ind w:left="-52" w:firstLine="86"/>
                  <w:jc w:val="both"/>
                  <w:rPr>
                    <w:rFonts w:ascii="Times New Roman" w:hAnsi="Times New Roman" w:cs="Times New Roman"/>
                    <w:b/>
                    <w:i/>
                    <w:sz w:val="24"/>
                    <w:szCs w:val="24"/>
                    <w:highlight w:val="red"/>
                    <w:u w:val="single"/>
                  </w:rPr>
                </w:pPr>
                <w:r>
                  <w:rPr>
                    <w:rFonts w:ascii="Times New Roman" w:hAnsi="Times New Roman" w:cs="Times New Roman"/>
                    <w:sz w:val="24"/>
                    <w:szCs w:val="24"/>
                  </w:rPr>
                  <w:t xml:space="preserve">2.10.3. Jauniūnų dujų kompresorių stotis (Jauniūnų DKS), esanti adresu Širvintų r. sav., Jauniūnų sen., Lipuvkos vs. </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pStyle w:val="Sraopastraipa"/>
                  <w:tabs>
                    <w:tab w:val="left" w:pos="232"/>
                  </w:tabs>
                  <w:spacing w:after="0" w:line="240" w:lineRule="auto"/>
                  <w:ind w:left="-52" w:firstLine="86"/>
                  <w:jc w:val="both"/>
                  <w:rPr>
                    <w:rFonts w:ascii="Times New Roman" w:hAnsi="Times New Roman" w:cs="Times New Roman"/>
                    <w:b/>
                    <w:i/>
                    <w:sz w:val="24"/>
                    <w:szCs w:val="24"/>
                    <w:highlight w:val="red"/>
                    <w:u w:val="single"/>
                  </w:rPr>
                </w:pPr>
                <w:r>
                  <w:rPr>
                    <w:rFonts w:ascii="Times New Roman" w:hAnsi="Times New Roman" w:cs="Times New Roman"/>
                    <w:sz w:val="24"/>
                    <w:szCs w:val="24"/>
                  </w:rPr>
                  <w:t>2.10.4. Šakių dujų apskaitos stotis (Šakių DAS), esanti adresu Šakių r. sav., Šakių sen., Daugėliškių k., Kęstučio g. 77</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pStyle w:val="Sraopastraipa"/>
                  <w:tabs>
                    <w:tab w:val="left" w:pos="232"/>
                  </w:tabs>
                  <w:spacing w:after="0" w:line="240" w:lineRule="auto"/>
                  <w:ind w:left="-52" w:firstLine="86"/>
                  <w:jc w:val="both"/>
                  <w:rPr>
                    <w:rFonts w:ascii="Times New Roman" w:hAnsi="Times New Roman" w:cs="Times New Roman"/>
                    <w:b/>
                    <w:i/>
                    <w:sz w:val="24"/>
                    <w:szCs w:val="24"/>
                    <w:highlight w:val="red"/>
                    <w:u w:val="single"/>
                  </w:rPr>
                </w:pPr>
                <w:r>
                  <w:rPr>
                    <w:rFonts w:ascii="Times New Roman" w:hAnsi="Times New Roman" w:cs="Times New Roman"/>
                    <w:sz w:val="24"/>
                    <w:szCs w:val="24"/>
                  </w:rPr>
                  <w:t xml:space="preserve">2.10.5. Kiemėnų dujų apskaitos stotis (Kiemėnų DAS), esanti adresu Pasvalio r. sav.,  Namiškių sen., Kiemėnų k., Kiemėnų g. 71A </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b/>
                    <w:i/>
                    <w:sz w:val="24"/>
                    <w:szCs w:val="24"/>
                    <w:highlight w:val="red"/>
                    <w:u w:val="single"/>
                  </w:rPr>
                </w:pPr>
                <w:r>
                  <w:rPr>
                    <w:rFonts w:ascii="Times New Roman" w:hAnsi="Times New Roman" w:cs="Times New Roman"/>
                    <w:sz w:val="24"/>
                    <w:szCs w:val="24"/>
                  </w:rPr>
                  <w:t>2.10.6. Santakos dujų apskaitos stotis (Santakos DAS), esanti adresu Marijampolės sav., Liudvinavo sen., Išlandžių k. (prognozuojama eksploatavimo pradžia 2021 m. gruodžio 31 d.)</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4657" w:type="dxa"/>
                <w:vMerge w:val="restart"/>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rPr>
                </w:pPr>
                <w:r>
                  <w:rPr>
                    <w:rFonts w:ascii="Times New Roman" w:hAnsi="Times New Roman" w:cs="Times New Roman"/>
                    <w:sz w:val="24"/>
                    <w:szCs w:val="24"/>
                  </w:rPr>
                  <w:t>2.11. Valstybės kontroliuojamas naftos terminalas, esantis Klaipėdos valstybinio jūrų uosto teritorijoje, ir jo priklausiniai, reikalingi naftos terminalo veiklai</w:t>
                </w: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rPr>
                </w:pPr>
                <w:r>
                  <w:rPr>
                    <w:rFonts w:ascii="Times New Roman" w:hAnsi="Times New Roman" w:cs="Times New Roman"/>
                    <w:sz w:val="24"/>
                    <w:szCs w:val="24"/>
                  </w:rPr>
                  <w:t>2.11.1. Elektros skydinė</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b/>
                    <w:i/>
                    <w:sz w:val="24"/>
                    <w:szCs w:val="24"/>
                    <w:highlight w:val="red"/>
                    <w:u w:val="single"/>
                  </w:rPr>
                </w:pPr>
                <w:r>
                  <w:rPr>
                    <w:rFonts w:ascii="Times New Roman" w:hAnsi="Times New Roman" w:cs="Times New Roman"/>
                    <w:sz w:val="24"/>
                    <w:szCs w:val="24"/>
                  </w:rPr>
                  <w:t>2.11.2. Krovimo rankovės, 10 vnt.</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b/>
                    <w:i/>
                    <w:sz w:val="24"/>
                    <w:szCs w:val="24"/>
                    <w:highlight w:val="red"/>
                    <w:u w:val="single"/>
                  </w:rPr>
                </w:pPr>
                <w:r>
                  <w:rPr>
                    <w:rFonts w:ascii="Times New Roman" w:hAnsi="Times New Roman" w:cs="Times New Roman"/>
                    <w:sz w:val="24"/>
                    <w:szCs w:val="24"/>
                  </w:rPr>
                  <w:t>2.11.3. Siurblinė, 4 vnt.</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b/>
                    <w:i/>
                    <w:sz w:val="24"/>
                    <w:szCs w:val="24"/>
                    <w:highlight w:val="red"/>
                    <w:u w:val="single"/>
                  </w:rPr>
                </w:pPr>
                <w:r>
                  <w:rPr>
                    <w:rFonts w:ascii="Times New Roman" w:hAnsi="Times New Roman" w:cs="Times New Roman"/>
                    <w:sz w:val="24"/>
                    <w:szCs w:val="24"/>
                  </w:rPr>
                  <w:t>2.11.4. Estakada, 2 vnt.</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b/>
                    <w:i/>
                    <w:sz w:val="24"/>
                    <w:szCs w:val="24"/>
                    <w:highlight w:val="red"/>
                    <w:u w:val="single"/>
                  </w:rPr>
                </w:pPr>
                <w:r>
                  <w:rPr>
                    <w:rFonts w:ascii="Times New Roman" w:hAnsi="Times New Roman" w:cs="Times New Roman"/>
                    <w:sz w:val="24"/>
                    <w:szCs w:val="24"/>
                  </w:rPr>
                  <w:t>2.11.5. Rezervuarai, 24 vnt.</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b/>
                    <w:i/>
                    <w:sz w:val="24"/>
                    <w:szCs w:val="24"/>
                    <w:highlight w:val="red"/>
                    <w:u w:val="single"/>
                  </w:rPr>
                </w:pPr>
                <w:r>
                  <w:rPr>
                    <w:rFonts w:ascii="Times New Roman" w:hAnsi="Times New Roman" w:cs="Times New Roman"/>
                    <w:sz w:val="24"/>
                    <w:szCs w:val="24"/>
                  </w:rPr>
                  <w:t>2.11.6. Transformatorinė, 2 vnt.</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b/>
                    <w:i/>
                    <w:sz w:val="24"/>
                    <w:szCs w:val="24"/>
                    <w:highlight w:val="red"/>
                    <w:u w:val="single"/>
                  </w:rPr>
                </w:pPr>
                <w:r>
                  <w:rPr>
                    <w:rFonts w:ascii="Times New Roman" w:hAnsi="Times New Roman" w:cs="Times New Roman"/>
                    <w:sz w:val="24"/>
                    <w:szCs w:val="24"/>
                  </w:rPr>
                  <w:t>2.11.7. Valdymo pastatas, 2 vnt.</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b/>
                    <w:i/>
                    <w:sz w:val="24"/>
                    <w:szCs w:val="24"/>
                    <w:highlight w:val="red"/>
                    <w:u w:val="single"/>
                  </w:rPr>
                </w:pPr>
                <w:r>
                  <w:rPr>
                    <w:rFonts w:ascii="Times New Roman" w:hAnsi="Times New Roman" w:cs="Times New Roman"/>
                    <w:sz w:val="24"/>
                    <w:szCs w:val="24"/>
                  </w:rPr>
                  <w:t>2.11.8. Kompresorinė-transformatorinė</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b/>
                    <w:i/>
                    <w:sz w:val="24"/>
                    <w:szCs w:val="24"/>
                    <w:highlight w:val="red"/>
                    <w:u w:val="single"/>
                  </w:rPr>
                </w:pPr>
                <w:r>
                  <w:rPr>
                    <w:rFonts w:ascii="Times New Roman" w:hAnsi="Times New Roman" w:cs="Times New Roman"/>
                    <w:sz w:val="24"/>
                    <w:szCs w:val="24"/>
                  </w:rPr>
                  <w:t>2.11.9. Signaliniai kabeliai</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b/>
                    <w:i/>
                    <w:sz w:val="24"/>
                    <w:szCs w:val="24"/>
                    <w:highlight w:val="red"/>
                    <w:u w:val="single"/>
                  </w:rPr>
                </w:pPr>
                <w:r>
                  <w:rPr>
                    <w:rFonts w:ascii="Times New Roman" w:hAnsi="Times New Roman" w:cs="Times New Roman"/>
                    <w:sz w:val="24"/>
                    <w:szCs w:val="24"/>
                  </w:rPr>
                  <w:t>2.11.10. Gelžbetoniniai tiltai per technologinį vamzdyną, 5 vnt.</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b/>
                    <w:i/>
                    <w:sz w:val="24"/>
                    <w:szCs w:val="24"/>
                    <w:highlight w:val="red"/>
                    <w:u w:val="single"/>
                  </w:rPr>
                </w:pPr>
                <w:r>
                  <w:rPr>
                    <w:rFonts w:ascii="Times New Roman" w:hAnsi="Times New Roman" w:cs="Times New Roman"/>
                    <w:sz w:val="24"/>
                    <w:szCs w:val="24"/>
                  </w:rPr>
                  <w:t>2.11.11. Technologinė siurblinė</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b/>
                    <w:i/>
                    <w:sz w:val="24"/>
                    <w:szCs w:val="24"/>
                    <w:highlight w:val="red"/>
                    <w:u w:val="single"/>
                  </w:rPr>
                </w:pPr>
                <w:r>
                  <w:rPr>
                    <w:rFonts w:ascii="Times New Roman" w:hAnsi="Times New Roman" w:cs="Times New Roman"/>
                    <w:sz w:val="24"/>
                    <w:szCs w:val="24"/>
                  </w:rPr>
                  <w:t>2.11.12. Technologinis vamzdynas</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b/>
                    <w:i/>
                    <w:sz w:val="24"/>
                    <w:szCs w:val="24"/>
                    <w:highlight w:val="red"/>
                    <w:u w:val="single"/>
                  </w:rPr>
                </w:pPr>
                <w:r>
                  <w:rPr>
                    <w:rFonts w:ascii="Times New Roman" w:hAnsi="Times New Roman" w:cs="Times New Roman"/>
                    <w:sz w:val="24"/>
                    <w:szCs w:val="24"/>
                  </w:rPr>
                  <w:t>2.11.13. Benzino garų surinkimo įrenginys</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b/>
                    <w:i/>
                    <w:sz w:val="24"/>
                    <w:szCs w:val="24"/>
                    <w:highlight w:val="red"/>
                    <w:u w:val="single"/>
                  </w:rPr>
                </w:pPr>
                <w:r>
                  <w:rPr>
                    <w:rFonts w:ascii="Times New Roman" w:hAnsi="Times New Roman" w:cs="Times New Roman"/>
                    <w:sz w:val="24"/>
                    <w:szCs w:val="24"/>
                  </w:rPr>
                  <w:t>2.11.14. Geležinkelio cisternų pripylimo siurblinė</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b/>
                    <w:i/>
                    <w:sz w:val="24"/>
                    <w:szCs w:val="24"/>
                    <w:u w:val="single"/>
                  </w:rPr>
                </w:pPr>
                <w:r>
                  <w:rPr>
                    <w:rFonts w:ascii="Times New Roman" w:hAnsi="Times New Roman" w:cs="Times New Roman"/>
                    <w:sz w:val="24"/>
                    <w:szCs w:val="24"/>
                  </w:rPr>
                  <w:t>2.11.15. Autocisternų pripylimo aikštelė</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b/>
                    <w:i/>
                    <w:sz w:val="24"/>
                    <w:szCs w:val="24"/>
                    <w:u w:val="single"/>
                  </w:rPr>
                </w:pPr>
                <w:r>
                  <w:rPr>
                    <w:rFonts w:ascii="Times New Roman" w:hAnsi="Times New Roman" w:cs="Times New Roman"/>
                    <w:sz w:val="24"/>
                    <w:szCs w:val="24"/>
                  </w:rPr>
                  <w:t>2.11.16. Autocisternų pripylimo siurblinė</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b/>
                    <w:i/>
                    <w:sz w:val="24"/>
                    <w:szCs w:val="24"/>
                    <w:u w:val="single"/>
                  </w:rPr>
                </w:pPr>
                <w:r>
                  <w:rPr>
                    <w:rFonts w:ascii="Times New Roman" w:hAnsi="Times New Roman" w:cs="Times New Roman"/>
                    <w:sz w:val="24"/>
                    <w:szCs w:val="24"/>
                  </w:rPr>
                  <w:t>2.11.17. Gelžbetoninis tiltas</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b/>
                    <w:i/>
                    <w:sz w:val="24"/>
                    <w:szCs w:val="24"/>
                    <w:u w:val="single"/>
                  </w:rPr>
                </w:pPr>
                <w:r>
                  <w:rPr>
                    <w:rFonts w:ascii="Times New Roman" w:hAnsi="Times New Roman" w:cs="Times New Roman"/>
                    <w:sz w:val="24"/>
                    <w:szCs w:val="24"/>
                  </w:rPr>
                  <w:t>2.11.18. Elektros kabelių gelžbetoninė estakada</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b/>
                    <w:i/>
                    <w:sz w:val="24"/>
                    <w:szCs w:val="24"/>
                    <w:highlight w:val="red"/>
                    <w:u w:val="single"/>
                  </w:rPr>
                </w:pPr>
                <w:r>
                  <w:rPr>
                    <w:rFonts w:ascii="Times New Roman" w:hAnsi="Times New Roman" w:cs="Times New Roman"/>
                    <w:sz w:val="24"/>
                    <w:szCs w:val="24"/>
                  </w:rPr>
                  <w:t>2.11.19. Pramoninės televizijos įranga ir linijos</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b/>
                    <w:i/>
                    <w:sz w:val="24"/>
                    <w:szCs w:val="24"/>
                    <w:highlight w:val="red"/>
                    <w:u w:val="single"/>
                  </w:rPr>
                </w:pPr>
                <w:r>
                  <w:rPr>
                    <w:rFonts w:ascii="Times New Roman" w:hAnsi="Times New Roman" w:cs="Times New Roman"/>
                    <w:sz w:val="24"/>
                    <w:szCs w:val="24"/>
                  </w:rPr>
                  <w:t>2.11.20. 0,4 kV ETL (iki gaisrinės)</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b/>
                    <w:i/>
                    <w:sz w:val="24"/>
                    <w:szCs w:val="24"/>
                    <w:highlight w:val="red"/>
                    <w:u w:val="single"/>
                  </w:rPr>
                </w:pPr>
                <w:r>
                  <w:rPr>
                    <w:rFonts w:ascii="Times New Roman" w:hAnsi="Times New Roman" w:cs="Times New Roman"/>
                    <w:sz w:val="24"/>
                    <w:szCs w:val="24"/>
                  </w:rPr>
                  <w:t>2.11.21. Estakada per Burių gatvę</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b/>
                    <w:i/>
                    <w:sz w:val="24"/>
                    <w:szCs w:val="24"/>
                    <w:highlight w:val="red"/>
                    <w:u w:val="single"/>
                  </w:rPr>
                </w:pPr>
                <w:r>
                  <w:rPr>
                    <w:rFonts w:ascii="Times New Roman" w:hAnsi="Times New Roman" w:cs="Times New Roman"/>
                    <w:sz w:val="24"/>
                    <w:szCs w:val="24"/>
                  </w:rPr>
                  <w:t>2.11.22. Geležinkelio kelias, 9 vnt.</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b/>
                    <w:i/>
                    <w:sz w:val="24"/>
                    <w:szCs w:val="24"/>
                    <w:highlight w:val="red"/>
                    <w:u w:val="single"/>
                  </w:rPr>
                </w:pPr>
                <w:r>
                  <w:rPr>
                    <w:rFonts w:ascii="Times New Roman" w:hAnsi="Times New Roman" w:cs="Times New Roman"/>
                    <w:sz w:val="24"/>
                    <w:szCs w:val="24"/>
                  </w:rPr>
                  <w:t>2.11.23. El. jėgos, apšvietimo ir valdymo kabeliai</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b/>
                    <w:i/>
                    <w:sz w:val="24"/>
                    <w:szCs w:val="24"/>
                    <w:highlight w:val="red"/>
                    <w:u w:val="single"/>
                  </w:rPr>
                </w:pPr>
                <w:r>
                  <w:rPr>
                    <w:rFonts w:ascii="Times New Roman" w:hAnsi="Times New Roman" w:cs="Times New Roman"/>
                    <w:sz w:val="24"/>
                    <w:szCs w:val="24"/>
                  </w:rPr>
                  <w:t>2.11.24. Filtrų aikštelė</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b/>
                    <w:i/>
                    <w:sz w:val="24"/>
                    <w:szCs w:val="24"/>
                    <w:highlight w:val="red"/>
                    <w:u w:val="single"/>
                  </w:rPr>
                </w:pPr>
                <w:r>
                  <w:rPr>
                    <w:rFonts w:ascii="Times New Roman" w:hAnsi="Times New Roman" w:cs="Times New Roman"/>
                    <w:sz w:val="24"/>
                    <w:szCs w:val="24"/>
                  </w:rPr>
                  <w:t>2.11.25. Vandens paruošimo ir kondensato valymo cechas</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b/>
                    <w:i/>
                    <w:sz w:val="24"/>
                    <w:szCs w:val="24"/>
                    <w:highlight w:val="red"/>
                    <w:u w:val="single"/>
                  </w:rPr>
                </w:pPr>
                <w:r>
                  <w:rPr>
                    <w:rFonts w:ascii="Times New Roman" w:hAnsi="Times New Roman" w:cs="Times New Roman"/>
                    <w:sz w:val="24"/>
                    <w:szCs w:val="24"/>
                  </w:rPr>
                  <w:t>2.11.26. Šilumokaičių pastatas</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b/>
                    <w:i/>
                    <w:sz w:val="24"/>
                    <w:szCs w:val="24"/>
                    <w:highlight w:val="red"/>
                    <w:u w:val="single"/>
                  </w:rPr>
                </w:pPr>
                <w:r>
                  <w:rPr>
                    <w:rFonts w:ascii="Times New Roman" w:hAnsi="Times New Roman" w:cs="Times New Roman"/>
                    <w:sz w:val="24"/>
                    <w:szCs w:val="24"/>
                  </w:rPr>
                  <w:t>2.11.27. Katilinė</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b/>
                    <w:i/>
                    <w:sz w:val="24"/>
                    <w:szCs w:val="24"/>
                    <w:highlight w:val="red"/>
                    <w:u w:val="single"/>
                  </w:rPr>
                </w:pPr>
                <w:r>
                  <w:rPr>
                    <w:rFonts w:ascii="Times New Roman" w:hAnsi="Times New Roman" w:cs="Times New Roman"/>
                    <w:sz w:val="24"/>
                    <w:szCs w:val="24"/>
                  </w:rPr>
                  <w:t>2.11.28. Druskos ūkis</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b/>
                    <w:i/>
                    <w:sz w:val="24"/>
                    <w:szCs w:val="24"/>
                    <w:highlight w:val="red"/>
                    <w:u w:val="single"/>
                  </w:rPr>
                </w:pPr>
                <w:r>
                  <w:rPr>
                    <w:rFonts w:ascii="Times New Roman" w:hAnsi="Times New Roman" w:cs="Times New Roman"/>
                    <w:sz w:val="24"/>
                    <w:szCs w:val="24"/>
                  </w:rPr>
                  <w:t>2.11.29. Geriamojo vandens rezervuaras</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b/>
                    <w:i/>
                    <w:sz w:val="24"/>
                    <w:szCs w:val="24"/>
                    <w:highlight w:val="red"/>
                    <w:u w:val="single"/>
                  </w:rPr>
                </w:pPr>
                <w:r>
                  <w:rPr>
                    <w:rFonts w:ascii="Times New Roman" w:hAnsi="Times New Roman" w:cs="Times New Roman"/>
                    <w:sz w:val="24"/>
                    <w:szCs w:val="24"/>
                  </w:rPr>
                  <w:t>2.11.30. Išvalyto vandens rezervuaras</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b/>
                    <w:i/>
                    <w:sz w:val="24"/>
                    <w:szCs w:val="24"/>
                    <w:highlight w:val="red"/>
                    <w:u w:val="single"/>
                  </w:rPr>
                </w:pPr>
                <w:r>
                  <w:rPr>
                    <w:rFonts w:ascii="Times New Roman" w:hAnsi="Times New Roman" w:cs="Times New Roman"/>
                    <w:sz w:val="24"/>
                    <w:szCs w:val="24"/>
                  </w:rPr>
                  <w:t>2.11.31. Kondensato rezervuaras, 2 vnt.</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b/>
                    <w:i/>
                    <w:sz w:val="24"/>
                    <w:szCs w:val="24"/>
                    <w:highlight w:val="red"/>
                    <w:u w:val="single"/>
                  </w:rPr>
                </w:pPr>
                <w:r>
                  <w:rPr>
                    <w:rFonts w:ascii="Times New Roman" w:hAnsi="Times New Roman" w:cs="Times New Roman"/>
                    <w:sz w:val="24"/>
                    <w:szCs w:val="24"/>
                  </w:rPr>
                  <w:t>2.11.32. Sklendžių pastatas</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b/>
                    <w:i/>
                    <w:sz w:val="24"/>
                    <w:szCs w:val="24"/>
                    <w:highlight w:val="red"/>
                    <w:u w:val="single"/>
                  </w:rPr>
                </w:pPr>
                <w:r>
                  <w:rPr>
                    <w:rFonts w:ascii="Times New Roman" w:hAnsi="Times New Roman" w:cs="Times New Roman"/>
                    <w:sz w:val="24"/>
                    <w:szCs w:val="24"/>
                  </w:rPr>
                  <w:t>2.11.33. Apsauginė sienelė</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b/>
                    <w:i/>
                    <w:sz w:val="24"/>
                    <w:szCs w:val="24"/>
                    <w:highlight w:val="red"/>
                    <w:u w:val="single"/>
                  </w:rPr>
                </w:pPr>
                <w:r>
                  <w:rPr>
                    <w:rFonts w:ascii="Times New Roman" w:hAnsi="Times New Roman" w:cs="Times New Roman"/>
                    <w:sz w:val="24"/>
                    <w:szCs w:val="24"/>
                  </w:rPr>
                  <w:t>2.11.34. Metalinės atramos, 25 vnt.</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b/>
                    <w:i/>
                    <w:sz w:val="24"/>
                    <w:szCs w:val="24"/>
                    <w:highlight w:val="red"/>
                    <w:u w:val="single"/>
                  </w:rPr>
                </w:pPr>
                <w:r>
                  <w:rPr>
                    <w:rFonts w:ascii="Times New Roman" w:hAnsi="Times New Roman" w:cs="Times New Roman"/>
                    <w:sz w:val="24"/>
                    <w:szCs w:val="24"/>
                  </w:rPr>
                  <w:t>2.11.35. Gelžbetoninės atramos, 4 vnt.</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4657" w:type="dxa"/>
                <w:vMerge w:val="restart"/>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rPr>
                </w:pPr>
                <w:r>
                  <w:rPr>
                    <w:rFonts w:ascii="Times New Roman" w:hAnsi="Times New Roman" w:cs="Times New Roman"/>
                    <w:sz w:val="24"/>
                    <w:szCs w:val="24"/>
                  </w:rPr>
                  <w:t>2.12. Valstybės kontroliuojamas naftos terminalas, esantis Subačiaus gyvenvietėje, ir jo priklausiniai, reikalingi naftos terminalo veiklai</w:t>
                </w:r>
              </w:p>
            </w:tc>
            <w:tc>
              <w:tcPr>
                <w:tcW w:w="9639" w:type="dxa"/>
                <w:tcBorders>
                  <w:top w:val="single" w:sz="4" w:space="0" w:color="auto"/>
                  <w:left w:val="single" w:sz="4" w:space="0" w:color="auto"/>
                  <w:bottom w:val="single" w:sz="4" w:space="0" w:color="auto"/>
                  <w:right w:val="single" w:sz="4" w:space="0" w:color="auto"/>
                </w:tcBorders>
                <w:hideMark/>
              </w:tcPr>
              <w:p>
                <w:pPr>
                  <w:pStyle w:val="Sraopastraipa"/>
                  <w:tabs>
                    <w:tab w:val="left" w:pos="373"/>
                  </w:tabs>
                  <w:spacing w:after="0" w:line="240" w:lineRule="auto"/>
                  <w:ind w:left="0"/>
                  <w:jc w:val="both"/>
                  <w:rPr>
                    <w:rFonts w:ascii="Times New Roman" w:hAnsi="Times New Roman" w:cs="Times New Roman"/>
                    <w:sz w:val="24"/>
                    <w:szCs w:val="24"/>
                  </w:rPr>
                </w:pPr>
                <w:r>
                  <w:rPr>
                    <w:rFonts w:ascii="Times New Roman" w:hAnsi="Times New Roman" w:cs="Times New Roman"/>
                    <w:sz w:val="24"/>
                    <w:szCs w:val="24"/>
                  </w:rPr>
                  <w:t>2.12.1. Elektros pastotė, 3 vnt.</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pStyle w:val="Sraopastraipa"/>
                  <w:tabs>
                    <w:tab w:val="left" w:pos="373"/>
                  </w:tabs>
                  <w:spacing w:after="0" w:line="240" w:lineRule="auto"/>
                  <w:ind w:left="0"/>
                  <w:jc w:val="both"/>
                  <w:rPr>
                    <w:rFonts w:ascii="Times New Roman" w:hAnsi="Times New Roman" w:cs="Times New Roman"/>
                    <w:b/>
                    <w:i/>
                    <w:sz w:val="24"/>
                    <w:szCs w:val="24"/>
                    <w:highlight w:val="red"/>
                    <w:u w:val="single"/>
                  </w:rPr>
                </w:pPr>
                <w:r>
                  <w:rPr>
                    <w:rFonts w:ascii="Times New Roman" w:hAnsi="Times New Roman" w:cs="Times New Roman"/>
                    <w:sz w:val="24"/>
                    <w:szCs w:val="24"/>
                  </w:rPr>
                  <w:t>2.12.2. Dyzelinė elektros stotis</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pStyle w:val="Sraopastraipa"/>
                  <w:tabs>
                    <w:tab w:val="left" w:pos="373"/>
                  </w:tabs>
                  <w:spacing w:after="0" w:line="240" w:lineRule="auto"/>
                  <w:ind w:left="0"/>
                  <w:jc w:val="both"/>
                  <w:rPr>
                    <w:rFonts w:ascii="Times New Roman" w:hAnsi="Times New Roman" w:cs="Times New Roman"/>
                    <w:b/>
                    <w:i/>
                    <w:sz w:val="24"/>
                    <w:szCs w:val="24"/>
                    <w:highlight w:val="red"/>
                    <w:u w:val="single"/>
                  </w:rPr>
                </w:pPr>
                <w:r>
                  <w:rPr>
                    <w:rFonts w:ascii="Times New Roman" w:hAnsi="Times New Roman" w:cs="Times New Roman"/>
                    <w:sz w:val="24"/>
                    <w:szCs w:val="24"/>
                  </w:rPr>
                  <w:t>2.12.3. Šviesių naftos produktų siurblinė</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pStyle w:val="Sraopastraipa"/>
                  <w:tabs>
                    <w:tab w:val="left" w:pos="373"/>
                  </w:tabs>
                  <w:spacing w:after="0" w:line="240" w:lineRule="auto"/>
                  <w:ind w:left="0"/>
                  <w:jc w:val="both"/>
                  <w:rPr>
                    <w:rFonts w:ascii="Times New Roman" w:hAnsi="Times New Roman" w:cs="Times New Roman"/>
                    <w:b/>
                    <w:i/>
                    <w:sz w:val="24"/>
                    <w:szCs w:val="24"/>
                    <w:highlight w:val="red"/>
                    <w:u w:val="single"/>
                  </w:rPr>
                </w:pPr>
                <w:r>
                  <w:rPr>
                    <w:rFonts w:ascii="Times New Roman" w:hAnsi="Times New Roman" w:cs="Times New Roman"/>
                    <w:sz w:val="24"/>
                    <w:szCs w:val="24"/>
                  </w:rPr>
                  <w:t>2.12.4. Kompresorinė</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pStyle w:val="Sraopastraipa"/>
                  <w:tabs>
                    <w:tab w:val="left" w:pos="373"/>
                  </w:tabs>
                  <w:spacing w:after="0" w:line="240" w:lineRule="auto"/>
                  <w:ind w:left="0"/>
                  <w:jc w:val="both"/>
                  <w:rPr>
                    <w:rFonts w:ascii="Times New Roman" w:hAnsi="Times New Roman" w:cs="Times New Roman"/>
                    <w:b/>
                    <w:i/>
                    <w:sz w:val="24"/>
                    <w:szCs w:val="24"/>
                    <w:highlight w:val="red"/>
                    <w:u w:val="single"/>
                  </w:rPr>
                </w:pPr>
                <w:r>
                  <w:rPr>
                    <w:rFonts w:ascii="Times New Roman" w:hAnsi="Times New Roman" w:cs="Times New Roman"/>
                    <w:sz w:val="24"/>
                    <w:szCs w:val="24"/>
                  </w:rPr>
                  <w:t>2.12.5. Elektros skydinė</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pStyle w:val="Sraopastraipa"/>
                  <w:tabs>
                    <w:tab w:val="left" w:pos="373"/>
                  </w:tabs>
                  <w:spacing w:after="0" w:line="240" w:lineRule="auto"/>
                  <w:ind w:left="0"/>
                  <w:jc w:val="both"/>
                  <w:rPr>
                    <w:rFonts w:ascii="Times New Roman" w:hAnsi="Times New Roman" w:cs="Times New Roman"/>
                    <w:b/>
                    <w:i/>
                    <w:sz w:val="24"/>
                    <w:szCs w:val="24"/>
                    <w:highlight w:val="red"/>
                    <w:u w:val="single"/>
                  </w:rPr>
                </w:pPr>
                <w:r>
                  <w:rPr>
                    <w:rFonts w:ascii="Times New Roman" w:hAnsi="Times New Roman" w:cs="Times New Roman"/>
                    <w:sz w:val="24"/>
                    <w:szCs w:val="24"/>
                  </w:rPr>
                  <w:t>2.12.6. Automobilių kuro įpylimo aikštelės įranga ir įrenginiai</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pStyle w:val="Sraopastraipa"/>
                  <w:tabs>
                    <w:tab w:val="left" w:pos="373"/>
                  </w:tabs>
                  <w:spacing w:after="0" w:line="240" w:lineRule="auto"/>
                  <w:ind w:left="0"/>
                  <w:jc w:val="both"/>
                  <w:rPr>
                    <w:rFonts w:ascii="Times New Roman" w:hAnsi="Times New Roman" w:cs="Times New Roman"/>
                    <w:b/>
                    <w:i/>
                    <w:sz w:val="24"/>
                    <w:szCs w:val="24"/>
                    <w:highlight w:val="red"/>
                    <w:u w:val="single"/>
                  </w:rPr>
                </w:pPr>
                <w:r>
                  <w:rPr>
                    <w:rFonts w:ascii="Times New Roman" w:hAnsi="Times New Roman" w:cs="Times New Roman"/>
                    <w:sz w:val="24"/>
                    <w:szCs w:val="24"/>
                  </w:rPr>
                  <w:t>2.12.7. Naftos produktų talpyklos, 66 vnt.</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pStyle w:val="Sraopastraipa"/>
                  <w:tabs>
                    <w:tab w:val="left" w:pos="373"/>
                  </w:tabs>
                  <w:spacing w:after="0" w:line="240" w:lineRule="auto"/>
                  <w:ind w:left="0"/>
                  <w:jc w:val="both"/>
                  <w:rPr>
                    <w:rFonts w:ascii="Times New Roman" w:hAnsi="Times New Roman" w:cs="Times New Roman"/>
                    <w:b/>
                    <w:i/>
                    <w:sz w:val="24"/>
                    <w:szCs w:val="24"/>
                    <w:highlight w:val="red"/>
                    <w:u w:val="single"/>
                  </w:rPr>
                </w:pPr>
                <w:r>
                  <w:rPr>
                    <w:rFonts w:ascii="Times New Roman" w:hAnsi="Times New Roman" w:cs="Times New Roman"/>
                    <w:sz w:val="24"/>
                    <w:szCs w:val="24"/>
                  </w:rPr>
                  <w:t>2.12.8. Priešgaisriniai rezervuarai</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pStyle w:val="Sraopastraipa"/>
                  <w:tabs>
                    <w:tab w:val="left" w:pos="373"/>
                  </w:tabs>
                  <w:spacing w:after="0" w:line="240" w:lineRule="auto"/>
                  <w:ind w:left="0"/>
                  <w:jc w:val="both"/>
                  <w:rPr>
                    <w:rFonts w:ascii="Times New Roman" w:hAnsi="Times New Roman" w:cs="Times New Roman"/>
                    <w:b/>
                    <w:i/>
                    <w:sz w:val="24"/>
                    <w:szCs w:val="24"/>
                    <w:highlight w:val="red"/>
                    <w:u w:val="single"/>
                  </w:rPr>
                </w:pPr>
                <w:r>
                  <w:rPr>
                    <w:rFonts w:ascii="Times New Roman" w:hAnsi="Times New Roman" w:cs="Times New Roman"/>
                    <w:sz w:val="24"/>
                    <w:szCs w:val="24"/>
                  </w:rPr>
                  <w:t>2.12.9. Geležinkelio estakados stoginė (privažiuojamasis geležinkelio kelias, įrenginiai)</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pStyle w:val="Sraopastraipa"/>
                  <w:tabs>
                    <w:tab w:val="left" w:pos="373"/>
                  </w:tabs>
                  <w:spacing w:after="0" w:line="240" w:lineRule="auto"/>
                  <w:ind w:left="0"/>
                  <w:jc w:val="both"/>
                  <w:rPr>
                    <w:rFonts w:ascii="Times New Roman" w:hAnsi="Times New Roman" w:cs="Times New Roman"/>
                    <w:b/>
                    <w:i/>
                    <w:sz w:val="24"/>
                    <w:szCs w:val="24"/>
                    <w:highlight w:val="red"/>
                    <w:u w:val="single"/>
                  </w:rPr>
                </w:pPr>
                <w:r>
                  <w:rPr>
                    <w:rFonts w:ascii="Times New Roman" w:hAnsi="Times New Roman" w:cs="Times New Roman"/>
                    <w:sz w:val="24"/>
                    <w:szCs w:val="24"/>
                  </w:rPr>
                  <w:t>2.12.10. Geležinkelio estakados apskaitos mazgas</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pStyle w:val="Sraopastraipa"/>
                  <w:tabs>
                    <w:tab w:val="left" w:pos="373"/>
                  </w:tabs>
                  <w:spacing w:after="0" w:line="240" w:lineRule="auto"/>
                  <w:ind w:left="0"/>
                  <w:jc w:val="both"/>
                  <w:rPr>
                    <w:rFonts w:ascii="Times New Roman" w:hAnsi="Times New Roman" w:cs="Times New Roman"/>
                    <w:b/>
                    <w:i/>
                    <w:sz w:val="24"/>
                    <w:szCs w:val="24"/>
                    <w:highlight w:val="red"/>
                    <w:u w:val="single"/>
                  </w:rPr>
                </w:pPr>
                <w:r>
                  <w:rPr>
                    <w:rFonts w:ascii="Times New Roman" w:hAnsi="Times New Roman" w:cs="Times New Roman"/>
                    <w:sz w:val="24"/>
                    <w:szCs w:val="24"/>
                  </w:rPr>
                  <w:t>2.12.11. Priešgaisrinė siurblinė</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pStyle w:val="Sraopastraipa"/>
                  <w:tabs>
                    <w:tab w:val="left" w:pos="373"/>
                  </w:tabs>
                  <w:spacing w:after="0" w:line="240" w:lineRule="auto"/>
                  <w:ind w:left="0"/>
                  <w:jc w:val="both"/>
                  <w:rPr>
                    <w:rFonts w:ascii="Times New Roman" w:hAnsi="Times New Roman" w:cs="Times New Roman"/>
                    <w:sz w:val="24"/>
                    <w:szCs w:val="24"/>
                  </w:rPr>
                </w:pPr>
                <w:r>
                  <w:rPr>
                    <w:rFonts w:ascii="Times New Roman" w:hAnsi="Times New Roman" w:cs="Times New Roman"/>
                    <w:sz w:val="24"/>
                    <w:szCs w:val="24"/>
                  </w:rPr>
                  <w:t>2.12.12. Privažiuojamasis kelias</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rPr>
                </w:pPr>
                <w:r>
                  <w:rPr>
                    <w:rFonts w:ascii="Times New Roman" w:hAnsi="Times New Roman" w:cs="Times New Roman"/>
                    <w:sz w:val="24"/>
                    <w:szCs w:val="24"/>
                  </w:rPr>
                  <w:t>2.12.13. Požeminis įvadinis elektros kabelis, kuris patiestas nuo ESO pastotės iki valstybės kontroliuojamo naftos terminalo, esančio Subačiaus gyvenvietėje</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4657"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rPr>
                </w:pPr>
                <w:r>
                  <w:rPr>
                    <w:rFonts w:ascii="Times New Roman" w:hAnsi="Times New Roman" w:cs="Times New Roman"/>
                    <w:sz w:val="24"/>
                    <w:szCs w:val="24"/>
                  </w:rPr>
                  <w:t>2.13. Būtingės naftos terminalas ir jo priklausiniai</w:t>
                </w: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rPr>
                </w:pPr>
                <w:r>
                  <w:rPr>
                    <w:rFonts w:ascii="Times New Roman" w:hAnsi="Times New Roman" w:cs="Times New Roman"/>
                    <w:sz w:val="24"/>
                    <w:szCs w:val="24"/>
                  </w:rPr>
                  <w:t xml:space="preserve">2.13.1. Būtingės naftos terminalas ir jo priklausiniai, esantys adresu Palangos m. sav., Palangos m., Terminalo kelias 2 </w:t>
                </w:r>
              </w:p>
            </w:tc>
          </w:tr>
          <w:tr>
            <w:tc>
              <w:tcPr>
                <w:tcW w:w="0" w:type="auto"/>
                <w:vMerge/>
                <w:tcBorders>
                  <w:top w:val="single" w:sz="4" w:space="0" w:color="auto"/>
                  <w:left w:val="single" w:sz="4" w:space="0" w:color="auto"/>
                  <w:bottom w:val="single" w:sz="4" w:space="0" w:color="auto"/>
                  <w:right w:val="single" w:sz="4" w:space="0" w:color="auto"/>
                </w:tcBorders>
                <w:vAlign w:val="center"/>
                <w:hideMark/>
              </w:tcPr>
              <w:p>
                <w:pPr>
                  <w:rPr>
                    <w:rFonts w:ascii="Times New Roman" w:hAnsi="Times New Roman" w:cs="Times New Roman"/>
                    <w:sz w:val="24"/>
                    <w:szCs w:val="24"/>
                  </w:rPr>
                </w:pPr>
              </w:p>
            </w:tc>
            <w:tc>
              <w:tcPr>
                <w:tcW w:w="4657"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rPr>
                </w:pPr>
                <w:r>
                  <w:rPr>
                    <w:rFonts w:ascii="Times New Roman" w:hAnsi="Times New Roman" w:cs="Times New Roman"/>
                    <w:sz w:val="24"/>
                    <w:szCs w:val="24"/>
                  </w:rPr>
                  <w:t>2.14. Aerodromai pagal Vyriausybės nutarimu patvirtintą sąrašą</w:t>
                </w:r>
              </w:p>
            </w:tc>
            <w:tc>
              <w:tcPr>
                <w:tcW w:w="9639" w:type="dxa"/>
                <w:tcBorders>
                  <w:top w:val="single" w:sz="4" w:space="0" w:color="auto"/>
                  <w:left w:val="single" w:sz="4" w:space="0" w:color="auto"/>
                  <w:bottom w:val="single" w:sz="4" w:space="0" w:color="auto"/>
                  <w:right w:val="single" w:sz="4" w:space="0" w:color="auto"/>
                </w:tcBorders>
                <w:hideMark/>
              </w:tcPr>
              <w:p>
                <w:pPr>
                  <w:jc w:val="both"/>
                  <w:rPr>
                    <w:rFonts w:ascii="Times New Roman" w:hAnsi="Times New Roman" w:cs="Times New Roman"/>
                    <w:sz w:val="24"/>
                    <w:szCs w:val="24"/>
                  </w:rPr>
                </w:pPr>
                <w:r>
                  <w:rPr>
                    <w:rFonts w:ascii="Times New Roman" w:hAnsi="Times New Roman" w:cs="Times New Roman"/>
                    <w:sz w:val="24"/>
                    <w:szCs w:val="24"/>
                  </w:rPr>
                  <w:t xml:space="preserve">2.14.1. Valstybės sienos apsaugos tarnybos prie Lietuvos Respublikos vidaus reikalų ministerijos Aviacijos valdybos, </w:t>
                </w:r>
                <w:r>
                  <w:rPr>
                    <w:rFonts w:ascii="Times New Roman" w:eastAsia="Times New Roman" w:hAnsi="Times New Roman" w:cs="Times New Roman"/>
                    <w:sz w:val="24"/>
                    <w:szCs w:val="24"/>
                  </w:rPr>
                  <w:t xml:space="preserve">esančios adresu Oreivių g. 1, Paluknio k., Paluknio sen., Trakų r. </w:t>
                </w:r>
                <w:r>
                  <w:rPr>
                    <w:rFonts w:ascii="Times New Roman" w:eastAsia="Times New Roman" w:hAnsi="Times New Roman" w:cs="Times New Roman"/>
                    <w:iCs/>
                    <w:sz w:val="24"/>
                    <w:szCs w:val="24"/>
                  </w:rPr>
                  <w:t xml:space="preserve">sav., </w:t>
                </w:r>
                <w:r>
                  <w:rPr>
                    <w:rFonts w:ascii="Times New Roman" w:eastAsia="Times New Roman" w:hAnsi="Times New Roman" w:cs="Times New Roman"/>
                    <w:sz w:val="24"/>
                    <w:szCs w:val="24"/>
                  </w:rPr>
                  <w:t xml:space="preserve">asfaltbetonio kilimo ir tūpimo takas, peronas, orlaivių stovėjimo aikštelės, signaliniai riedėjimo tako žiburiai, vizualaus artėjimo tūptinės sistema, degalų saugykla su įpylimo įranga, orlaivių saugojimo angarai, inžineriniai tinklai </w:t>
                </w:r>
              </w:p>
            </w:tc>
          </w:tr>
        </w:tbl>
        <w:p>
          <w:pPr>
            <w:jc w:val="center"/>
            <w:rPr>
              <w:szCs w:val="24"/>
            </w:rPr>
          </w:pPr>
        </w:p>
        <w:p>
          <w:pPr>
            <w:jc w:val="center"/>
            <w:rPr>
              <w:szCs w:val="24"/>
            </w:rPr>
          </w:pPr>
          <w:r>
            <w:rPr>
              <w:szCs w:val="24"/>
            </w:rPr>
            <w:t>___________________________</w:t>
          </w:r>
        </w:p>
        <w:p>
          <w:pPr>
            <w:tabs>
              <w:tab w:val="center" w:pos="-7800"/>
              <w:tab w:val="left" w:pos="6237"/>
              <w:tab w:val="right" w:pos="8306"/>
            </w:tabs>
            <w:rPr>
              <w:lang w:eastAsia="lt-LT"/>
            </w:rPr>
          </w:pPr>
        </w:p>
        <w:p>
          <w:pPr>
            <w:tabs>
              <w:tab w:val="center" w:pos="-7800"/>
              <w:tab w:val="left" w:pos="6237"/>
              <w:tab w:val="right" w:pos="8306"/>
            </w:tabs>
            <w:rPr>
              <w:lang w:eastAsia="lt-LT"/>
            </w:rPr>
          </w:pP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478a0804fb711e9975f9c35aedfe438">
            <w:r w:rsidRPr="00532B9F">
              <w:rPr>
                <w:rFonts w:ascii="Times New Roman" w:eastAsia="MS Mincho" w:hAnsi="Times New Roman"/>
                <w:sz w:val="20"/>
                <w:i/>
                <w:iCs/>
                <w:color w:val="0000FF" w:themeColor="hyperlink"/>
                <w:u w:val="single"/>
              </w:rPr>
              <w:t>267</w:t>
            </w:r>
          </w:fldSimple>
          <w:r>
            <w:rPr>
              <w:rFonts w:ascii="Times New Roman" w:eastAsia="MS Mincho" w:hAnsi="Times New Roman"/>
              <w:sz w:val="20"/>
              <w:i/>
              <w:iCs/>
            </w:rPr>
            <w:t>,
2019-03-20,
paskelbta TAR 2019-03-26, i. k. 2019-04628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c478a0804fb711e9975f9c35aedfe438">
            <w:r w:rsidRPr="00532B9F">
              <w:rPr>
                <w:rFonts w:ascii="Times New Roman" w:eastAsia="MS Mincho" w:hAnsi="Times New Roman"/>
                <w:sz w:val="20"/>
                <w:iCs/>
                <w:color w:val="0000FF" w:themeColor="hyperlink"/>
                <w:u w:val="single"/>
              </w:rPr>
              <w:t>267</w:t>
            </w:r>
          </w:fldSimple>
          <w:r>
            <w:rPr>
              <w:rFonts w:ascii="Times New Roman" w:eastAsia="MS Mincho" w:hAnsi="Times New Roman"/>
              <w:sz w:val="20"/>
              <w:iCs/>
            </w:rPr>
            <w:t>,
2019-03-20,
paskelbta TAR 2019-03-26, i. k. 2019-04628                </w:t>
          </w:r>
        </w:p>
        <w:p>
          <w:pPr>
            <w:jc w:val="both"/>
            <w:rPr>
              <w:rFonts w:ascii="Times New Roman" w:hAnsi="Times New Roman"/>
            </w:rPr>
          </w:pPr>
          <w:r>
            <w:rPr>
              <w:rFonts w:ascii="Times New Roman" w:hAnsi="Times New Roman"/>
              <w:sz w:val="20"/>
            </w:rPr>
            <w:t>Dėl Lietuvos Respublikos Vyriausybės 2018 m. birželio 6 d. nutarimo Nr. 558 „Dėl konkrečių nacionaliniam saugumui užtikrinti svarbių įrenginių ir turto sąrašo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6838" w:h="11906" w:orient="landscape" w:code="9"/>
      <w:pgMar w:top="1701" w:right="1134" w:bottom="1134" w:left="1134" w:header="567" w:footer="567" w:gutter="0"/>
      <w:pgNumType w:start="1"/>
      <w:cols w:space="1296"/>
      <w:titlePg/>
      <w:docGrid w:linePitch="326"/>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lang w:eastAsia="lt-LT"/>
        </w:rPr>
      </w:pPr>
      <w:r>
        <w:rPr>
          <w:lang w:eastAsia="lt-LT"/>
        </w:rPr>
        <w:separator/>
      </w:r>
    </w:p>
  </w:endnote>
  <w:endnote w:type="continuationSeparator" w:id="0">
    <w:p>
      <w:pPr>
        <w:rPr>
          <w:lang w:eastAsia="lt-LT"/>
        </w:rPr>
      </w:pPr>
      <w:r>
        <w:rPr>
          <w:lang w:eastAsia="lt-LT"/>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Arial">
    <w:panose1 w:val="020B0604020202020204"/>
    <w:charset w:val="BA"/>
    <w:family w:val="swiss"/>
    <w:pitch w:val="variable"/>
    <w:sig w:usb0="E0002AFF" w:usb1="C0007843" w:usb2="00000009" w:usb3="00000000" w:csb0="000001F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lang w:eastAsia="lt-LT"/>
        </w:rPr>
      </w:pPr>
      <w:r>
        <w:rPr>
          <w:lang w:eastAsia="lt-LT"/>
        </w:rPr>
        <w:separator/>
      </w:r>
    </w:p>
  </w:footnote>
  <w:footnote w:type="continuationSeparator" w:id="0">
    <w:p>
      <w:pPr>
        <w:rPr>
          <w:lang w:eastAsia="lt-LT"/>
        </w:rPr>
      </w:pPr>
      <w:r>
        <w:rPr>
          <w:lang w:eastAsia="lt-LT"/>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6</w:t>
    </w:r>
    <w:r>
      <w:rPr>
        <w:lang w:eastAsia="lt-LT"/>
      </w:rPr>
      <w:fldChar w:fldCharType="end"/>
    </w:r>
  </w:p>
  <w:p>
    <w:pPr>
      <w:tabs>
        <w:tab w:val="center" w:pos="4153"/>
        <w:tab w:val="right" w:pos="8306"/>
      </w:tabs>
      <w:spacing w:after="160" w:line="259" w:lineRule="auto"/>
      <w:rPr>
        <w:lang w:eastAsia="lt-LT"/>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p>
  <w:p>
    <w:pPr>
      <w:tabs>
        <w:tab w:val="center" w:pos="4153"/>
        <w:tab w:val="right" w:pos="8306"/>
      </w:tabs>
      <w:spacing w:after="160" w:line="259" w:lineRule="auto"/>
      <w:rPr>
        <w:lang w:eastAsia="lt-LT"/>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13</w:t>
    </w:r>
    <w:r>
      <w:rPr>
        <w:lang w:eastAsia="lt-LT"/>
      </w:rPr>
      <w:fldChar w:fldCharType="end"/>
    </w:r>
  </w:p>
  <w:p>
    <w:pPr>
      <w:tabs>
        <w:tab w:val="center" w:pos="4153"/>
        <w:tab w:val="right" w:pos="8306"/>
      </w:tabs>
      <w:spacing w:after="160" w:line="259" w:lineRule="auto"/>
      <w:rPr>
        <w:lang w:eastAsia="lt-LT"/>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p>
  <w:p>
    <w:pPr>
      <w:tabs>
        <w:tab w:val="center" w:pos="4153"/>
        <w:tab w:val="right" w:pos="8306"/>
      </w:tabs>
      <w:spacing w:after="160" w:line="259" w:lineRule="auto"/>
      <w:rPr>
        <w:lang w:eastAsia="lt-LT"/>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7</w:t>
    </w:r>
    <w:r>
      <w:rPr>
        <w:lang w:eastAsia="lt-LT"/>
      </w:rPr>
      <w:fldChar w:fldCharType="end"/>
    </w:r>
  </w:p>
  <w:p>
    <w:pPr>
      <w:tabs>
        <w:tab w:val="center" w:pos="4153"/>
        <w:tab w:val="right" w:pos="8306"/>
      </w:tabs>
      <w:spacing w:after="160" w:line="259" w:lineRule="auto"/>
      <w:rPr>
        <w:lang w:eastAsia="lt-LT"/>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p>
  <w:p>
    <w:pPr>
      <w:tabs>
        <w:tab w:val="center" w:pos="4153"/>
        <w:tab w:val="right" w:pos="8306"/>
      </w:tabs>
      <w:spacing w:after="160" w:line="259" w:lineRule="auto"/>
      <w:rPr>
        <w:lang w:eastAsia="lt-LT"/>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13</w:t>
    </w:r>
    <w:r>
      <w:rPr>
        <w:lang w:eastAsia="lt-LT"/>
      </w:rPr>
      <w:fldChar w:fldCharType="end"/>
    </w:r>
  </w:p>
  <w:p>
    <w:pPr>
      <w:tabs>
        <w:tab w:val="center" w:pos="4153"/>
        <w:tab w:val="right" w:pos="8306"/>
      </w:tabs>
      <w:spacing w:after="160" w:line="259" w:lineRule="auto"/>
      <w:rPr>
        <w:lang w:eastAsia="lt-LT"/>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p>
  <w:p>
    <w:pPr>
      <w:tabs>
        <w:tab w:val="center" w:pos="4153"/>
        <w:tab w:val="right" w:pos="8306"/>
      </w:tabs>
      <w:spacing w:after="160" w:line="259" w:lineRule="auto"/>
      <w:rPr>
        <w:lang w:eastAsia="lt-LT"/>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percent="72"/>
  <w:embedSystemFonts/>
  <w:hideSpellingError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1433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C66E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4337"/>
    <o:shapelayout v:ext="edit">
      <o:idmap v:ext="edit" data="1"/>
    </o:shapelayout>
  </w:shapeDefaults>
  <w:decimalSymbol w:val=","/>
  <w:listSeparator w:val=";"/>
  <w14:docId w14:val="52730554"/>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sdException w:name="List Paragraph" w:uiPriority="34"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Sraopastraipa">
    <w:name w:val="List Paragraph"/>
    <w:basedOn w:val="prastasis"/>
    <w:uiPriority w:val="34"/>
    <w:qFormat/>
    <w:pPr>
      <w:spacing w:after="200" w:line="276" w:lineRule="auto"/>
      <w:ind w:left="720"/>
      <w:contextualSpacing/>
    </w:pPr>
    <w:rPr>
      <w:rFonts w:asciiTheme="minorHAnsi" w:eastAsiaTheme="minorHAnsi" w:hAnsiTheme="minorHAnsi" w:cstheme="minorBidi"/>
      <w:sz w:val="22"/>
      <w:szCs w:val="22"/>
    </w:rPr>
  </w:style>
  <w:style w:type="table" w:styleId="Lentelstinklelis">
    <w:name w:val="Table Grid"/>
    <w:basedOn w:val="prastojilentel"/>
    <w:rPr>
      <w:rFonts w:asciiTheme="minorHAnsi" w:eastAsiaTheme="minorHAnsi" w:hAnsiTheme="minorHAnsi" w:cstheme="minorBidi"/>
      <w:sz w:val="22"/>
      <w:szCs w:val="22"/>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sdException w:name="List Paragraph" w:uiPriority="34"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Sraopastraipa">
    <w:name w:val="List Paragraph"/>
    <w:basedOn w:val="prastasis"/>
    <w:uiPriority w:val="34"/>
    <w:qFormat/>
    <w:pPr>
      <w:spacing w:after="200" w:line="276" w:lineRule="auto"/>
      <w:ind w:left="720"/>
      <w:contextualSpacing/>
    </w:pPr>
    <w:rPr>
      <w:rFonts w:asciiTheme="minorHAnsi" w:eastAsiaTheme="minorHAnsi" w:hAnsiTheme="minorHAnsi" w:cstheme="minorBidi"/>
      <w:sz w:val="22"/>
      <w:szCs w:val="22"/>
    </w:rPr>
  </w:style>
  <w:style w:type="table" w:styleId="Lentelstinklelis">
    <w:name w:val="Table Grid"/>
    <w:basedOn w:val="prastojilentel"/>
    <w:rPr>
      <w:rFonts w:asciiTheme="minorHAnsi" w:eastAsiaTheme="minorHAnsi" w:hAnsiTheme="minorHAnsi" w:cstheme="minorBidi"/>
      <w:sz w:val="22"/>
      <w:szCs w:val="22"/>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11735340">
      <w:bodyDiv w:val="1"/>
      <w:marLeft w:val="0"/>
      <w:marRight w:val="0"/>
      <w:marTop w:val="0"/>
      <w:marBottom w:val="0"/>
      <w:divBdr>
        <w:top w:val="none" w:sz="0" w:space="0" w:color="auto"/>
        <w:left w:val="none" w:sz="0" w:space="0" w:color="auto"/>
        <w:bottom w:val="none" w:sz="0" w:space="0" w:color="auto"/>
        <w:right w:val="none" w:sz="0" w:space="0" w:color="auto"/>
      </w:divBdr>
    </w:div>
    <w:div w:id="36467207">
      <w:bodyDiv w:val="1"/>
      <w:marLeft w:val="0"/>
      <w:marRight w:val="0"/>
      <w:marTop w:val="0"/>
      <w:marBottom w:val="0"/>
      <w:divBdr>
        <w:top w:val="none" w:sz="0" w:space="0" w:color="auto"/>
        <w:left w:val="none" w:sz="0" w:space="0" w:color="auto"/>
        <w:bottom w:val="none" w:sz="0" w:space="0" w:color="auto"/>
        <w:right w:val="none" w:sz="0" w:space="0" w:color="auto"/>
      </w:divBdr>
    </w:div>
    <w:div w:id="60375675">
      <w:bodyDiv w:val="1"/>
      <w:marLeft w:val="0"/>
      <w:marRight w:val="0"/>
      <w:marTop w:val="0"/>
      <w:marBottom w:val="0"/>
      <w:divBdr>
        <w:top w:val="none" w:sz="0" w:space="0" w:color="auto"/>
        <w:left w:val="none" w:sz="0" w:space="0" w:color="auto"/>
        <w:bottom w:val="none" w:sz="0" w:space="0" w:color="auto"/>
        <w:right w:val="none" w:sz="0" w:space="0" w:color="auto"/>
      </w:divBdr>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116260901">
      <w:bodyDiv w:val="1"/>
      <w:marLeft w:val="0"/>
      <w:marRight w:val="0"/>
      <w:marTop w:val="0"/>
      <w:marBottom w:val="0"/>
      <w:divBdr>
        <w:top w:val="none" w:sz="0" w:space="0" w:color="auto"/>
        <w:left w:val="none" w:sz="0" w:space="0" w:color="auto"/>
        <w:bottom w:val="none" w:sz="0" w:space="0" w:color="auto"/>
        <w:right w:val="none" w:sz="0" w:space="0" w:color="auto"/>
      </w:divBdr>
    </w:div>
    <w:div w:id="124350699">
      <w:bodyDiv w:val="1"/>
      <w:marLeft w:val="0"/>
      <w:marRight w:val="0"/>
      <w:marTop w:val="0"/>
      <w:marBottom w:val="0"/>
      <w:divBdr>
        <w:top w:val="none" w:sz="0" w:space="0" w:color="auto"/>
        <w:left w:val="none" w:sz="0" w:space="0" w:color="auto"/>
        <w:bottom w:val="none" w:sz="0" w:space="0" w:color="auto"/>
        <w:right w:val="none" w:sz="0" w:space="0" w:color="auto"/>
      </w:divBdr>
    </w:div>
    <w:div w:id="153112326">
      <w:bodyDiv w:val="1"/>
      <w:marLeft w:val="0"/>
      <w:marRight w:val="0"/>
      <w:marTop w:val="0"/>
      <w:marBottom w:val="0"/>
      <w:divBdr>
        <w:top w:val="none" w:sz="0" w:space="0" w:color="auto"/>
        <w:left w:val="none" w:sz="0" w:space="0" w:color="auto"/>
        <w:bottom w:val="none" w:sz="0" w:space="0" w:color="auto"/>
        <w:right w:val="none" w:sz="0" w:space="0" w:color="auto"/>
      </w:divBdr>
    </w:div>
    <w:div w:id="154078282">
      <w:bodyDiv w:val="1"/>
      <w:marLeft w:val="0"/>
      <w:marRight w:val="0"/>
      <w:marTop w:val="0"/>
      <w:marBottom w:val="0"/>
      <w:divBdr>
        <w:top w:val="none" w:sz="0" w:space="0" w:color="auto"/>
        <w:left w:val="none" w:sz="0" w:space="0" w:color="auto"/>
        <w:bottom w:val="none" w:sz="0" w:space="0" w:color="auto"/>
        <w:right w:val="none" w:sz="0" w:space="0" w:color="auto"/>
      </w:divBdr>
      <w:divsChild>
        <w:div w:id="291444127">
          <w:marLeft w:val="0"/>
          <w:marRight w:val="0"/>
          <w:marTop w:val="0"/>
          <w:marBottom w:val="0"/>
          <w:divBdr>
            <w:top w:val="none" w:sz="0" w:space="0" w:color="auto"/>
            <w:left w:val="none" w:sz="0" w:space="0" w:color="auto"/>
            <w:bottom w:val="none" w:sz="0" w:space="0" w:color="auto"/>
            <w:right w:val="none" w:sz="0" w:space="0" w:color="auto"/>
          </w:divBdr>
          <w:divsChild>
            <w:div w:id="6718315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182285502">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403726364">
      <w:bodyDiv w:val="1"/>
      <w:marLeft w:val="0"/>
      <w:marRight w:val="0"/>
      <w:marTop w:val="0"/>
      <w:marBottom w:val="0"/>
      <w:divBdr>
        <w:top w:val="none" w:sz="0" w:space="0" w:color="auto"/>
        <w:left w:val="none" w:sz="0" w:space="0" w:color="auto"/>
        <w:bottom w:val="none" w:sz="0" w:space="0" w:color="auto"/>
        <w:right w:val="none" w:sz="0" w:space="0" w:color="auto"/>
      </w:divBdr>
    </w:div>
    <w:div w:id="505289782">
      <w:bodyDiv w:val="1"/>
      <w:marLeft w:val="0"/>
      <w:marRight w:val="0"/>
      <w:marTop w:val="0"/>
      <w:marBottom w:val="0"/>
      <w:divBdr>
        <w:top w:val="none" w:sz="0" w:space="0" w:color="auto"/>
        <w:left w:val="none" w:sz="0" w:space="0" w:color="auto"/>
        <w:bottom w:val="none" w:sz="0" w:space="0" w:color="auto"/>
        <w:right w:val="none" w:sz="0" w:space="0" w:color="auto"/>
      </w:divBdr>
    </w:div>
    <w:div w:id="583615039">
      <w:bodyDiv w:val="1"/>
      <w:marLeft w:val="0"/>
      <w:marRight w:val="0"/>
      <w:marTop w:val="0"/>
      <w:marBottom w:val="0"/>
      <w:divBdr>
        <w:top w:val="none" w:sz="0" w:space="0" w:color="auto"/>
        <w:left w:val="none" w:sz="0" w:space="0" w:color="auto"/>
        <w:bottom w:val="none" w:sz="0" w:space="0" w:color="auto"/>
        <w:right w:val="none" w:sz="0" w:space="0" w:color="auto"/>
      </w:divBdr>
    </w:div>
    <w:div w:id="604925779">
      <w:bodyDiv w:val="1"/>
      <w:marLeft w:val="0"/>
      <w:marRight w:val="0"/>
      <w:marTop w:val="0"/>
      <w:marBottom w:val="0"/>
      <w:divBdr>
        <w:top w:val="none" w:sz="0" w:space="0" w:color="auto"/>
        <w:left w:val="none" w:sz="0" w:space="0" w:color="auto"/>
        <w:bottom w:val="none" w:sz="0" w:space="0" w:color="auto"/>
        <w:right w:val="none" w:sz="0" w:space="0" w:color="auto"/>
      </w:divBdr>
    </w:div>
    <w:div w:id="1108163846">
      <w:bodyDiv w:val="1"/>
      <w:marLeft w:val="0"/>
      <w:marRight w:val="0"/>
      <w:marTop w:val="0"/>
      <w:marBottom w:val="0"/>
      <w:divBdr>
        <w:top w:val="none" w:sz="0" w:space="0" w:color="auto"/>
        <w:left w:val="none" w:sz="0" w:space="0" w:color="auto"/>
        <w:bottom w:val="none" w:sz="0" w:space="0" w:color="auto"/>
        <w:right w:val="none" w:sz="0" w:space="0" w:color="auto"/>
      </w:divBdr>
    </w:div>
    <w:div w:id="1108814644">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195340392">
      <w:bodyDiv w:val="1"/>
      <w:marLeft w:val="0"/>
      <w:marRight w:val="0"/>
      <w:marTop w:val="0"/>
      <w:marBottom w:val="0"/>
      <w:divBdr>
        <w:top w:val="none" w:sz="0" w:space="0" w:color="auto"/>
        <w:left w:val="none" w:sz="0" w:space="0" w:color="auto"/>
        <w:bottom w:val="none" w:sz="0" w:space="0" w:color="auto"/>
        <w:right w:val="none" w:sz="0" w:space="0" w:color="auto"/>
      </w:divBdr>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 w:id="1659381756">
      <w:bodyDiv w:val="1"/>
      <w:marLeft w:val="0"/>
      <w:marRight w:val="0"/>
      <w:marTop w:val="0"/>
      <w:marBottom w:val="0"/>
      <w:divBdr>
        <w:top w:val="none" w:sz="0" w:space="0" w:color="auto"/>
        <w:left w:val="none" w:sz="0" w:space="0" w:color="auto"/>
        <w:bottom w:val="none" w:sz="0" w:space="0" w:color="auto"/>
        <w:right w:val="none" w:sz="0" w:space="0" w:color="auto"/>
      </w:divBdr>
    </w:div>
    <w:div w:id="1987854717">
      <w:bodyDiv w:val="1"/>
      <w:marLeft w:val="0"/>
      <w:marRight w:val="0"/>
      <w:marTop w:val="0"/>
      <w:marBottom w:val="0"/>
      <w:divBdr>
        <w:top w:val="none" w:sz="0" w:space="0" w:color="auto"/>
        <w:left w:val="none" w:sz="0" w:space="0" w:color="auto"/>
        <w:bottom w:val="none" w:sz="0" w:space="0" w:color="auto"/>
        <w:right w:val="none" w:sz="0" w:space="0" w:color="auto"/>
      </w:divBdr>
    </w:div>
    <w:div w:id="20906175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1.png"/>
  <Relationship Id="rId16" Type="http://schemas.openxmlformats.org/officeDocument/2006/relationships/header" Target="header7.xml"/>
  <Relationship Id="rId17" Type="http://schemas.openxmlformats.org/officeDocument/2006/relationships/header" Target="header8.xml"/>
  <Relationship Id="rId18" Type="http://schemas.openxmlformats.org/officeDocument/2006/relationships/footer" Target="footer7.xml"/>
  <Relationship Id="rId19" Type="http://schemas.openxmlformats.org/officeDocument/2006/relationships/footer" Target="footer8.xml"/>
  <Relationship Id="rId2" Type="http://schemas.openxmlformats.org/officeDocument/2006/relationships/fontTable" Target="fontTable.xml"/>
  <Relationship Id="rId20" Type="http://schemas.openxmlformats.org/officeDocument/2006/relationships/header" Target="header9.xml"/>
  <Relationship Id="rId21" Type="http://schemas.openxmlformats.org/officeDocument/2006/relationships/footer" Target="footer9.xml"/>
  <Relationship Id="rId22" Type="http://schemas.openxmlformats.org/officeDocument/2006/relationships/customXml" Target="../customXml/item1.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footer" Target="footer3.xml"/>
  <Relationship Id="rId6" Type="http://schemas.openxmlformats.org/officeDocument/2006/relationships/footnotes" Target="foot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header" Target="header3.xml"/>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microsoft.com/office/2007/relationships/stylesWithEffects" Target="stylesWithEffects.xml"/>
  <Relationship Id="rId5" Type="http://schemas.openxmlformats.org/officeDocument/2006/relationships/webSettings" Target="webSettings.xml"/>
</Relationships>

</file>

<file path=word/glossary/document.xml><?xml version="1.0" encoding="utf-8"?>
<w:glossary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Parts>
    <w:docPart>
      <w:docPartPr>
        <w:name w:val="DefaultPlaceholder_1082065158"/>
        <w:category>
          <w:name w:val="Bendrosios nuostatos"/>
          <w:gallery w:val="placeholder"/>
        </w:category>
        <w:types>
          <w:type w:val="bbPlcHdr"/>
        </w:types>
        <w:behaviors>
          <w:behavior w:val="content"/>
        </w:behaviors>
        <w:guid w:val="{07492C50-ADE8-4085-9181-C2A46BA85305}"/>
      </w:docPartPr>
      <w:docPartBody>
        <w:p>
          <w:r>
            <w:rPr>
              <w:rStyle w:val="Vietosrezervavimoenklotekstas"/>
            </w:rPr>
            <w:t>Spustelėkite čia, jei norite įvesti tekstą.</w:t>
          </w:r>
        </w:p>
      </w:docPartBody>
    </w:docPart>
  </w:docParts>
</w:glossaryDocument>
</file>

<file path=word/glossary/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Arial">
    <w:panose1 w:val="020B0604020202020204"/>
    <w:charset w:val="BA"/>
    <w:family w:val="swiss"/>
    <w:pitch w:val="variable"/>
    <w:sig w:usb0="E0002AFF" w:usb1="C0007843" w:usb2="00000009" w:usb3="00000000" w:csb0="000001FF" w:csb1="00000000"/>
  </w:font>
  <w:font w:name="Cambria">
    <w:panose1 w:val="02040503050406030204"/>
    <w:charset w:val="BA"/>
    <w:family w:val="roman"/>
    <w:pitch w:val="variable"/>
    <w:sig w:usb0="E00002FF" w:usb1="400004FF" w:usb2="00000000" w:usb3="00000000" w:csb0="0000019F" w:csb1="00000000"/>
  </w:font>
</w:fonts>
</file>

<file path=word/glossary/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B7083"/>
    <w:rsid w:val="000B7083"/>
    <w:rsid w:val="00534072"/>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4:docId w14:val="10E18262"/>
</w:settings>
</file>

<file path=word/glossary/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0B7083"/>
    <w:rPr>
      <w:color w:val="808080"/>
    </w:rPr>
  </w:style>
  <w:style w:type="paragraph" w:customStyle="1" w:styleId="5D0CAF8703914E98AE8B968B048A3101">
    <w:name w:val="5D0CAF8703914E98AE8B968B048A3101"/>
    <w:rsid w:val="000B7083"/>
  </w:style>
  <w:style w:type="paragraph" w:customStyle="1" w:styleId="A6BEC7CD2664430A8BB632D791145329">
    <w:name w:val="A6BEC7CD2664430A8BB632D791145329"/>
    <w:rsid w:val="000B7083"/>
  </w:style>
</w:styles>
</file>

<file path=word/glossary/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0B7083"/>
    <w:rPr>
      <w:color w:val="808080"/>
    </w:rPr>
  </w:style>
  <w:style w:type="paragraph" w:customStyle="1" w:styleId="5D0CAF8703914E98AE8B968B048A3101">
    <w:name w:val="5D0CAF8703914E98AE8B968B048A3101"/>
    <w:rsid w:val="000B7083"/>
  </w:style>
  <w:style w:type="paragraph" w:customStyle="1" w:styleId="A6BEC7CD2664430A8BB632D791145329">
    <w:name w:val="A6BEC7CD2664430A8BB632D791145329"/>
    <w:rsid w:val="000B7083"/>
  </w:style>
</w:styles>
</file>

<file path=word/glossary/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9bc6f261ddba4c7184b90c956b58b383" PartId="17f48cdf7b014c74adf2d88aba890c20">
    <Part Type="preambule" DocPartId="0dda226f453f40da8e00285127b4653c" PartId="beb011ac78cd431c85688bf50aabd168"/>
    <Part Type="pastraipa" DocPartId="46c40cd945df4a159461cb1ccf6503e1" PartId="53308ee4e54c4d7d964ecb38057b3f6a"/>
    <Part Type="signatura" DocPartId="ae228b8fbfa446f0bd4b82adedb741b6" PartId="4b25f0ac30e945bf80b4829fd7a3eed2"/>
  </Part>
  <Part Type="patvirtinta" Title="KONKREČIŲ NACIONALINIAM SAUGUMUI UŽTIKRINTI SVARBIŲ ĮRENGINIŲ IR TURTO SĄRAŠAS" DocPartId="01f43013352c426b9a4b4130f71ae8b7" PartId="08aac1ae416c4f84b28c25f37af3f13c"/>
</Parts>
</file>

<file path=customXml/itemProps1.xml><?xml version="1.0" encoding="utf-8"?>
<ds:datastoreItem xmlns:ds="http://schemas.openxmlformats.org/officeDocument/2006/customXml" ds:itemID="{4A4A1EDB-FAC1-41EE-9082-6D1FADFEDF54}">
  <ds:schemaRefs>
    <ds:schemaRef ds:uri="http://lrs.lt/TAIS/DocParts"/>
  </ds:schemaRefs>
</ds:datastoreItem>
</file>

<file path=docProps/app.xml><?xml version="1.0" encoding="utf-8"?>
<Properties xmlns="http://schemas.openxmlformats.org/officeDocument/2006/extended-properties">
  <Template>Normal.dotm</Template>
  <TotalTime>6</TotalTime>
  <Pages>24</Pages>
  <Words>29760</Words>
  <Characters>16964</Characters>
  <Application>Microsoft Office Word</Application>
  <DocSecurity>0</DocSecurity>
  <Lines>141</Lines>
  <Paragraphs>93</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LRVK</Company>
  <LinksUpToDate>false</LinksUpToDate>
  <CharactersWithSpaces>46631</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2018-06-11T10:52:00Z</dcterms:created>
  <dc:creator>lrvk</dc:creator>
  <lastModifiedBy>BODIN Aušra</lastModifiedBy>
  <lastPrinted>2017-06-01T05:28:00Z</lastPrinted>
  <dcterms:modified xsi:type="dcterms:W3CDTF">2019-03-27T14:20:00Z</dcterms:modified>
  <revision>7</revision>
</coreProperties>
</file>