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7f48cdf7b014c74adf2d88aba890c20"/>
        <w:lock w:val="sdtLocked"/>
        <w:richText/>
      </w:sdtPr>
      <w:sdtContent>
        <w:p>
          <w:pPr>
            <w:jc w:val="both"/>
            <w:rPr>
              <w:rFonts w:ascii="Times New Roman" w:hAnsi="Times New Roman"/>
            </w:rPr>
          </w:pPr>
          <w:r>
            <w:rPr>
              <w:rFonts w:ascii="Times New Roman" w:hAnsi="Times New Roman"/>
              <w:b/>
              <w:i/>
            </w:rPr>
            <w:t>Suvestinė redakcija nuo 2026-04-04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2018-06-11, i. k. 2018-09731</w:t>
          </w:r>
        </w:p>
        <w:p>
          <w:pPr>
            <w:jc w:val="both"/>
            <w:rPr>
              <w:rFonts w:ascii="Times New Roman" w:hAnsi="Times New Roman"/>
              <w:sz w:val="20"/>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szCs w:val="24"/>
            </w:rPr>
            <w:t>Dėl KONKREČIŲ nacionaliniam saugumui užtikrinti svarbių įrenginių ir turto sąrašO PATVIRTINIMO</w:t>
          </w:r>
        </w:p>
        <w:p>
          <w:pPr>
            <w:tabs>
              <w:tab w:val="center" w:pos="4153"/>
              <w:tab w:val="right" w:pos="8306"/>
            </w:tabs>
            <w:rPr>
              <w:lang w:eastAsia="lt-LT"/>
            </w:rPr>
          </w:pPr>
        </w:p>
        <w:p>
          <w:pPr>
            <w:ind w:firstLine="62"/>
            <w:jc w:val="center"/>
            <w:rPr>
              <w:lang w:eastAsia="lt-LT"/>
            </w:rPr>
          </w:pPr>
          <w:r>
            <w:rPr>
              <w:lang w:eastAsia="lt-LT"/>
            </w:rPr>
            <w:t>2018 m. birželio 6 d.Nr. 558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710ece42ac8e49b5a9da62663a0468ac"/>
            <w:lock w:val="sdtLocked"/>
            <w:richText/>
          </w:sdtPr>
          <w:sdtContent>
            <w:p>
              <w:pPr>
                <w:tabs>
                  <w:tab w:val="left" w:pos="1296"/>
                  <w:tab w:val="center" w:pos="4819"/>
                  <w:tab w:val="right" w:pos="9638"/>
                </w:tabs>
                <w:ind w:firstLine="720"/>
                <w:jc w:val="both"/>
                <w:rPr>
                  <w:rFonts w:eastAsia="Calibri"/>
                  <w:szCs w:val="24"/>
                </w:rPr>
              </w:pPr>
              <w:r>
                <w:rPr>
                  <w:szCs w:val="24"/>
                </w:rPr>
                <w:t>Vadovaudamasi Lietuvos 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c22144e1c5134b89bc1d2280d403d92c"/>
            <w:lock w:val="sdtLocked"/>
            <w:richText/>
          </w:sdtPr>
          <w:sdtContent>
            <w:p>
              <w:pPr>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lock w:val="sdtLocked"/>
            <w:richText/>
          </w:sdtPr>
          <w:sdtContent>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rPr>
                  <w:lang w:eastAsia="lt-LT"/>
                </w:rPr>
              </w:pPr>
              <w:r>
                <w:rPr>
                  <w:lang w:eastAsia="lt-LT"/>
                </w:rPr>
                <w:t xml:space="preserve">Ministras Pirmininkas </w:t>
              </w:r>
              <w:r>
                <w:rPr>
                  <w:lang w:val="en-US" w:eastAsia="lt-LT"/>
                </w:rPr>
                <w:tab/>
                <w:tab/>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center" w:pos="4153"/>
                  <w:tab w:val="left" w:pos="6237"/>
                  <w:tab w:val="right" w:pos="8306"/>
                </w:tabs>
                <w:rPr>
                  <w:lang w:val="en-US" w:eastAsia="lt-LT"/>
                </w:rPr>
              </w:pPr>
              <w:r>
                <w:rPr>
                  <w:lang w:eastAsia="lt-LT"/>
                </w:rPr>
                <w:t>Teisingumo ministras,</w:t>
              </w:r>
            </w:p>
            <w:p>
              <w:pPr>
                <w:tabs>
                  <w:tab w:val="center" w:pos="-7800"/>
                  <w:tab w:val="left" w:pos="6237"/>
                  <w:tab w:val="right" w:pos="8306"/>
                </w:tabs>
                <w:rPr>
                  <w:lang w:eastAsia="lt-LT"/>
                </w:rPr>
              </w:pPr>
              <w:r>
                <w:rPr>
                  <w:lang w:eastAsia="lt-LT"/>
                </w:rPr>
                <w:t>pavaduojantis ūkio ministrą</w:t>
                <w:tab/>
                <w:t xml:space="preserve">               Elvinas Jankevičius</w:t>
              </w:r>
            </w:p>
          </w:sdtContent>
        </w:sdt>
      </w:sdtContent>
    </w:sdt>
    <w:sdt>
      <w:sdtPr>
        <w:alias w:val="patvirtinta"/>
        <w:tag w:val="part_39f8845bcdbe4370887fa9415a9e08d9"/>
        <w:lock w:val="sdtLocked"/>
        <w:richText/>
      </w:sdtPr>
      <w:sdtContent>
        <w:p>
          <w:pPr>
            <w:tabs>
              <w:tab w:val="center" w:pos="-7800"/>
              <w:tab w:val="left" w:pos="6237"/>
              <w:tab w:val="right" w:pos="8306"/>
            </w:tabs>
            <w:rPr>
              <w:lang w:eastAsia="lt-LT"/>
            </w:rPr>
          </w:pPr>
        </w:p>
        <w:p>
          <w:pPr>
            <w:tabs>
              <w:tab w:val="center" w:pos="-7800"/>
              <w:tab w:val="left" w:pos="6237"/>
              <w:tab w:val="right" w:pos="8306"/>
            </w:tabs>
            <w:rPr>
              <w:lang w:eastAsia="lt-LT"/>
            </w:rPr>
          </w:pPr>
        </w:p>
        <w:p>
          <w:pPr>
            <w:ind w:firstLine="9923"/>
            <w:rPr>
              <w:szCs w:val="24"/>
            </w:r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9923"/>
            <w:rPr>
              <w:szCs w:val="24"/>
            </w:rPr>
          </w:pPr>
          <w:r>
            <w:rPr>
              <w:szCs w:val="24"/>
              <w:lang w:eastAsia="ar-SA"/>
            </w:rPr>
            <w:t>PATVIRTINTA</w:t>
            <w:br/>
            <w:t>Lietuvos Respublikos Vyriausybės</w:t>
            <w:br/>
          </w:r>
          <w:r>
            <w:rPr>
              <w:szCs w:val="24"/>
            </w:rPr>
            <w:t xml:space="preserve">2018 m. birželio 6 d. </w:t>
          </w:r>
          <w:r>
            <w:rPr>
              <w:szCs w:val="24"/>
              <w:lang w:eastAsia="ar-SA"/>
            </w:rPr>
            <w:t xml:space="preserve">nutarimu </w:t>
          </w:r>
          <w:r>
            <w:rPr>
              <w:szCs w:val="24"/>
            </w:rPr>
            <w:t>Nr.</w:t>
          </w:r>
          <w:r>
            <w:t xml:space="preserve"> 558</w:t>
          </w:r>
        </w:p>
        <w:p>
          <w:pPr>
            <w:rPr>
              <w:szCs w:val="24"/>
            </w:rPr>
          </w:pPr>
        </w:p>
        <w:p>
          <w:pPr>
            <w:rPr>
              <w:szCs w:val="24"/>
            </w:rPr>
          </w:pPr>
        </w:p>
        <w:p>
          <w:pPr>
            <w:jc w:val="center"/>
            <w:rPr>
              <w:b/>
              <w:szCs w:val="24"/>
            </w:rPr>
          </w:pPr>
          <w:r>
            <w:rPr>
              <w:b/>
              <w:szCs w:val="24"/>
            </w:rPr>
            <w:t>KONKREČIŲ NACIONALINIAM SAUGUMUI UŽTIKRINTI SVARBIŲ ĮRENGINIŲ IR TURTO SĄRAŠAS</w:t>
          </w:r>
        </w:p>
        <w:p>
          <w:pPr>
            <w:jc w:val="center"/>
            <w:rPr>
              <w:b/>
              <w:szCs w:val="24"/>
            </w:rPr>
          </w:pPr>
        </w:p>
        <w:tbl>
          <w:tblPr>
            <w:tblStyle w:val="Lentelstinklelis"/>
            <w:tblW w:w="5000" w:type="pct"/>
            <w:tblInd w:w="0" w:type="dxa"/>
            <w:tblLook w:val="04A0" w:firstRow="1" w:lastRow="0" w:firstColumn="1" w:lastColumn="0" w:noHBand="0" w:noVBand="1"/>
          </w:tblPr>
          <w:tblGrid>
            <w:gridCol w:w="686"/>
            <w:gridCol w:w="4593"/>
            <w:gridCol w:w="9507"/>
          </w:tblGrid>
          <w:tr>
            <w:trPr>
              <w:tblHeader/>
            </w:trPr>
            <w:tc>
              <w:tcPr>
                <w:tcW w:w="232" w:type="pct"/>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cs="Times New Roman"/>
                    <w:sz w:val="24"/>
                    <w:szCs w:val="24"/>
                  </w:rPr>
                </w:pPr>
                <w:r>
                  <w:rPr>
                    <w:rFonts w:ascii="Times New Roman" w:hAnsi="Times New Roman" w:cs="Times New Roman"/>
                    <w:sz w:val="24"/>
                    <w:szCs w:val="24"/>
                  </w:rPr>
                  <w:t>Eil.</w:t>
                </w:r>
              </w:p>
              <w:p>
                <w:pPr>
                  <w:jc w:val="center"/>
                  <w:rPr>
                    <w:rFonts w:ascii="Times New Roman" w:hAnsi="Times New Roman" w:cs="Times New Roman"/>
                    <w:sz w:val="24"/>
                    <w:szCs w:val="24"/>
                  </w:rPr>
                </w:pPr>
                <w:r>
                  <w:rPr>
                    <w:rFonts w:ascii="Times New Roman" w:hAnsi="Times New Roman" w:cs="Times New Roman"/>
                    <w:sz w:val="24"/>
                    <w:szCs w:val="24"/>
                  </w:rPr>
                  <w:t>Nr.</w:t>
                </w:r>
              </w:p>
            </w:tc>
            <w:tc>
              <w:tcPr>
                <w:tcW w:w="1553" w:type="pct"/>
                <w:tcBorders>
                  <w:top w:val="single" w:sz="4" w:space="0" w:color="auto"/>
                  <w:left w:val="single" w:sz="4" w:space="0" w:color="auto"/>
                  <w:bottom w:val="single" w:sz="4" w:space="0" w:color="auto"/>
                  <w:right w:val="single" w:sz="4" w:space="0" w:color="auto"/>
                </w:tcBorders>
                <w:hideMark/>
              </w:tcPr>
              <w:p>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3215" w:type="pct"/>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tc>
              <w:tcPr>
                <w:tcW w:w="232" w:type="pct"/>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1.</w:t>
                </w:r>
              </w:p>
            </w:tc>
            <w:tc>
              <w:tcPr>
                <w:tcW w:w="4768" w:type="pct"/>
                <w:gridSpan w:val="2"/>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pPr>
                  <w:jc w:val="center"/>
                  <w:rPr>
                    <w:rFonts w:ascii="Times New Roman" w:hAnsi="Times New Roman" w:cs="Times New Roman"/>
                    <w:sz w:val="24"/>
                    <w:szCs w:val="24"/>
                  </w:rPr>
                </w:pP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1.1.1. Ignalinos atominės elektrinės pirmasis energijos blokas, esantis adresu Visagino sav., Drūkšinių k., Elektrinės g. 4 K38 (BEO eksploatavimo licencija Nr. 12/99)</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1.1.2. Ignalinos atominės elektrinės antrasis energijos blokas (su keletu bendrų objektų, skirtų radioaktyviųjų atliekų tvarkymui ir saugojimui), esantis adresu Visagino sav., Drūkšinių k., Elektrinės g. 4 K40 (BEO eksploatavimo licencija Nr. 2/2004)</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1.1.3. Panaudoto branduolinio kuro sausojo tipo tarpinio saugojimo saugykla,  esanti adresu Visagino sav., Drūkšinių k., Grikiniškės g. 4 (BEO eksploatavimo licencija Nr. 3/2000(P))</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1.1.4. Sucementuotų skystųjų radioaktyviųjų atliekų saugykla, esanti adresu Visagino sav., Drūkšinių k., Elektrinės g. 4 K21 (BEO eksploatavimo licencija Nr. 1/2006)</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1.1.5. Labai mažo aktyvumo radioaktyviųjų atliekų saugykla (B19-1 projektas), esanti adresu Visagino sav., Drūkšinių k., Elektrinės g. 4 K42 (BEO eksploatavimo licencija Nr. 16.1-87(2013))</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1.1.6. Labai mažai radioaktyvių atliekų atliekynas (B 19-2 projektas), esantis adresu Visagino sav., Drūkšinių k., Elektrinės g. 1, (BEO statybos ir eksploatavimo licencija Nr. 16.1-89(2015))</w:t>
                </w:r>
              </w:p>
            </w:tc>
          </w:tr>
          <w:tr>
            <w:trPr>
              <w:trHeight w:val="587"/>
            </w:trP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1.1.7. Laikinoji panaudoto branduolinio kuro saugykla (B1 projektas), esanti adresu Visagino sav., Drūkšinių k., Elektrinės g. 1 K3 (BEO eksploatavimo licencija Nr. 16.1-91(2016))</w:t>
                </w:r>
              </w:p>
            </w:tc>
          </w:tr>
          <w:tr>
            <w:trPr>
              <w:trHeight w:val="535"/>
            </w:trP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1.1.8. Kietų radioaktyviųjų atliekų išėmimo ir pradinio apdorojimo įrenginys (B2-1 projektas), esantis adresu Visagino sav., Drūkšinių k., Elektrinės g. 4 K25 (BEO eksploatavimo licencija Nr. 16.1-93(2017))</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1.1.9. Kietų radioaktyviųjų atliekų tvarkymo įrenginys ir radioaktyviųjų atliekų saugykla (B3/4 projektas), esantys adresu Visagino sav., Drūkšinių k., Elektrinės g. 1 K4 (BEO eksploatavimo licencija Nr. 16.1-94(2017))</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1.1.10. Mažai ir vidutiniškai aktyvių trumpaamžių radioaktyviųjų atliekų paviršinis atliekynas (statomas, B25 projektas), esantis adresu Visagino sav., Stabatiškės vs., Elektrinės g. 7 (BEO statybos ir eksploatavimo licencija Nr. 16.1-95(2017))</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 Tarptautiniuose Vilniaus, Kauno, Palangos oro uostuose ir tarptautiniame Šiaulių kariniame oro uoste esantys aerodromai, Jonavos aerodromas (Rukloje), Kazlų Rudos aerodromas, Pajuosčio aerodromas, S. Dariaus ir S. Girėno aerodromas ir Šilutės aerodromas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Gulioniškės k. 6</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1.2.5. Pajuosčio aerodromo susisiekimo komunikacijos (lėktuvų stovėjimo aikštelės, kilimo ir tūpimo, riedėjimo takai, įvažiavimo keliai) skrydžių valdymo posto pastatas, inžineriniai tinklai ir degalų saugyklos infrastruktūra, esantys adresu Panevėžio r. sav., Velžio sen., Pajuosčio k. 1 </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lang w:eastAsia="lt-LT"/>
                  </w:rPr>
                  <w:t>1.4. Viešoji geležinkelių infrastruktūra ir kiti įrenginiai ir turtas, reikalingi sklandžiam geležinkelių transporto eismui užtikrinti</w:t>
                </w: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 Administraciniai techniniai pastatai Vilniuje, Geležinkelio g. 2 ir 16</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1.4.2. Bugenių geležinkelio stotis Mažeikių rajono savivaldybėje, Židiškių seniūnijoje, Dapšių kaime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1.4.3. „Draugystės“ geležinkelio stotis, esanti adresu Klaipėda, Kairių g. 1</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1.4.4. Geležinkelio tiltas per Vokės upę Vilniaus miesto savivaldybėje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1.4.5. Jonavos geležinkelio tiltas per Nerį, esantis Jonavoje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1.4.6. Kauno geležinkelio tiltas per Nemuną, esantis Kaune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1.4.7. Kauno geležinkelio tunelis, esantis Kaune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1.4.8. Kenos geležinkelio stotis Vilniaus rajono savivaldybėje, Kalvelių seniūnijoje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1.4.9. Kybartų geležinkelio stotis, esanti adresu Vilkaviškio r., Kybartai, Kudirkos Naumiesčio g. 4</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1.4.10. Lyduvėnų tiltas per Dubysą Raseinių rajono savivaldybėje, Šiluvos seniūnijoje, Lyduvėnų miestelyje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 Pasienio geležinkelio linijos, kaip jos apibrėžtos Lietuvos Respublikos geležinkelių transporto eismo saugos įstatymo 2 straipsnio 30 dalyje: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1.4.11.1. valstybės siena–Vilniaus geležinkelio stotis (vykstant iš Gudagojo)</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1.4.11.2. valstybės siena–Vilniaus geležinkelio stotis (vykstant iš Benekainių)</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1.4.11.3. valstybės siena–Vaidotų geležinkelio stotis (vykstant iš Benekainių)</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1.4.11.4. valstybės siena–Kybartų geležinkelio stotis (vykstant iš Nesterovo)</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val="restart"/>
                <w:tcBorders>
                  <w:top w:val="single" w:sz="4" w:space="0" w:color="auto"/>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1.4.11.5. valstybės siena–Pagėgių geležinkelio stotis (vykstant iš Sovetsko)</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1.4.12. Stasylų geležinkelio stotis Šalčininkų rajono savivaldybėje, Gerviškių seniūnijoje</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1.4.13. Vaidotų geležinkelio stotis, esanti adresu Vilnius, Eišiškių pl. 100</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1.4.14. Vilniaus geležinkelio stotis, esanti adresu Vilnius, Panerių g. 56</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 Valstybinės reikšmės magistralinės geležinkelių linijos:</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1.4.15.1. valstybės siena su Baltarusija–Kena–Vilnius (Vaidotai)–Kaišiadorys–Kaunas (Rokai)–Kybartai–valstybės siena su Rusijos Federacija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1.4.15.2. Kaišiadorys–Radviliškis–Šiauliai–Klaipėda („Draugystė“)</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1.4.15.3. Gaižiūnai–Palemonas</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1.4.15.4. Šiauliai–Joniškis–valstybės siena su Latvija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1.4.15.5. Kazlų Rūda–Šeštokai–Mockava–valstybės siena su Lenkija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1.4.15.6. Radviliškis–Pagėgiai–valstybės siena su Rusijos Federacija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1.4.15.7. Radviliškis–Panevėžys–Obeliai–valstybės siena su Latvija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1.4.15.8. Naujoji Vilnia–Turmantas–valstybės siena su Latvija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1.4.15.9. Vilnius–Stasylos–valstybės siena su Baltarusija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color w:val="000000"/>
                    <w:sz w:val="24"/>
                    <w:szCs w:val="24"/>
                  </w:rPr>
                </w:pPr>
                <w:r>
                  <w:rPr>
                    <w:rFonts w:ascii="Times New Roman" w:hAnsi="Times New Roman" w:cs="Times New Roman"/>
                    <w:color w:val="000000"/>
                    <w:sz w:val="24"/>
                    <w:szCs w:val="24"/>
                  </w:rPr>
                  <w:t xml:space="preserve">1.4.16. Vaidotų kuro bazė, esanti adresu Vilnius, Terminalo g. 8 </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1.4.17. Radviliškio kuro bazė, esanti adresu Radviliškis, Laisvės al. 17</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1.4.18. Klaipėdos kuro sandėlis, esantis adresu Klaipėda, S. Daukanto g. 47</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color w:val="000000"/>
                    <w:sz w:val="24"/>
                    <w:szCs w:val="24"/>
                    <w:lang w:eastAsia="lt-LT"/>
                  </w:rPr>
                  <w:t>1.4.19. Ypatingos valstybinės svarbos projekto „Rail Baltica“ geležinkelio linija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1.4.20. </w:t>
                </w:r>
                <w:r>
                  <w:rPr>
                    <w:rFonts w:ascii="Times New Roman" w:hAnsi="Times New Roman" w:cs="Times New Roman"/>
                    <w:bCs/>
                    <w:color w:val="000000"/>
                    <w:sz w:val="24"/>
                    <w:szCs w:val="24"/>
                    <w:lang w:eastAsia="lt-LT"/>
                  </w:rPr>
                  <w:t>Į karines teritorijos vedantys ar šiose teritorijose esantys geležinkelio keliai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 Klaipėdos valstybinio jūrų uosto hidrotechniniai įrenginiai, krantinės, navigacijos keliai ir kanalai, navigaciniai įrenginiai ir kiti infrastruktūros objektai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1.5.1. Klaipėdos valstybinio jūrų uosto hidrotechniniai įrenginiai, krantinės, navigacijos keliai ir kanalai, navigaciniai įrenginiai ir kiti infrastruktūros objektai, esantys Klaipėdos valstybinio jūrų uosto teritorijoje</w:t>
                </w:r>
              </w:p>
            </w:tc>
          </w:tr>
          <w:tr>
            <w:trPr>
              <w:trHeight w:val="1188"/>
            </w:trP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Studentų g. 39 ir Lvivo g. 25-101</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 Saugusis valstybinis duomenų perdavimo tinklas (toliau – Saugusis tinklas)</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1.8.1. Saugiojo tinklo ryšio telekomunikacijų įranga ir ją jungiančių ryšio linijų visuma: </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1.8.1.1. Saugiojo tinklo valdymo centrai (2 vnt.)</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eastAsia="Calibri" w:hAnsi="Times New Roman" w:cs="Times New Roman"/>
                    <w:sz w:val="24"/>
                    <w:szCs w:val="24"/>
                    <w:lang w:eastAsia="lt-LT"/>
                  </w:rPr>
                </w:pPr>
                <w:r>
                  <w:rPr>
                    <w:rFonts w:ascii="Times New Roman" w:hAnsi="Times New Roman" w:cs="Times New Roman"/>
                    <w:sz w:val="24"/>
                    <w:szCs w:val="24"/>
                    <w:lang w:eastAsia="lt-LT"/>
                  </w:rPr>
                  <w:t>1.8.1.2. Saugiojo tinklo centrinė kamieninė dalis – kertinės žiedinės jungtys tarp 5 (penkių) didžiausių Lietuvos miestų</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1.8.1.3. Regioninės jungtys tarp Lietuvos Respublikos savivaldybių</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1.8.1.4. Ryšio linijų jungtys tarp Saugiojo tinklo naudotojų</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1.8.1.5. Kolektyvinės kibernetinės apsaugos įranga</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1.9. Lietuvos viešojo saugumo ir pagalbos tarnybų skaitmeninio mobiliojo radijo ryšio tinklas</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1.9.1. Lietuvos viešojo saugumo ir pagalbos tarnybų skaitmeninio mobiliojo radijo ryšio tinklo centrinė  valdymo infrastruktūra (techninė ir programinė įranga)  Šventaragio g. 2, Vilniuje ir Aušros al. 19a, Šiauliuose bei  šio tinklo bazinės stotys visoje Lietuvos Respublikos  teritorijoje</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w:t>
                </w:r>
                <w:r>
                  <w:rPr>
                    <w:rFonts w:ascii="Times New Roman" w:eastAsia="Times New Roman" w:hAnsi="Times New Roman" w:cs="Times New Roman"/>
                    <w:sz w:val="24"/>
                    <w:szCs w:val="24"/>
                  </w:rPr>
                  <w:t xml:space="preserve"> </w:t>
                </w:r>
                <w:r>
                  <w:rPr>
                    <w:rFonts w:ascii="Times New Roman" w:hAnsi="Times New Roman" w:cs="Times New Roman"/>
                    <w:bCs/>
                    <w:sz w:val="24"/>
                    <w:szCs w:val="24"/>
                    <w:lang w:eastAsia="lt-LT"/>
                  </w:rPr>
                  <w:t xml:space="preserve">Elektros energijos kaupimo įrenginiai, įrengti įgyvendinant Lietuvos Respublikos elektros energetikos sistemos sujungimo su kontinentinės Europos elektros tinklais darbui sinchroniniu režimu įstatymą </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1.10.1. 50 MW galios elektros energijos kaupimo įrenginys (elektros akumuliatorius), įrengtas 330/110/10 kV Alytaus transformatorių pastotės teritorijoje (Alytaus r. sav., Alytaus sen., Butkūnų k., Kauno kelias 4)</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1.10.2. 50 MW galios elektros energijos kaupimo įrenginys (elektros akumuliatorius), įrengtas 330/110/10 kV Šiaulių transformatorių pastotės teritorijoje (Šiauliai, Pramonės g. 2E)</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1.10.3. 50 MW galios elektros energijos kaupimo įrenginys (elektros akumuliatorius), įrengtas 330/110/10 kV Vilniaus transformatorių pastotės teritorijoje (Vilnius, J. Tiškevičiaus g. 72A)</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1.10.4. 50 MW galios elektros energijos kaupimo įrenginys (elektros akumuliatorius), įrengtas 330/110/10 kV Utenos transformatorių pastotės teritorijoje (Utenos r. sav., Sudeikių sen., Sirutėnų k., Santarvės g. 39)</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tcPr>
              <w:p>
                <w:pPr>
                  <w:jc w:val="both"/>
                  <w:rPr>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1.10.5. keturių 50 MW galios elektros energijos kaupimo įrenginių valdymo centras (Vilnius, Ozo g. 12A)</w:t>
                </w:r>
              </w:p>
            </w:tc>
          </w:tr>
          <w:tr>
            <w:tc>
              <w:tcPr>
                <w:tcW w:w="232" w:type="pct"/>
                <w:vMerge w:val="restart"/>
                <w:tcBorders>
                  <w:top w:val="single" w:sz="4" w:space="0" w:color="auto"/>
                  <w:left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w:t>
                </w:r>
              </w:p>
            </w:tc>
            <w:tc>
              <w:tcPr>
                <w:tcW w:w="4768" w:type="pct"/>
                <w:gridSpan w:val="2"/>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p>
              <w:p>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pPr>
                  <w:jc w:val="both"/>
                  <w:rPr>
                    <w:rFonts w:ascii="Times New Roman" w:hAnsi="Times New Roman" w:cs="Times New Roman"/>
                    <w:sz w:val="24"/>
                    <w:szCs w:val="24"/>
                  </w:rPr>
                </w:pPr>
              </w:p>
            </w:tc>
          </w:tr>
          <w:tr>
            <w:trPr>
              <w:trHeight w:val="694"/>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trPr>
              <w:trHeight w:val="278"/>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trPr>
              <w:trHeight w:val="267"/>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trPr>
              <w:trHeight w:val="272"/>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trPr>
              <w:trHeight w:val="26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trPr>
              <w:trHeight w:val="52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trPr>
              <w:trHeight w:val="31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trPr>
              <w:trHeight w:val="259"/>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trPr>
              <w:trHeight w:val="263"/>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2.2.1.5. tiltai – 3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„Independence“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trPr>
              <w:trHeight w:val="752"/>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bCs/>
                    <w:sz w:val="24"/>
                    <w:szCs w:val="24"/>
                  </w:rPr>
                </w:pPr>
                <w:r>
                  <w:rPr>
                    <w:rFonts w:ascii="Times New Roman" w:hAnsi="Times New Roman" w:cs="Times New Roman"/>
                    <w:sz w:val="24"/>
                    <w:szCs w:val="24"/>
                  </w:rPr>
                  <w:t>2.4.1. Lietuvos elektros energetikos sistemos valdymo centras, esantis adresu Vilnius, Karlo Gustavo Emilio Manerheimo g. 8</w:t>
                </w:r>
              </w:p>
            </w:tc>
          </w:tr>
          <w:tr>
            <w:trPr>
              <w:trHeight w:val="1182"/>
            </w:trP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vAlign w:val="center"/>
              </w:tcPr>
              <w:p>
                <w:pPr>
                  <w:jc w:val="both"/>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2.4.2. Lietuvos elektros energetikos sistemos rezervinis valdymo centras, esantis adresu Kauno r. sav., Karmėlavos sen., Biruliškių k., Pastotės g.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2.5. </w:t>
                </w:r>
                <w:r>
                  <w:rPr>
                    <w:rFonts w:ascii="Times New Roman" w:hAnsi="Times New Roman" w:cs="Times New Roman"/>
                    <w:sz w:val="24"/>
                    <w:szCs w:val="24"/>
                    <w:lang w:eastAsia="lt-LT"/>
                  </w:rPr>
                  <w:t>Lietuvos gamtinių dujų perdavimo sistemos operatoriaus valdomas Lietuvos gamtinių dujų perdavimo sistemos valdymo centras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2.5.1. </w:t>
                </w:r>
                <w:r>
                  <w:rPr>
                    <w:rFonts w:ascii="Times New Roman" w:hAnsi="Times New Roman" w:cs="Times New Roman"/>
                    <w:sz w:val="24"/>
                    <w:szCs w:val="24"/>
                    <w:lang w:eastAsia="lt-LT"/>
                  </w:rPr>
                  <w:t>Gamtinių dujų perdavimo sistemos valdymo centras (SVC), esantis adresu Gudelių g. 49, Vilnius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hideMark/>
              </w:tcPr>
              <w:p>
                <w:pPr>
                  <w:tabs>
                    <w:tab w:val="left" w:pos="810"/>
                  </w:tabs>
                  <w:jc w:val="both"/>
                  <w:rPr>
                    <w:rFonts w:ascii="Times New Roman" w:hAnsi="Times New Roman" w:cs="Times New Roman"/>
                    <w:sz w:val="24"/>
                    <w:szCs w:val="24"/>
                  </w:rPr>
                </w:pPr>
                <w:r>
                  <w:rPr>
                    <w:rFonts w:ascii="Times New Roman" w:hAnsi="Times New Roman" w:cs="Times New Roman"/>
                    <w:sz w:val="24"/>
                    <w:szCs w:val="24"/>
                  </w:rPr>
                  <w:t>2.6. 330 kV ir aukštesnės įtampos elektros energijos perdavimo linijos ir elektros energijos perdavimo jungtys su užsienio valstybių elektros energetikos sistemomis (elektros energijos perdavimo linijos, skirstyklos, keitiklių stotys, sinchroninių kompensatorių stotys, elektros energijos kaupimo įrenginiai),</w:t>
                </w:r>
                <w:r>
                  <w:rPr>
                    <w:rFonts w:ascii="Times New Roman" w:hAnsi="Times New Roman" w:cs="Times New Roman"/>
                    <w:b/>
                    <w:bCs/>
                    <w:sz w:val="24"/>
                    <w:szCs w:val="24"/>
                  </w:rPr>
                  <w:t xml:space="preserve"> </w:t>
                </w:r>
                <w:r>
                  <w:rPr>
                    <w:rFonts w:ascii="Times New Roman" w:hAnsi="Times New Roman" w:cs="Times New Roman"/>
                    <w:sz w:val="24"/>
                    <w:szCs w:val="24"/>
                  </w:rPr>
                  <w:t>reikalingos elektros energijos perdavimo funkcijai atlikti</w:t>
                </w:r>
              </w:p>
            </w:tc>
            <w:tc>
              <w:tcPr>
                <w:tcW w:w="3215" w:type="pct"/>
                <w:tcBorders>
                  <w:top w:val="single" w:sz="4" w:space="0" w:color="auto"/>
                  <w:left w:val="single" w:sz="4" w:space="0" w:color="auto"/>
                  <w:bottom w:val="single" w:sz="4" w:space="0" w:color="auto"/>
                  <w:right w:val="single" w:sz="4" w:space="0" w:color="auto"/>
                </w:tcBorders>
              </w:tcPr>
              <w:p>
                <w:pPr>
                  <w:tabs>
                    <w:tab w:val="left" w:pos="34"/>
                  </w:tabs>
                  <w:ind w:left="34"/>
                  <w:jc w:val="both"/>
                  <w:rPr>
                    <w:rFonts w:ascii="Times New Roman" w:hAnsi="Times New Roman" w:cs="Times New Roman"/>
                    <w:sz w:val="24"/>
                    <w:szCs w:val="24"/>
                  </w:rPr>
                </w:pPr>
                <w:r>
                  <w:rPr>
                    <w:rFonts w:ascii="Times New Roman" w:hAnsi="Times New Roman" w:cs="Times New Roman"/>
                    <w:sz w:val="24"/>
                    <w:szCs w:val="24"/>
                  </w:rPr>
                  <w:t>2.6.1. 220 kV ir aukštesnės įtampos elektros energijos perdavimo linijos ir elektros energijos perdavimo jungtys su užsienio valstybių elektros energetikos sistemomis: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MT" w:eastAsia="Times New Roman" w:hAnsi="TimesNewRomanPSMT" w:cs="TimesNewRomanPSMT"/>
                    <w:sz w:val="24"/>
                    <w:szCs w:val="24"/>
                  </w:rPr>
                  <w:t>2.6.1.1. Aizkrauklė–Panevėžys (LN 316)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2.6.1.2. Alytus–Elkas 1 (LitPol Link), kitaip Alytus–Lietuvos valstybės siena (51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 Alytus–Elkas 2 (LitPol Link), kitaip Alytus–Lietuvos valstybės siena (51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2.6.1.4.</w:t>
                </w:r>
                <w:r>
                  <w:rPr>
                    <w:rFonts w:ascii="Times New Roman" w:hAnsi="Times New Roman" w:cs="Times New Roman"/>
                    <w:b/>
                    <w:bCs/>
                    <w:color w:val="000000" w:themeColor="text1"/>
                    <w:sz w:val="24"/>
                    <w:szCs w:val="24"/>
                  </w:rPr>
                  <w:t xml:space="preserve"> </w:t>
                </w:r>
                <w:r>
                  <w:rPr>
                    <w:rFonts w:ascii="Times New Roman" w:hAnsi="Times New Roman" w:cs="Times New Roman"/>
                    <w:color w:val="000000" w:themeColor="text1"/>
                    <w:sz w:val="24"/>
                    <w:szCs w:val="24"/>
                  </w:rPr>
                  <w:t>Alytus–Keitiklis I (Alytus 330–Keitiklis)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lang w:val="en-US"/>
                  </w:rPr>
                </w:pPr>
                <w:r>
                  <w:rPr>
                    <w:rFonts w:ascii="Times New Roman" w:hAnsi="Times New Roman" w:cs="Times New Roman"/>
                    <w:sz w:val="24"/>
                    <w:szCs w:val="24"/>
                  </w:rPr>
                  <w:t>2.6.1.5.</w:t>
                </w:r>
                <w:r>
                  <w:rPr>
                    <w:rFonts w:ascii="Times New Roman" w:hAnsi="Times New Roman" w:cs="Times New Roman"/>
                    <w:b/>
                    <w:bCs/>
                    <w:sz w:val="24"/>
                    <w:szCs w:val="24"/>
                  </w:rPr>
                  <w:t xml:space="preserve"> </w:t>
                </w:r>
                <w:r>
                  <w:rPr>
                    <w:rFonts w:ascii="Times New Roman" w:hAnsi="Times New Roman" w:cs="Times New Roman"/>
                    <w:sz w:val="24"/>
                    <w:szCs w:val="24"/>
                  </w:rPr>
                  <w:t>Alytus–Keitiklis II (Alytus 330–Keitiklis)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851"/>
                    <w:tab w:val="left" w:pos="1134"/>
                  </w:tabs>
                  <w:jc w:val="both"/>
                  <w:rPr>
                    <w:rFonts w:ascii="Times New Roman" w:hAnsi="Times New Roman" w:cs="Times New Roman"/>
                    <w:sz w:val="24"/>
                    <w:szCs w:val="24"/>
                  </w:rPr>
                </w:pPr>
                <w:r>
                  <w:rPr>
                    <w:rFonts w:ascii="Times New Roman" w:hAnsi="Times New Roman" w:cs="Times New Roman"/>
                    <w:sz w:val="24"/>
                    <w:szCs w:val="24"/>
                  </w:rPr>
                  <w:t>2.6.1.6. Alytus–Keitiklis III (Alytus 330–Keitiklis)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2.6.1.7. Telšių atšaka (LN 457), po rekonstrukcijos Telšiai–Mūša (LN 457)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2.6.1.8. Grobinė–Darbėnai (LN 324)</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u w:val="single"/>
                  </w:rPr>
                </w:pPr>
                <w:r>
                  <w:rPr>
                    <w:rFonts w:ascii="TimesNewRomanPSMT" w:eastAsia="Times New Roman" w:hAnsi="TimesNewRomanPSMT" w:cs="TimesNewRomanPSMT"/>
                    <w:sz w:val="24"/>
                    <w:szCs w:val="24"/>
                  </w:rPr>
                  <w:t>2.6.1.9. Darbėnai–Klaipėda (LN 536)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2.6.1.10. </w:t>
                </w:r>
                <w:r>
                  <w:rPr>
                    <w:rFonts w:ascii="TimesNewRomanPSMT" w:eastAsia="Times New Roman" w:hAnsi="TimesNewRomanPSMT" w:cs="TimesNewRomanPSMT"/>
                    <w:sz w:val="24"/>
                    <w:szCs w:val="24"/>
                  </w:rPr>
                  <w:t>Darbėnai–Bitėnai (LN 535)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 xml:space="preserve">2.6.1.11. </w:t>
                </w:r>
                <w:r>
                  <w:rPr>
                    <w:rFonts w:ascii="TimesNewRomanPSMT" w:eastAsia="Times New Roman" w:hAnsi="TimesNewRomanPSMT" w:cs="TimesNewRomanPSMT"/>
                    <w:sz w:val="24"/>
                    <w:szCs w:val="24"/>
                  </w:rPr>
                  <w:t>Ignalinos AE–Lyksna (LN 451), atramų Nr. 1-54</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 xml:space="preserve">2.6.1.12. </w:t>
                </w:r>
                <w:r>
                  <w:rPr>
                    <w:rFonts w:ascii="TimesNewRomanPSMT" w:eastAsia="Times New Roman" w:hAnsi="TimesNewRomanPSMT" w:cs="TimesNewRomanPSMT"/>
                    <w:sz w:val="24"/>
                    <w:szCs w:val="24"/>
                  </w:rPr>
                  <w:t>Ignalinos AE–Utena (LN 453)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2.6.1.13. </w:t>
                </w:r>
                <w:r>
                  <w:rPr>
                    <w:rFonts w:ascii="TimesNewRomanPSMT" w:eastAsia="Times New Roman" w:hAnsi="TimesNewRomanPSMT" w:cs="TimesNewRomanPSMT"/>
                    <w:sz w:val="24"/>
                    <w:szCs w:val="24"/>
                  </w:rPr>
                  <w:t>Mūša–Viskali (LN305)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2.6.1.14. Šiauliai–Mūša (LN 517)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MT" w:eastAsia="Times New Roman" w:hAnsi="TimesNewRomanPSMT" w:cs="TimesNewRomanPSMT"/>
                    <w:sz w:val="24"/>
                    <w:szCs w:val="24"/>
                  </w:rPr>
                  <w:t>2.6.1.15. Jonava–Panevėžys (LN 317)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 xml:space="preserve">2.6.1.16. </w:t>
                </w:r>
                <w:r>
                  <w:rPr>
                    <w:rFonts w:ascii="TimesNewRomanPSMT" w:eastAsia="Times New Roman" w:hAnsi="TimesNewRomanPSMT" w:cs="TimesNewRomanPSMT"/>
                    <w:sz w:val="24"/>
                    <w:szCs w:val="24"/>
                  </w:rPr>
                  <w:t>Jurbarkas–Bitėnai (LN 531)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2.6.1.17. </w:t>
                </w:r>
                <w:r>
                  <w:rPr>
                    <w:rFonts w:ascii="TimesNewRomanPSMT" w:eastAsia="Times New Roman" w:hAnsi="TimesNewRomanPSMT" w:cs="TimesNewRomanPSMT"/>
                    <w:sz w:val="24"/>
                    <w:szCs w:val="24"/>
                  </w:rPr>
                  <w:t>Kaunas–Jurbarkas (LN 327)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2.6.1.18. </w:t>
                </w:r>
                <w:r>
                  <w:rPr>
                    <w:rFonts w:ascii="TimesNewRomanPSMT" w:eastAsia="Times New Roman" w:hAnsi="TimesNewRomanPSMT" w:cs="TimesNewRomanPSMT"/>
                    <w:sz w:val="24"/>
                    <w:szCs w:val="24"/>
                  </w:rPr>
                  <w:t>Klaipėda–Šyša (LN 530)</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2.6.1.19. </w:t>
                </w:r>
                <w:r>
                  <w:rPr>
                    <w:rFonts w:ascii="TimesNewRomanPSMT" w:eastAsia="Times New Roman" w:hAnsi="TimesNewRomanPSMT" w:cs="TimesNewRomanPSMT"/>
                    <w:sz w:val="24"/>
                    <w:szCs w:val="24"/>
                  </w:rPr>
                  <w:t>Klaipėda–Telšiai (LN 458)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2.6.1.20. </w:t>
                </w:r>
                <w:r>
                  <w:rPr>
                    <w:rFonts w:ascii="TimesNewRomanPSMT" w:eastAsia="Times New Roman" w:hAnsi="TimesNewRomanPSMT" w:cs="TimesNewRomanPSMT"/>
                    <w:sz w:val="24"/>
                    <w:szCs w:val="24"/>
                  </w:rPr>
                  <w:t>Kruonio HAE–Kaunas (LN 328)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2.6.1.21. </w:t>
                </w:r>
                <w:r>
                  <w:rPr>
                    <w:rFonts w:ascii="TimesNewRomanPSMT" w:eastAsia="Times New Roman" w:hAnsi="TimesNewRomanPSMT" w:cs="TimesNewRomanPSMT"/>
                    <w:sz w:val="24"/>
                    <w:szCs w:val="24"/>
                  </w:rPr>
                  <w:t>Kruonio HAE–Kaunas (LN 329)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2.6.1.22. Kruonio HAE–Bitėnai (LN448)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2.6.1.23. Lietuvos elektrinė–Alytus (LN 330)</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2.6.1.24. Lietuvos elektrinė–Jonava (LN 318)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2.6.1.25. Lietuvos elektrinė–Kruonio HAE (LN 307)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2.6.1.26. Lietuvos elektrinė–Kruonio HAE (LN 308)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2.6.1.27. Lietuvos elektrinė–Neris (LN 331)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2.6.1.28. Lietuvos elektrinė–Vilnius (LN 332)</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2.6.1.29. Vilnius–Lietuvos elektrinė–Vilnius (LN 533)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2.6.1.30. Neris–Utena (LN 456)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2.6.1.31. Šiauliai–Kaunas (LN 306), po rekonstrukcijos Šiauliai–Tytuvėnai ir Tytuvėnai–Kaunas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2.6.1.32. Šyša–Bitėnai (LN 532)</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2.6.1.33. Utena–Panevėžys (LN 455)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spacing w:line="276" w:lineRule="auto"/>
                  <w:jc w:val="both"/>
                  <w:rPr>
                    <w:rFonts w:ascii="Times New Roman" w:hAnsi="Times New Roman" w:cs="Times New Roman"/>
                    <w:sz w:val="24"/>
                    <w:szCs w:val="24"/>
                  </w:rPr>
                </w:pPr>
                <w:r>
                  <w:rPr>
                    <w:rFonts w:ascii="Times New Roman" w:eastAsia="Times New Roman" w:hAnsi="Times New Roman" w:cs="Times New Roman"/>
                    <w:sz w:val="24"/>
                    <w:szCs w:val="24"/>
                  </w:rPr>
                  <w:t>2.6.1.34. Utena–Ignalinos AE (LN 452)</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2.6.1.35. Vilnius–Neris (LN 333)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2.6.1.36. Klaipėda–Nibru (300 kV nuolatinės srovės elektros kabelis (NordBalt), Klaipėda–pasidalijimo taškas Baltijos jūroje, tarptautiniuose vandenyse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2.6.1.37. Kruonio HAE–Alytus (LN 366)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2.6.1.38. Kruonio HAE–Alytus (LN 367)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 xml:space="preserve">2.6.1.39. </w:t>
                </w:r>
                <w:r>
                  <w:rPr>
                    <w:rFonts w:ascii="Times New Roman" w:hAnsi="Times New Roman" w:cs="Times New Roman"/>
                    <w:sz w:val="24"/>
                    <w:szCs w:val="24"/>
                  </w:rPr>
                  <w:t>220 kV OKL Gižai– Wigry 1 (Harmony Link), kitaip Gižai–Lietuvos valstybės siena (40 km)</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2.6.1.40. 220 kV OKL Gižai– Wigry 2 (Harmony Link), kitaip Gižai–Lietuvos valstybės siena (40 km)</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2.6.1.41. Mūša–Panevėžys (LN 518)</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2.6.1.42. Darbėnai–Varduva (LN 537)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2.6.1.43. Varduva–Mūša (LN 538)</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 330 kV ir aukštesnės įtampos transformatorių pastotės (technologinis kompleksas, kurį sudaro 330 kV ir 110 kV skirstyklos, autotransformavimo įrenginiai ir nuotolinio valdymo sistemos), skirstyklos ir nuolatinės srovės keitikliai:</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2.6.2.1. Neries 330/110/10 kV transformatorių pastotė, esanti adresu Vilniaus apskr., Vilniaus r. sav., Nemenčinės sen., Karveliškių vs., Vilijos g. 67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2.6.2.2. Vilniaus 330/110/10 kV transformatorių pastotė, esanti adresu Vilnius, J. Tiškevičiaus g. 72A</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2.6.2.3. Lietuvos E 330 kV skirstykla, esanti adresu Elektrėnų sav., Elektrėnų sen., Elektrėnai, Elektrinės g. 21G</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2.6.2.4. Kauno 330/110/10 kV transformatorių pastotė, esanti adresu Kauno r. sav., Karmėlavos sen., Biruliškių k., Pastotės g.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2.6.2.5. Jonavos 330/110/10 kV transformatorių pastotė, esanti adresu Jonavos r. sav., Jonava, Girelės g.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2.6.2.6. Kruonio HAE 330/110/10 kV transformatorių pastotė, esanti adresu Kaišiadorių r. sav., Kruonio sen., Vaiguvos k. 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2.6.2.7. Klaipėdos 330/110/10 kV transformatorių pastotė, esanti adresu Klaipėdos r. sav., Dovilų sen., Kiškėnų k., Šatrijos takas 19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2.6.2.8. Klaipėdos aukštos įtampos nuolatinės srovės keitiklis ir 330 kV skirstykla (NordBalt), esantys adresu Klaipėdos r. sav., Dovilų sen., Kiškėnų k., Šatrijos takas 19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2.6.2.9. Telšių 330/110/10 kV transformatorių pastotė, esanti adresu Telšių r. sav., Degaičių sen., Gintalų k. 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2.6.2.10. Bitėnų 330/110/10 kV transformatorių pastotė, esanti adresu Pagėgių sav., Lumpėnų sen., Bitėnų k., Bitės g. 3A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2.6.2.11. Šyšos VE 30/330 kV transformatorių pastotė, esanti adresu Šilutės r. sav., Katyčių sen., Antšyčių k. 10A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2.6.2.12. Panevėžio 330/110/10 kV transformatorių pastotė, esanti adresu Panevėžio r. sav., Panevėžio sen., Bliūdžių k., Pušaloto g. 230</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2.6.2.13. Šiaulių 330/110/10 kV transformatorių pastotė, esanti adresu Šiauliai, Pramonės g. 2E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2.6.2.14. Jurbarko 330/110/10 kV transformatorių pastotė, esanti adresu Jurbarko r. sav., Jurbarkų sen., Dainių k., Eržvilko g. 3A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2.6.2.15. Utenos 330/110/10 kV transformatorių pastotė, esanti adresu Utenos r. sav., Sudeikių sen., Sirutėnų k., Santarvės g. 39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2.6.2.16. Ignalinos AE 330/110/6 kV transformatorių pastotė, esanti adresu Visagino sav., Petriškės k., Elektrinės g. 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2.6.2.17. Alytaus 330/110/10 kV transformatorių pastotė, esanti adresu Alytaus r. sav., Alytaus sen., Butkūnų k., Kauno kelias 4</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 xml:space="preserve">2.6.2.18. </w:t>
                </w:r>
                <w:r>
                  <w:rPr>
                    <w:rFonts w:ascii="Times New Roman" w:hAnsi="Times New Roman" w:cs="Times New Roman"/>
                    <w:sz w:val="24"/>
                    <w:szCs w:val="24"/>
                  </w:rPr>
                  <w:t>Alytaus 330–400 kV skirstyklos (LitPol Link), esančios adresu Alytaus r. sav., Alytaus sen., Butrimiškių k., Lankų g. 45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2.6.2.19. Mūšos 330 kV skirstykla, esanti adresu Joniškio r. sav., Gataučių sen., Lydekių k. 11T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2.6.2.20. Darbėnų 330 kV skirstykla, esanti adresu Kretingos r. sav., Darbėnų sen., Žynelių k.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 xml:space="preserve">2.6.2.21. </w:t>
                </w:r>
                <w:r>
                  <w:rPr>
                    <w:rFonts w:ascii="Times New Roman" w:hAnsi="Times New Roman" w:cs="Times New Roman"/>
                    <w:sz w:val="24"/>
                    <w:szCs w:val="24"/>
                  </w:rPr>
                  <w:t>Gižų 330/220/110/10 kV transformatorių pastotė (Harmony Link), esanti adresu Vilkaviškio r. sav., Gižų sen., Rūdos k.</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2.6.2.22. Alytaus sinchroninio kompensatoriaus stotis, esanti žemės sklype adresu Alytaus r. sav., Alytaus sen., Butrimiškių k., Lankų g. 45</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2.6.2.23. Neries sinchroninio kompensatoriaus stotis, esanti žemės sklype adresu Vilniaus r. sav., Nemenčinės sen., Karveliškių vs., Vilijos g. 67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2.6.2.24. Telšių sinchroninio kompensatoriaus stotis, esanti žemės sklype adresu Telšių r. sav., Degaičių sen., Gintalų k. 1</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2.6.2.25. Šiaulių transformatorių pastotėje prijungta baterijų energijos kaupimo sistema (50 MW), esanti žemės sklype adresu Šiauliai, Pramonės g. 2E</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2.6.2.26. Vilniaus transformatorių pastotėje prijungta baterijų energijos kaupimo sistema (50 MW), esanti žemės sklype adresu Vilnius, J. Tiškevičiaus g. 72A</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2.6.2.27. Utenos transformatorių pastotėje prijungta baterijų energijos kaupimo sistema (50 MW), esanti žemės sklype adresu Utenos r. sav., Sudeikių sen., Sirutėnų k., Santarvės g. 39</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2.6.2.28. Alytaus transformatorių pastotėje prijungta baterijų energijos kaupimo sistema (50 MW), esanti žemės sklype adresu Alytaus r. sav., Alytaus sen., Butkūnų k., Kauno kelias 4</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2.6.2.29. Piktupėnų VE 330 kV skirstykla, esanti Pagėgių sav., Lumpėnų sen., Kerkutviečių k.</w:t>
                </w:r>
              </w:p>
            </w:tc>
          </w:tr>
          <w:tr>
            <w:trPr>
              <w:trHeight w:val="610"/>
            </w:trP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right w:val="single" w:sz="4" w:space="0" w:color="auto"/>
                </w:tcBorders>
              </w:tcPr>
              <w:p>
                <w:pPr>
                  <w:jc w:val="both"/>
                  <w:rPr>
                    <w:szCs w:val="24"/>
                  </w:rPr>
                </w:pPr>
                <w:r>
                  <w:rPr>
                    <w:rFonts w:ascii="Times New Roman" w:eastAsia="Times New Roman" w:hAnsi="Times New Roman" w:cs="Times New Roman"/>
                    <w:sz w:val="24"/>
                    <w:szCs w:val="24"/>
                  </w:rPr>
                  <w:t xml:space="preserve">2.6.2.30. Tytuvėnų VE 330 kV skirstykla, esanti  Kelmės r. sav., Kelmės apylinkių sen., Pliuškaičių k.</w:t>
                </w:r>
              </w:p>
            </w:tc>
          </w:tr>
          <w:tr>
            <w:trPr>
              <w:trHeight w:val="610"/>
            </w:trP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2.6.2.31. Varduvos 330/220/110/10 kV transformatorių pastotė, esanti adresu Mažeikių r. sav. Mažeikių sen., Kuodžių k</w:t>
                </w:r>
                <w:r>
                  <w:rPr>
                    <w:szCs w:val="24"/>
                  </w:rPr>
                  <w: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2.7.1.4. Žalio vandens nudruskinimo įrenginiai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2.7.1.5. Elektrolizerinė ir vandenilio saugojimo resiveriai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 xml:space="preserve">Nacionaliniam saugumui užtikrinti svarbūs įrenginiai ir turtas, esantys adresu Marių g. 6, 56312 Maisiejūnų k., Kruonio sen., Kaišiadorių r. sav.: </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2.9.1.3. Kairysis ramtas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2.10. </w:t>
                </w:r>
                <w:r>
                  <w:rPr>
                    <w:rFonts w:ascii="Times New Roman" w:hAnsi="Times New Roman" w:cs="Times New Roman"/>
                    <w:sz w:val="24"/>
                    <w:szCs w:val="24"/>
                    <w:lang w:eastAsia="lt-LT"/>
                  </w:rPr>
                  <w:t>Lietuvos gamtinių dujų perdavimo sistemos operatoriaus valdomos gamtinių dujų perdavimo sistemos vamzdynas (išskyrus vamzdyno dalį, iš esmės naudojamą gamtinėms dujoms vietoje paskirstyti, siekiant pristatyti jas gamtinių dujų vartotojams), dujų kompresorių stočių, tarpvalstybinių dujų apskaitos stočių ir dujų skirstymo stočių pagrindinė technologinė įranga (gamtinių dujų perdavimo vamzdynai, kompresoriai, turbinos), reikalinga gamtinių dujų perdavimo funkcijai atlikti</w:t>
                </w:r>
              </w:p>
            </w:tc>
            <w:tc>
              <w:tcPr>
                <w:tcW w:w="3215" w:type="pct"/>
                <w:tcBorders>
                  <w:top w:val="single" w:sz="4" w:space="0" w:color="auto"/>
                  <w:left w:val="single" w:sz="4" w:space="0" w:color="auto"/>
                  <w:bottom w:val="single" w:sz="4" w:space="0" w:color="auto"/>
                  <w:right w:val="single" w:sz="4" w:space="0" w:color="auto"/>
                </w:tcBorders>
                <w:hideMark/>
              </w:tcPr>
              <w:p>
                <w:pPr>
                  <w:tabs>
                    <w:tab w:val="left" w:pos="232"/>
                  </w:tabs>
                  <w:jc w:val="both"/>
                  <w:rPr>
                    <w:rFonts w:ascii="Times New Roman" w:hAnsi="Times New Roman" w:cs="Times New Roman"/>
                    <w:sz w:val="24"/>
                    <w:szCs w:val="24"/>
                  </w:rPr>
                </w:pPr>
                <w:r>
                  <w:rPr>
                    <w:rFonts w:ascii="Times New Roman" w:hAnsi="Times New Roman" w:cs="Times New Roman"/>
                    <w:sz w:val="24"/>
                    <w:szCs w:val="24"/>
                  </w:rPr>
                  <w:t xml:space="preserve">2.10.1. </w:t>
                </w:r>
                <w:r>
                  <w:rPr>
                    <w:rFonts w:ascii="Times New Roman" w:hAnsi="Times New Roman" w:cs="Times New Roman"/>
                    <w:sz w:val="24"/>
                    <w:szCs w:val="24"/>
                    <w:lang w:eastAsia="lt-LT"/>
                  </w:rPr>
                  <w:t>Gamtinių dujų perdavimo sistemos vamzdynas, išskyrus vamzdyno dalį, iš esmės naudojamą gamtinėms dujoms vietoje paskirstyti, siekiant pristatyti jas gamtinių dujų vartotojams, kurio ilgis yra 2 288,78 km ir kuris yra Akmenės rajono, Alytaus rajono, Anykščių rajono, Birštono, Biržų rajono, Elektrėnų, Ignalinos rajono, Jonavos rajono, Jurbarko rajono, Kaišiadorių rajono, Kauno rajono, Kėdainių rajono, Klaipėdos rajono, Kretingos rajono, Lazdijų</w:t>
                </w:r>
                <w:r>
                  <w:rPr>
                    <w:rFonts w:ascii="Times New Roman" w:hAnsi="Times New Roman" w:cs="Times New Roman"/>
                    <w:b/>
                    <w:bCs/>
                    <w:sz w:val="24"/>
                    <w:szCs w:val="24"/>
                    <w:lang w:eastAsia="lt-LT"/>
                  </w:rPr>
                  <w:t> </w:t>
                </w:r>
                <w:r>
                  <w:rPr>
                    <w:rFonts w:ascii="Times New Roman" w:hAnsi="Times New Roman" w:cs="Times New Roman"/>
                    <w:sz w:val="24"/>
                    <w:szCs w:val="24"/>
                    <w:lang w:eastAsia="lt-LT"/>
                  </w:rPr>
                  <w:t>rajono</w:t>
                </w:r>
                <w:r>
                  <w:rPr>
                    <w:rFonts w:ascii="Times New Roman" w:hAnsi="Times New Roman" w:cs="Times New Roman"/>
                    <w:b/>
                    <w:bCs/>
                    <w:sz w:val="24"/>
                    <w:szCs w:val="24"/>
                    <w:lang w:eastAsia="lt-LT"/>
                  </w:rPr>
                  <w:t>,</w:t>
                </w:r>
                <w:r>
                  <w:rPr>
                    <w:rFonts w:ascii="Times New Roman" w:hAnsi="Times New Roman" w:cs="Times New Roman"/>
                    <w:sz w:val="24"/>
                    <w:szCs w:val="24"/>
                    <w:lang w:eastAsia="lt-LT"/>
                  </w:rPr>
                  <w:t> Marijampolės rajono,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teritorijose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2.10.2. </w:t>
                </w:r>
                <w:r>
                  <w:rPr>
                    <w:rFonts w:ascii="Times New Roman" w:hAnsi="Times New Roman" w:cs="Times New Roman"/>
                    <w:sz w:val="24"/>
                    <w:szCs w:val="24"/>
                    <w:lang w:eastAsia="lt-LT"/>
                  </w:rPr>
                  <w:t>Panevėžio dujų kompresorių stotis (Panevėžio DKS), esanti adresu Panevėžio r. sav., Maksvytiškių k., Verslo g. 11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2.10.3. </w:t>
                </w:r>
                <w:r>
                  <w:rPr>
                    <w:rFonts w:ascii="Times New Roman" w:hAnsi="Times New Roman" w:cs="Times New Roman"/>
                    <w:sz w:val="24"/>
                    <w:szCs w:val="24"/>
                    <w:lang w:eastAsia="lt-LT"/>
                  </w:rPr>
                  <w:t>Jauniūnų dujų kompresorių stotis (Jauniūnų DKS), esanti adresu Širvintų r. sav., Jauniūnų sen., Liukonių vs. 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2.10.4. </w:t>
                </w:r>
                <w:r>
                  <w:rPr>
                    <w:rFonts w:ascii="Times New Roman" w:hAnsi="Times New Roman" w:cs="Times New Roman"/>
                    <w:sz w:val="24"/>
                    <w:szCs w:val="24"/>
                    <w:lang w:eastAsia="lt-LT"/>
                  </w:rPr>
                  <w:t>Šakių dujų apskaitos stotis (Šakių DAS), esanti adresu Šakių r. sav., Šakių sen., Daugėliškių k., Kęstučio g. 77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2.10.5. </w:t>
                </w:r>
                <w:r>
                  <w:rPr>
                    <w:rFonts w:ascii="Times New Roman" w:hAnsi="Times New Roman" w:cs="Times New Roman"/>
                    <w:sz w:val="24"/>
                    <w:szCs w:val="24"/>
                    <w:lang w:eastAsia="lt-LT"/>
                  </w:rPr>
                  <w:t>Kiemėnų dujų apskaitos stotis (Kiemėnų DAS), esanti adresu Pasvalio r. sav.,  Namiškių sen., Kiemėnų k., Kiemėnų g. 71A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2.10.6. </w:t>
                </w:r>
                <w:r>
                  <w:rPr>
                    <w:rFonts w:ascii="Times New Roman" w:hAnsi="Times New Roman" w:cs="Times New Roman"/>
                    <w:sz w:val="24"/>
                    <w:szCs w:val="24"/>
                    <w:lang w:eastAsia="lt-LT"/>
                  </w:rPr>
                  <w:t>Santakos dujų apskaitos ir slėgio ribojimo stotis (Santakos DASRS), esanti adresu Marijampolės sav., Liudvinavo sen., Išlandžių k.</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15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41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Stacionarioji priešgaisrinė įranga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Geležinkelio cisternų pripylimo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Autocisternų pripylimo aikštelė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2.11.16. Gelžbetoninis tiltas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2.11.17. Elektros kabelių gelžbetoninė estakada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2.11.18. Pramoninės televizijos įranga ir linijos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0,4 kV ETL (iki gaisrinės)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2.11.20. Estakada per Burių gatvę</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Geležinkelio kelias, 9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El. jėgos, apšvietimo, signaliniai ir valdymo kabeliai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Vandens paruošimo ir kondensato valymo cechas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Šilumokaičių pastatas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Katilinė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Katilinės dyzelino ūkis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Išvalyto vandens rezervuaras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Sklendžių pastatas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geležinkelio kelias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2.12.13. Požeminis įvadinis elektros kabelis, kuris patiestas nuo ESO pastotės iki valstybės kontroliuojamo naftos terminalo, esančio Subačiaus gyvenvietėje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trPr>
              <w:trHeight w:val="14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lang w:eastAsia="lt-LT"/>
                  </w:rPr>
                  <w:t>2.14. Aerodromai pagal Vyriausybės nutarimu patvirtintą sąrašą</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esančios adresu: Oreivių g. 1, Paluknio k., Paluknio sen., Trakų r. </w:t>
                </w:r>
                <w:r>
                  <w:rPr>
                    <w:rFonts w:ascii="Times New Roman" w:hAnsi="Times New Roman" w:cs="Times New Roman"/>
                    <w:iCs/>
                    <w:sz w:val="24"/>
                    <w:szCs w:val="24"/>
                  </w:rPr>
                  <w:t xml:space="preserve">sav., </w:t>
                </w:r>
                <w:r>
                  <w:rPr>
                    <w:rFonts w:ascii="Times New Roman" w:hAnsi="Times New Roman" w:cs="Times New Roman"/>
                    <w:sz w:val="24"/>
                    <w:szCs w:val="24"/>
                  </w:rPr>
                  <w:t>asfaltbetonio kilimo ir tūpimo takas, peronas, orlaivių stovėjimo aikštelės, signaliniai riedėjimo tako žiburiai, vizualaus artėjimo tūptinės sistema, degalų saugykla su įpylimo įranga, orlaivių saugojimo angarai, inžineriniai tinklai</w:t>
                </w:r>
              </w:p>
            </w:tc>
          </w:tr>
          <w:tr>
            <w:trPr>
              <w:trHeight w:val="141"/>
            </w:trPr>
            <w:tc>
              <w:tcPr>
                <w:tcW w:w="232" w:type="pct"/>
                <w:vMerge/>
                <w:tcBorders>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tcPr>
              <w:p>
                <w:pPr>
                  <w:jc w:val="both"/>
                  <w:rPr>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lang w:eastAsia="lt-LT"/>
                  </w:rPr>
                  <w:t>2.14.2. Pociūnų aerodromo susisiekimo komunikacijos: kilimo ir tūpimo takas, esantis adresu: Pociūnų k., Prienų sen., Prienų r. sav., ir du gruntiniai takai, esantys adresu: Padangių g. 10, Pociūnų k., Prienų sen., Prienų r. sav.</w:t>
                </w:r>
              </w:p>
            </w:tc>
          </w:tr>
        </w:tbl>
        <w:p>
          <w:pPr>
            <w:jc w:val="center"/>
            <w:rPr>
              <w:szCs w:val="24"/>
            </w:rPr>
          </w:pPr>
        </w:p>
        <w:p>
          <w:pPr>
            <w:jc w:val="center"/>
            <w:rPr>
              <w:szCs w:val="24"/>
            </w:rPr>
          </w:pPr>
          <w:r>
            <w:rPr>
              <w:szCs w:val="24"/>
            </w:rPr>
            <w:t>___________________________</w:t>
          </w:r>
        </w:p>
        <w:p>
          <w:pPr>
            <w:tabs>
              <w:tab w:val="center" w:pos="-7800"/>
              <w:tab w:val="left" w:pos="6237"/>
              <w:tab w:val="right" w:pos="8306"/>
            </w:tabs>
            <w:rPr>
              <w:lang w:eastAsia="lt-LT"/>
            </w:rPr>
          </w:pPr>
        </w:p>
        <w:p>
          <w:pPr>
            <w:tabs>
              <w:tab w:val="center" w:pos="-7800"/>
              <w:tab w:val="left" w:pos="6237"/>
              <w:tab w:val="right" w:pos="8306"/>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78a0804fb711e9975f9c35aedfe438">
            <w:r w:rsidRPr="00532B9F">
              <w:rPr>
                <w:rFonts w:ascii="Times New Roman" w:eastAsia="MS Mincho" w:hAnsi="Times New Roman"/>
                <w:sz w:val="20"/>
                <w:i/>
                <w:iCs/>
                <w:color w:val="0000FF" w:themeColor="hyperlink"/>
                <w:u w:val="single"/>
              </w:rPr>
              <w:t>267</w:t>
            </w:r>
          </w:fldSimple>
          <w:r>
            <w:rPr>
              <w:rFonts w:ascii="Times New Roman" w:eastAsia="MS Mincho" w:hAnsi="Times New Roman"/>
              <w:sz w:val="20"/>
              <w:i/>
              <w:iCs/>
            </w:rPr>
            <w:t>,
2019-03-20,
paskelbta TAR 2019-03-26, i. k. 2019-04628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2641900ee311ebb74de75171d26d52">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2020-10-14,
paskelbta TAR 2020-10-15, i. k. 2020-21493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407a0a8c511ebbcbbc2971cdac3cb">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2021-04-28,
paskelbta TAR 2021-04-29, i. k. 2021-09045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7f230097fd11ed8df094f359a60216">
            <w:r w:rsidRPr="00532B9F">
              <w:rPr>
                <w:rFonts w:ascii="Times New Roman" w:eastAsia="MS Mincho" w:hAnsi="Times New Roman"/>
                <w:sz w:val="20"/>
                <w:i/>
                <w:iCs/>
                <w:color w:val="0000FF" w:themeColor="hyperlink"/>
                <w:u w:val="single"/>
              </w:rPr>
              <w:t>40</w:t>
            </w:r>
          </w:fldSimple>
          <w:r>
            <w:rPr>
              <w:rFonts w:ascii="Times New Roman" w:eastAsia="MS Mincho" w:hAnsi="Times New Roman"/>
              <w:sz w:val="20"/>
              <w:i/>
              <w:iCs/>
            </w:rPr>
            <w:t>,
2023-01-18,
paskelbta TAR 2023-01-19, i. k. 2023-00957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96b70e06711eead77e967e3995264">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2024-03-06,
paskelbta TAR 2024-03-12, i. k. 2024-04516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2b2e9048f511efbdaea558de59136c">
            <w:r w:rsidRPr="00532B9F">
              <w:rPr>
                <w:rFonts w:ascii="Times New Roman" w:eastAsia="MS Mincho" w:hAnsi="Times New Roman"/>
                <w:sz w:val="20"/>
                <w:i/>
                <w:iCs/>
                <w:color w:val="0000FF" w:themeColor="hyperlink"/>
                <w:u w:val="single"/>
              </w:rPr>
              <w:t>605</w:t>
            </w:r>
          </w:fldSimple>
          <w:r>
            <w:rPr>
              <w:rFonts w:ascii="Times New Roman" w:eastAsia="MS Mincho" w:hAnsi="Times New Roman"/>
              <w:sz w:val="20"/>
              <w:i/>
              <w:iCs/>
            </w:rPr>
            <w:t>,
2024-07-17,
paskelbta TAR 2024-07-23, i. k. 2024-13439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2af6295dc11efa605b9842742bf37">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2024-10-23,
paskelbta TAR 2024-10-29, i. k. 2024-18719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5096502f2811f180c9c618618421ed">
            <w:r w:rsidRPr="00532B9F">
              <w:rPr>
                <w:rFonts w:ascii="Times New Roman" w:eastAsia="MS Mincho" w:hAnsi="Times New Roman"/>
                <w:sz w:val="20"/>
                <w:i/>
                <w:iCs/>
                <w:color w:val="0000FF" w:themeColor="hyperlink"/>
                <w:u w:val="single"/>
              </w:rPr>
              <w:t>203</w:t>
            </w:r>
          </w:fldSimple>
          <w:r>
            <w:rPr>
              <w:rFonts w:ascii="Times New Roman" w:eastAsia="MS Mincho" w:hAnsi="Times New Roman"/>
              <w:sz w:val="20"/>
              <w:i/>
              <w:iCs/>
            </w:rPr>
            <w:t>,
2026-04-01,
paskelbta TAR 2026-04-03, i. k. 2026-05548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478a0804fb711e9975f9c35aedfe438">
            <w:r w:rsidRPr="00532B9F">
              <w:rPr>
                <w:rFonts w:ascii="Times New Roman" w:eastAsia="MS Mincho" w:hAnsi="Times New Roman"/>
                <w:sz w:val="20"/>
                <w:iCs/>
                <w:color w:val="0000FF" w:themeColor="hyperlink"/>
                <w:u w:val="single"/>
              </w:rPr>
              <w:t>267</w:t>
            </w:r>
          </w:fldSimple>
          <w:r>
            <w:rPr>
              <w:rFonts w:ascii="Times New Roman" w:eastAsia="MS Mincho" w:hAnsi="Times New Roman"/>
              <w:sz w:val="20"/>
              <w:iCs/>
            </w:rPr>
            <w:t>,
2019-03-20,
paskelbta TAR 2019-03-26, i. k. 2019-04628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2641900ee311ebb74de75171d26d52">
            <w:r w:rsidRPr="00532B9F">
              <w:rPr>
                <w:rFonts w:ascii="Times New Roman" w:eastAsia="MS Mincho" w:hAnsi="Times New Roman"/>
                <w:sz w:val="20"/>
                <w:iCs/>
                <w:color w:val="0000FF" w:themeColor="hyperlink"/>
                <w:u w:val="single"/>
              </w:rPr>
              <w:t>1122</w:t>
            </w:r>
          </w:fldSimple>
          <w:r>
            <w:rPr>
              <w:rFonts w:ascii="Times New Roman" w:eastAsia="MS Mincho" w:hAnsi="Times New Roman"/>
              <w:sz w:val="20"/>
              <w:iCs/>
            </w:rPr>
            <w:t>,
2020-10-14,
paskelbta TAR 2020-10-15, i. k. 2020-21493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0407a0a8c511ebbcbbc2971cdac3cb">
            <w:r w:rsidRPr="00532B9F">
              <w:rPr>
                <w:rFonts w:ascii="Times New Roman" w:eastAsia="MS Mincho" w:hAnsi="Times New Roman"/>
                <w:sz w:val="20"/>
                <w:iCs/>
                <w:color w:val="0000FF" w:themeColor="hyperlink"/>
                <w:u w:val="single"/>
              </w:rPr>
              <w:t>285</w:t>
            </w:r>
          </w:fldSimple>
          <w:r>
            <w:rPr>
              <w:rFonts w:ascii="Times New Roman" w:eastAsia="MS Mincho" w:hAnsi="Times New Roman"/>
              <w:sz w:val="20"/>
              <w:iCs/>
            </w:rPr>
            <w:t>,
2021-04-28,
paskelbta TAR 2021-04-29, i. k. 2021-09045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7f230097fd11ed8df094f359a60216">
            <w:r w:rsidRPr="00532B9F">
              <w:rPr>
                <w:rFonts w:ascii="Times New Roman" w:eastAsia="MS Mincho" w:hAnsi="Times New Roman"/>
                <w:sz w:val="20"/>
                <w:iCs/>
                <w:color w:val="0000FF" w:themeColor="hyperlink"/>
                <w:u w:val="single"/>
              </w:rPr>
              <w:t>40</w:t>
            </w:r>
          </w:fldSimple>
          <w:r>
            <w:rPr>
              <w:rFonts w:ascii="Times New Roman" w:eastAsia="MS Mincho" w:hAnsi="Times New Roman"/>
              <w:sz w:val="20"/>
              <w:iCs/>
            </w:rPr>
            <w:t>,
2023-01-18,
paskelbta TAR 2023-01-19, i. k. 2023-00957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1296b70e06711eead77e967e3995264">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2024-03-06,
paskelbta TAR 2024-03-12, i. k. 2024-04516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2b2e9048f511efbdaea558de59136c">
            <w:r w:rsidRPr="00532B9F">
              <w:rPr>
                <w:rFonts w:ascii="Times New Roman" w:eastAsia="MS Mincho" w:hAnsi="Times New Roman"/>
                <w:sz w:val="20"/>
                <w:iCs/>
                <w:color w:val="0000FF" w:themeColor="hyperlink"/>
                <w:u w:val="single"/>
              </w:rPr>
              <w:t>605</w:t>
            </w:r>
          </w:fldSimple>
          <w:r>
            <w:rPr>
              <w:rFonts w:ascii="Times New Roman" w:eastAsia="MS Mincho" w:hAnsi="Times New Roman"/>
              <w:sz w:val="20"/>
              <w:iCs/>
            </w:rPr>
            <w:t>,
2024-07-17,
paskelbta TAR 2024-07-23, i. k. 2024-13439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22af6295dc11efa605b9842742bf37">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2024-10-23,
paskelbta TAR 2024-10-29, i. k. 2024-18719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5096502f2811f180c9c618618421ed">
            <w:r w:rsidRPr="00532B9F">
              <w:rPr>
                <w:rFonts w:ascii="Times New Roman" w:eastAsia="MS Mincho" w:hAnsi="Times New Roman"/>
                <w:sz w:val="20"/>
                <w:iCs/>
                <w:color w:val="0000FF" w:themeColor="hyperlink"/>
                <w:u w:val="single"/>
              </w:rPr>
              <w:t>203</w:t>
            </w:r>
          </w:fldSimple>
          <w:r>
            <w:rPr>
              <w:rFonts w:ascii="Times New Roman" w:eastAsia="MS Mincho" w:hAnsi="Times New Roman"/>
              <w:sz w:val="20"/>
              <w:iCs/>
            </w:rPr>
            <w:t>,
2026-04-01,
paskelbta TAR 2026-04-03, i. k. 2026-05548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134" w:right="1134" w:bottom="1134" w:left="1134" w:header="709"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82"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14</w:t>
    </w:r>
    <w:r>
      <w:rPr>
        <w:rFonts w:ascii="Times New Roman" w:hAnsi="Times New Roman" w:cs="Times New Roman"/>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15</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8</w:t>
    </w:r>
    <w:r>
      <w:rPr>
        <w:rFonts w:ascii="Times New Roman" w:hAnsi="Times New Roman" w:cs="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8</w:t>
    </w:r>
    <w:r>
      <w:rPr>
        <w:rFonts w:ascii="Times New Roman" w:hAnsi="Times New Roman" w:cs="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13</w:t>
    </w:r>
    <w:r>
      <w:rPr>
        <w:rFonts w:ascii="Times New Roman" w:hAnsi="Times New Roman" w:cs="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9153"/>
    <o:shapelayout v:ext="edit">
      <o:idmap v:ext="edit" data="1"/>
    </o:shapelayout>
  </w:shapeDefaults>
  <w:decimalSymbol w:val=","/>
  <w:listSeparator w:val=";"/>
  <w15:docId w15:val="{98F0F76F-2406-4AA6-BFA4-5E0F0F896C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31.xml"/>
  <Relationship Id="rId16" Type="http://schemas.openxmlformats.org/officeDocument/2006/relationships/header" Target="header32.xml"/>
  <Relationship Id="rId17" Type="http://schemas.openxmlformats.org/officeDocument/2006/relationships/footer" Target="footer31.xml"/>
  <Relationship Id="rId18" Type="http://schemas.openxmlformats.org/officeDocument/2006/relationships/footer" Target="footer32.xml"/>
  <Relationship Id="rId19" Type="http://schemas.openxmlformats.org/officeDocument/2006/relationships/header" Target="header33.xml"/>
  <Relationship Id="rId2" Type="http://schemas.openxmlformats.org/officeDocument/2006/relationships/fontTable" Target="fontTable.xml"/>
  <Relationship Id="rId20" Type="http://schemas.openxmlformats.org/officeDocument/2006/relationships/footer" Target="footer33.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 w:val="00534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E18262"/>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c6f261ddba4c7184b90c956b58b383" PartId="17f48cdf7b014c74adf2d88aba890c20">
    <Part Type="preambule" DocPartId="0dda226f453f40da8e00285127b4653c" PartId="710ece42ac8e49b5a9da62663a0468ac"/>
    <Part Type="pastraipa" DocPartId="46c40cd945df4a159461cb1ccf6503e1" PartId="c22144e1c5134b89bc1d2280d403d92c"/>
    <Part Type="signatura" DocPartId="ae228b8fbfa446f0bd4b82adedb741b6" PartId="4b25f0ac30e945bf80b4829fd7a3eed2"/>
  </Part>
  <Part Type="patvirtinta" Title="KONKREČIŲ NACIONALINIAM SAUGUMUI UŽTIKRINTI SVARBIŲ ĮRENGINIŲ IR TURTO SĄRAŠAS" DocPartId="01f43013352c426b9a4b4130f71ae8b7" PartId="39f8845bcdbe4370887fa9415a9e08d9"/>
</Parts>
</file>

<file path=customXml/itemProps1.xml><?xml version="1.0" encoding="utf-8"?>
<ds:datastoreItem xmlns:ds="http://schemas.openxmlformats.org/officeDocument/2006/customXml" ds:itemID="{4F3A2FD3-E5D7-42F0-82AA-E576A2D69C2B}">
  <ds:schemaRefs>
    <ds:schemaRef ds:uri="http://lrs.lt/TAIS/DocParts"/>
  </ds:schemaRefs>
</ds:datastoreItem>
</file>

<file path=docProps/app.xml><?xml version="1.0" encoding="utf-8"?>
<Properties xmlns="http://schemas.openxmlformats.org/officeDocument/2006/extended-properties">
  <Template>Normal.dotm</Template>
  <TotalTime>105</TotalTime>
  <Pages>31</Pages>
  <Words>6922</Words>
  <Characters>49768</Characters>
  <Application>Microsoft Office Word</Application>
  <DocSecurity>0</DocSecurity>
  <Lines>414</Lines>
  <Paragraphs>113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56577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2018-06-11T10:52:00Z</dcterms:created>
  <dc:creator>lrvk</dc:creator>
  <lastModifiedBy>JŪRĖNIENĖ Jolanta</lastModifiedBy>
  <lastPrinted>2017-06-01T05:28:00Z</lastPrinted>
  <dcterms:modified xsi:type="dcterms:W3CDTF">2026-04-08T13:34:00Z</dcterms:modified>
  <revision>33</revision>
</coreProperties>
</file>