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74953ea96ae4a5a980f3e388acf83a7"/>
        <w:lock w:val="sdtLocked"/>
        <w:richText/>
      </w:sdtPr>
      <w:sdtContent>
        <w:p>
          <w:pPr>
            <w:jc w:val="both"/>
            <w:rPr>
              <w:rFonts w:ascii="Times New Roman" w:hAnsi="Times New Roman"/>
            </w:rPr>
          </w:pPr>
          <w:r>
            <w:rPr>
              <w:rFonts w:ascii="Times New Roman" w:hAnsi="Times New Roman"/>
              <w:b/>
              <w:i/>
            </w:rPr>
            <w:t>Suvestinė redakcija nuo 2026-04-23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2025-05-21, i. k. 2025-08957</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b/>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2.7pt" o:ole="" fillcolor="window">
                <v:imagedata r:id="rId9" o:title=""/>
              </v:shape>
              <o:OLEObject Type="Embed" ProgID="Word.Picture.8" ShapeID="_x0000_i1025" DrawAspect="Content" ObjectID="_0000000001" r:id="rId10"/>
            </w:object>
          </w:r>
        </w:p>
        <w:p>
          <w:pPr>
            <w:tabs>
              <w:tab w:val="center" w:pos="4153"/>
              <w:tab w:val="right" w:pos="8306"/>
            </w:tabs>
            <w:jc w:val="center"/>
            <w:rPr>
              <w:b/>
              <w:szCs w:val="24"/>
            </w:rPr>
          </w:pP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tabs>
              <w:tab w:val="center" w:pos="4153"/>
              <w:tab w:val="right" w:pos="8306"/>
            </w:tabs>
            <w:jc w:val="center"/>
            <w:rPr>
              <w:b/>
              <w:caps/>
              <w:color w:val="000000"/>
              <w:sz w:val="22"/>
              <w:szCs w:val="22"/>
            </w:rPr>
          </w:pPr>
          <w:r>
            <w:rPr>
              <w:b/>
              <w:bCs/>
              <w:caps/>
              <w:color w:val="000000"/>
              <w:szCs w:val="24"/>
            </w:rPr>
            <w:t xml:space="preserve">DĖL LIETUVOS NACIONALINĖS SVEIKATOS SISTEMOS VIEŠŲJŲ IR BIUDŽETINIŲ ĮSTAIGŲ, TEIKIANČIŲ ASMENS SVEIKATOS PRIEŽIŪROS PASLAUGAS, VEIKLOS REZULTATŲ VERTINIMO RODIKLIŲ 2025 METŲ SIEKTINŲ REIKŠMIŲ ir </w:t>
          </w:r>
          <w:r>
            <w:rPr>
              <w:b/>
              <w:caps/>
              <w:color w:val="000000"/>
              <w:szCs w:val="22"/>
            </w:rPr>
            <w:t>LIETUVOS NACIONALINĖS SVEIKATOS SISTEMOS VIEŠŲJŲ ĮSTAIGŲ Vadovų ir jų pavaduotojų MĖNESINIO DARBO UŽMOKESČIO KINTAMOSIOS DALIES DYDŽIO NUSTATYMO TVARKOS APRAŠo</w:t>
          </w:r>
        </w:p>
        <w:p>
          <w:pPr>
            <w:jc w:val="center"/>
            <w:rPr>
              <w:b/>
              <w:caps/>
              <w:szCs w:val="24"/>
            </w:rPr>
          </w:pPr>
          <w:r>
            <w:rPr>
              <w:b/>
              <w:caps/>
              <w:szCs w:val="24"/>
            </w:rPr>
            <w:t>PATVIRTINIMO</w:t>
          </w:r>
        </w:p>
        <w:p>
          <w:pPr>
            <w:rPr>
              <w:szCs w:val="24"/>
            </w:rPr>
          </w:pPr>
        </w:p>
        <w:p>
          <w:pPr>
            <w:rPr>
              <w:szCs w:val="24"/>
            </w:rPr>
          </w:pPr>
        </w:p>
        <w:p>
          <w:pPr>
            <w:jc w:val="center"/>
            <w:rPr>
              <w:bCs/>
              <w:szCs w:val="24"/>
            </w:rPr>
          </w:pPr>
          <w:r>
            <w:rPr>
              <w:bCs/>
              <w:szCs w:val="24"/>
            </w:rPr>
            <w:t>2025 m. gegužės 21 d. Nr. V-482</w:t>
          </w:r>
        </w:p>
        <w:p>
          <w:pPr>
            <w:jc w:val="center"/>
            <w:rPr>
              <w:bCs/>
              <w:szCs w:val="24"/>
            </w:rPr>
          </w:pPr>
          <w:r>
            <w:rPr>
              <w:bCs/>
              <w:szCs w:val="24"/>
            </w:rPr>
            <w:t>Vilnius</w:t>
          </w:r>
        </w:p>
        <w:p>
          <w:pPr>
            <w:ind w:firstLine="567"/>
            <w:rPr>
              <w:bCs/>
              <w:szCs w:val="24"/>
            </w:rPr>
          </w:pPr>
        </w:p>
        <w:sdt>
          <w:sdtPr>
            <w:alias w:val="preambule"/>
            <w:tag w:val="part_eb1208197d2e489bb96171c689e8039c"/>
            <w:lock w:val="sdtLocked"/>
            <w:richText/>
          </w:sdtPr>
          <w:sdtContent>
            <w:p>
              <w:pPr>
                <w:ind w:firstLine="567"/>
                <w:jc w:val="both"/>
                <w:rPr>
                  <w:bCs/>
                  <w:szCs w:val="24"/>
                </w:rPr>
              </w:pPr>
              <w:r>
                <w:rPr>
                  <w:bCs/>
                  <w:szCs w:val="24"/>
                </w:rPr>
                <w:t>Vadovaudamasi Lietuvos Respublikos sveikatos priežiūros įstaigų įstatymo 15</w:t>
              </w:r>
              <w:r>
                <w:rPr>
                  <w:bCs/>
                  <w:szCs w:val="24"/>
                  <w:vertAlign w:val="superscript"/>
                </w:rPr>
                <w:t>1</w:t>
              </w:r>
              <w:r>
                <w:rPr>
                  <w:bCs/>
                  <w:szCs w:val="24"/>
                </w:rPr>
                <w:t xml:space="preserve"> straipsnio 10 dalimi ir 15</w:t>
              </w:r>
              <w:r>
                <w:rPr>
                  <w:bCs/>
                  <w:szCs w:val="24"/>
                  <w:vertAlign w:val="superscript"/>
                </w:rPr>
                <w:t>2</w:t>
              </w:r>
              <w:r>
                <w:rPr>
                  <w:bCs/>
                  <w:szCs w:val="24"/>
                </w:rPr>
                <w:t xml:space="preserve"> straipsnio 1 dalimi:</w:t>
              </w:r>
            </w:p>
          </w:sdtContent>
        </w:sdt>
        <w:sdt>
          <w:sdtPr>
            <w:alias w:val="1 p."/>
            <w:tag w:val="part_ac76b4e688c7466faddd0e0d06b19483"/>
            <w:lock w:val="sdtLocked"/>
            <w:richText/>
          </w:sdtPr>
          <w:sdtContent>
            <w:p>
              <w:pPr>
                <w:ind w:firstLine="567"/>
                <w:jc w:val="both"/>
                <w:textAlignment w:val="center"/>
                <w:rPr>
                  <w:color w:val="000000"/>
                  <w:szCs w:val="24"/>
                  <w:lang w:eastAsia="lt-LT"/>
                </w:rPr>
              </w:pPr>
              <w:sdt>
                <w:sdtPr>
                  <w:alias w:val="Numeris"/>
                  <w:tag w:val="nr_ac76b4e688c7466faddd0e0d06b19483"/>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Tvirtinu</w:t>
              </w:r>
              <w:r>
                <w:rPr>
                  <w:color w:val="000000"/>
                  <w:szCs w:val="24"/>
                  <w:lang w:eastAsia="lt-LT"/>
                </w:rPr>
                <w:t xml:space="preserve"> pridedamus:</w:t>
              </w:r>
            </w:p>
            <w:sdt>
              <w:sdtPr>
                <w:alias w:val="1.1 pp."/>
                <w:tag w:val="part_8a137eb75e7d444086efdcd10ccb2ba3"/>
                <w:lock w:val="sdtLocked"/>
                <w:richText/>
              </w:sdtPr>
              <w:sdtContent>
                <w:p>
                  <w:pPr>
                    <w:ind w:firstLine="567"/>
                    <w:jc w:val="both"/>
                    <w:textAlignment w:val="center"/>
                    <w:rPr>
                      <w:bCs/>
                      <w:color w:val="000000"/>
                      <w:szCs w:val="24"/>
                    </w:rPr>
                  </w:pPr>
                  <w:sdt>
                    <w:sdtPr>
                      <w:alias w:val="Numeris"/>
                      <w:tag w:val="nr_8a137eb75e7d444086efdcd10ccb2ba3"/>
                      <w:lock w:val="sdtLocked"/>
                      <w:richText/>
                    </w:sdtPr>
                    <w:sdtContent>
                      <w:r>
                        <w:rPr>
                          <w:color w:val="000000"/>
                          <w:szCs w:val="24"/>
                          <w:lang w:eastAsia="lt-LT"/>
                        </w:rPr>
                        <w:t>1.1</w:t>
                      </w:r>
                    </w:sdtContent>
                  </w:sdt>
                  <w:r>
                    <w:rPr>
                      <w:color w:val="000000"/>
                      <w:szCs w:val="24"/>
                      <w:lang w:eastAsia="lt-LT"/>
                    </w:rPr>
                    <w:t>. L</w:t>
                  </w:r>
                  <w:r>
                    <w:rPr>
                      <w:bCs/>
                      <w:color w:val="000000"/>
                      <w:szCs w:val="24"/>
                    </w:rPr>
                    <w:t>ietuvos nacionalinės sveikatos sistemos viešųjų ir biudžetinių įstaigų, teikiančių asmens sveikatos priežiūros paslaugas, veiklos rezultatų vertinimo rodiklių 2025 metų siektinų reikšmių sąrašą.</w:t>
                  </w:r>
                </w:p>
              </w:sdtContent>
            </w:sdt>
            <w:sdt>
              <w:sdtPr>
                <w:alias w:val="1.2 pp."/>
                <w:tag w:val="part_237c9e38fc844c1cb3f970e4f6438c5a"/>
                <w:lock w:val="sdtLocked"/>
                <w:richText/>
              </w:sdtPr>
              <w:sdtContent>
                <w:p>
                  <w:pPr>
                    <w:ind w:firstLine="567"/>
                    <w:jc w:val="both"/>
                    <w:textAlignment w:val="center"/>
                    <w:rPr>
                      <w:bCs/>
                      <w:color w:val="000000"/>
                      <w:szCs w:val="24"/>
                    </w:rPr>
                  </w:pPr>
                  <w:sdt>
                    <w:sdtPr>
                      <w:alias w:val="Numeris"/>
                      <w:tag w:val="nr_237c9e38fc844c1cb3f970e4f6438c5a"/>
                      <w:lock w:val="sdtLocked"/>
                      <w:richText/>
                    </w:sdtPr>
                    <w:sdtContent>
                      <w:r>
                        <w:rPr>
                          <w:bCs/>
                          <w:color w:val="000000"/>
                          <w:szCs w:val="24"/>
                        </w:rPr>
                        <w:t>1.2</w:t>
                      </w:r>
                    </w:sdtContent>
                  </w:sdt>
                  <w:r>
                    <w:rPr>
                      <w:bCs/>
                      <w:color w:val="000000"/>
                      <w:szCs w:val="24"/>
                    </w:rPr>
                    <w:t>. Lietuvos nacionalinės sveikatos sistemos viešųjų įstaigų vadovų ir jų pavaduotojų mėnesinio darbo užmokesčio kintamosios dalies dydžio nustatymo tvarkos aprašą.</w:t>
                  </w:r>
                </w:p>
              </w:sdtContent>
            </w:sdt>
          </w:sdtContent>
        </w:sdt>
        <w:sdt>
          <w:sdtPr>
            <w:alias w:val="2 p."/>
            <w:tag w:val="part_74a88b7f02134f1c96139700ac0e5aa0"/>
            <w:lock w:val="sdtLocked"/>
            <w:richText/>
          </w:sdtPr>
          <w:sdtContent>
            <w:p>
              <w:pPr>
                <w:ind w:firstLine="567"/>
                <w:jc w:val="both"/>
                <w:textAlignment w:val="center"/>
                <w:rPr>
                  <w:rFonts w:ascii="Calibri" w:eastAsia="Calibri" w:hAnsi="Calibri"/>
                  <w:sz w:val="22"/>
                  <w:szCs w:val="22"/>
                </w:rPr>
              </w:pPr>
              <w:sdt>
                <w:sdtPr>
                  <w:alias w:val="Numeris"/>
                  <w:tag w:val="nr_74a88b7f02134f1c96139700ac0e5aa0"/>
                  <w:lock w:val="sdtLocked"/>
                  <w:richText/>
                </w:sdtPr>
                <w:sdtContent>
                  <w:r>
                    <w:rPr>
                      <w:bCs/>
                      <w:color w:val="000000"/>
                      <w:szCs w:val="24"/>
                    </w:rPr>
                    <w:t>2</w:t>
                  </w:r>
                </w:sdtContent>
              </w:sdt>
              <w:r>
                <w:rPr>
                  <w:bCs/>
                  <w:color w:val="000000"/>
                  <w:szCs w:val="24"/>
                </w:rPr>
                <w:t>.</w:t>
              </w:r>
              <w:r>
                <w:rPr>
                  <w:bCs/>
                  <w:color w:val="000000"/>
                  <w:spacing w:val="60"/>
                  <w:szCs w:val="24"/>
                </w:rPr>
                <w:t xml:space="preserve"> Nustatau</w:t>
              </w:r>
              <w:r>
                <w:rPr>
                  <w:bCs/>
                  <w:color w:val="000000"/>
                  <w:szCs w:val="24"/>
                </w:rPr>
                <w:t xml:space="preserve">, kad šio įsakymo 1.2 papunkčiu patvirtintas Lietuvos nacionalinės sveikatos sistemos viešųjų įstaigų vadovų ir jų pavaduotojų mėnesinio darbo užmokesčio kintamosios dalies dydžio nustatymo tvarkos aprašas taikomas atliekant </w:t>
              </w:r>
              <w:r>
                <w:rPr>
                  <w:color w:val="000000"/>
                  <w:szCs w:val="24"/>
                  <w:lang w:eastAsia="lt-LT"/>
                </w:rPr>
                <w:t>L</w:t>
              </w:r>
              <w:r>
                <w:rPr>
                  <w:bCs/>
                  <w:color w:val="000000"/>
                  <w:szCs w:val="24"/>
                </w:rPr>
                <w:t>ietuvos nacionalinės sveikatos sistemos viešųjų ir biudžetinių įstaigų, teikiančių asmens sveikatos priežiūros paslaugas, veiklos rezultatų vertinimo rodiklių 2025 metų siektinų reikšmių įvykdymo vertinimą 2026 metais.</w:t>
              </w:r>
            </w:p>
            <w:p>
              <w:pPr>
                <w:jc w:val="both"/>
                <w:rPr>
                  <w:szCs w:val="24"/>
                </w:rPr>
              </w:pPr>
            </w:p>
          </w:sdtContent>
        </w:sdt>
        <w:sdt>
          <w:sdtPr>
            <w:alias w:val="signatura"/>
            <w:tag w:val="part_5acb342ac87a4e79858c57082f72bc01"/>
            <w:lock w:val="sdtLocked"/>
            <w:richText/>
          </w:sdtPr>
          <w:sdtContent>
            <w:p>
              <w:pPr>
                <w:jc w:val="both"/>
              </w:pPr>
            </w:p>
            <w:p>
              <w:pPr>
                <w:jc w:val="both"/>
              </w:pPr>
            </w:p>
            <w:p>
              <w:pPr>
                <w:jc w:val="both"/>
              </w:pPr>
              <w:r>
                <w:rPr>
                  <w:szCs w:val="24"/>
                </w:rPr>
                <w:t>Sveikatos apsaugos ministrė</w:t>
                <w:tab/>
                <w:tab/>
                <w:tab/>
                <w:tab/>
                <w:tab/>
                <w:t xml:space="preserve">    </w:t>
                <w:tab/>
                <w:t xml:space="preserve"> </w:t>
                <w:tab/>
                <w:t xml:space="preserve">    Marija Jakubauskienė</w:t>
              </w:r>
            </w:p>
            <w:p>
              <w:pPr>
                <w:ind w:left="-142" w:right="-456" w:firstLine="709"/>
                <w:jc w:val="both"/>
              </w:pPr>
            </w:p>
          </w:sdtContent>
        </w:sdt>
      </w:sdtContent>
    </w:sdt>
    <w:sdt>
      <w:sdtPr>
        <w:alias w:val="patvirtinta"/>
        <w:tag w:val="part_be416ddc0ec54400add4118058a2b7eb"/>
        <w:lock w:val="sdtLocked"/>
        <w:richText/>
      </w:sdtPr>
      <w:sdtContent>
        <w:p>
          <w:pPr>
            <w:tabs>
              <w:tab w:val="center" w:pos="4819"/>
              <w:tab w:val="right" w:pos="9638"/>
            </w:tabs>
            <w:ind w:firstLine="3969"/>
            <w:jc w:val="both"/>
            <w:sectPr>
              <w:headerReference w:type="even" r:id="rId11"/>
              <w:headerReference w:type="default" r:id="rId12"/>
              <w:footerReference w:type="even" r:id="rId13"/>
              <w:footerReference w:type="default" r:id="rId14"/>
              <w:headerReference w:type="first" r:id="rId15"/>
              <w:footerReference w:type="first" r:id="rId16"/>
              <w:pgSz w:w="11906" w:h="16838" w:code="9"/>
              <w:pgMar w:top="851" w:right="567" w:bottom="1134" w:left="1701" w:header="1134" w:footer="1134" w:gutter="0"/>
              <w:cols w:space="720"/>
              <w:titlePg/>
            </w:sectPr>
          </w:pPr>
        </w:p>
        <w:p>
          <w:pPr>
            <w:tabs>
              <w:tab w:val="center" w:pos="4819"/>
              <w:tab w:val="right" w:pos="9638"/>
            </w:tabs>
            <w:ind w:firstLine="3969"/>
            <w:jc w:val="both"/>
            <w:rPr>
              <w:szCs w:val="24"/>
            </w:rPr>
          </w:pPr>
          <w:r>
            <w:rPr>
              <w:szCs w:val="24"/>
            </w:rPr>
            <w:t>PATVIRTINTA</w:t>
          </w:r>
        </w:p>
        <w:p>
          <w:pPr>
            <w:tabs>
              <w:tab w:val="center" w:pos="4153"/>
              <w:tab w:val="right" w:pos="8306"/>
            </w:tabs>
            <w:ind w:firstLine="3969"/>
            <w:rPr>
              <w:szCs w:val="24"/>
            </w:rPr>
          </w:pPr>
          <w:r>
            <w:rPr>
              <w:szCs w:val="24"/>
            </w:rPr>
            <w:t xml:space="preserve">Lietuvos Respublikos sveikatos apsaugos ministro </w:t>
          </w:r>
        </w:p>
        <w:p>
          <w:pPr>
            <w:tabs>
              <w:tab w:val="center" w:pos="4153"/>
              <w:tab w:val="right" w:pos="8306"/>
            </w:tabs>
            <w:ind w:firstLine="3969"/>
            <w:rPr>
              <w:szCs w:val="24"/>
            </w:rPr>
          </w:pPr>
          <w:r>
            <w:rPr>
              <w:szCs w:val="24"/>
            </w:rPr>
            <w:t>2025 m. gegužės 21 d. įsakymu Nr. V-482</w:t>
          </w:r>
        </w:p>
        <w:p/>
        <w:p>
          <w:pPr>
            <w:tabs>
              <w:tab w:val="center" w:pos="4153"/>
              <w:tab w:val="right" w:pos="8306"/>
            </w:tabs>
            <w:jc w:val="center"/>
            <w:rPr>
              <w:b/>
              <w:caps/>
              <w:color w:val="000000"/>
              <w:sz w:val="22"/>
              <w:szCs w:val="22"/>
            </w:rPr>
          </w:pPr>
          <w:sdt>
            <w:sdtPr>
              <w:alias w:val="Pavadinimas"/>
              <w:tag w:val="title_be416ddc0ec54400add4118058a2b7eb"/>
              <w:lock w:val="sdtLocked"/>
              <w:richText/>
            </w:sdtPr>
            <w:sdtContent>
              <w:r>
                <w:rPr>
                  <w:b/>
                  <w:caps/>
                  <w:color w:val="000000"/>
                  <w:szCs w:val="22"/>
                </w:rPr>
                <w:t>LIETUVOS NACIONALINĖS SVEIKATOS SISTEMOS VIEŠŲJŲ ĮSTAIGŲ Vadovų ir jų pavaduotojų MĖNESINIO DARBO UŽMOKESČIO KINTAMOSIOS DALIES DYDŽIO NUSTATYMO TVARKOS APRAŠAS</w:t>
              </w:r>
            </w:sdtContent>
          </w:sdt>
        </w:p>
        <w:p>
          <w:pPr>
            <w:rPr>
              <w:sz w:val="14"/>
              <w:szCs w:val="14"/>
            </w:rPr>
          </w:pPr>
        </w:p>
        <w:p>
          <w:pPr>
            <w:tabs>
              <w:tab w:val="center" w:pos="4153"/>
              <w:tab w:val="right" w:pos="8306"/>
            </w:tabs>
            <w:jc w:val="center"/>
            <w:rPr>
              <w:b/>
              <w:caps/>
              <w:color w:val="000000"/>
              <w:szCs w:val="22"/>
            </w:rPr>
          </w:pPr>
        </w:p>
        <w:sdt>
          <w:sdtPr>
            <w:alias w:val="skyrius"/>
            <w:tag w:val="part_363e156384c84699aec0356cd5eee501"/>
            <w:lock w:val="sdtLocked"/>
            <w:richText/>
          </w:sdtPr>
          <w:sdtContent>
            <w:p>
              <w:pPr>
                <w:tabs>
                  <w:tab w:val="center" w:pos="4153"/>
                  <w:tab w:val="right" w:pos="8306"/>
                </w:tabs>
                <w:jc w:val="center"/>
                <w:rPr>
                  <w:b/>
                  <w:caps/>
                  <w:color w:val="000000"/>
                  <w:szCs w:val="22"/>
                </w:rPr>
              </w:pPr>
              <w:sdt>
                <w:sdtPr>
                  <w:alias w:val="Numeris"/>
                  <w:tag w:val="nr_363e156384c84699aec0356cd5eee501"/>
                  <w:lock w:val="sdtLocked"/>
                  <w:richText/>
                </w:sdtPr>
                <w:sdtContent>
                  <w:r>
                    <w:rPr>
                      <w:b/>
                      <w:caps/>
                      <w:color w:val="000000"/>
                      <w:szCs w:val="22"/>
                    </w:rPr>
                    <w:t>I</w:t>
                  </w:r>
                </w:sdtContent>
              </w:sdt>
              <w:r>
                <w:rPr>
                  <w:b/>
                  <w:caps/>
                  <w:color w:val="000000"/>
                  <w:szCs w:val="22"/>
                </w:rPr>
                <w:t xml:space="preserve"> SKYRIUS</w:t>
              </w:r>
            </w:p>
            <w:p>
              <w:pPr>
                <w:tabs>
                  <w:tab w:val="center" w:pos="4153"/>
                  <w:tab w:val="right" w:pos="8306"/>
                </w:tabs>
                <w:jc w:val="center"/>
                <w:rPr>
                  <w:b/>
                  <w:caps/>
                  <w:color w:val="000000"/>
                  <w:szCs w:val="22"/>
                </w:rPr>
              </w:pPr>
              <w:sdt>
                <w:sdtPr>
                  <w:alias w:val="Pavadinimas"/>
                  <w:tag w:val="title_363e156384c84699aec0356cd5eee501"/>
                  <w:lock w:val="sdtLocked"/>
                  <w:richText/>
                </w:sdtPr>
                <w:sdtContent>
                  <w:r>
                    <w:rPr>
                      <w:b/>
                      <w:caps/>
                      <w:color w:val="000000"/>
                      <w:szCs w:val="22"/>
                    </w:rPr>
                    <w:t>BENDROSIOS NUOSTATOS</w:t>
                  </w:r>
                </w:sdtContent>
              </w:sdt>
            </w:p>
            <w:p>
              <w:pPr>
                <w:tabs>
                  <w:tab w:val="center" w:pos="4153"/>
                  <w:tab w:val="right" w:pos="8306"/>
                </w:tabs>
                <w:rPr>
                  <w:b/>
                  <w:caps/>
                  <w:color w:val="000000"/>
                  <w:szCs w:val="22"/>
                </w:rPr>
              </w:pPr>
            </w:p>
            <w:sdt>
              <w:sdtPr>
                <w:alias w:val="1 p."/>
                <w:tag w:val="part_a98c48b0a63147d2a7d0ddd194aed6ea"/>
                <w:lock w:val="sdtLocked"/>
                <w:richText/>
              </w:sdtPr>
              <w:sdtContent>
                <w:p>
                  <w:pPr>
                    <w:tabs>
                      <w:tab w:val="center" w:pos="4153"/>
                      <w:tab w:val="right" w:pos="8306"/>
                    </w:tabs>
                    <w:ind w:firstLine="567"/>
                    <w:jc w:val="both"/>
                    <w:rPr>
                      <w:color w:val="000000"/>
                      <w:szCs w:val="22"/>
                    </w:rPr>
                  </w:pPr>
                  <w:sdt>
                    <w:sdtPr>
                      <w:alias w:val="Numeris"/>
                      <w:tag w:val="nr_a98c48b0a63147d2a7d0ddd194aed6ea"/>
                      <w:lock w:val="sdtLocked"/>
                      <w:richText/>
                    </w:sdtPr>
                    <w:sdtContent>
                      <w:r>
                        <w:rPr>
                          <w:color w:val="000000"/>
                          <w:szCs w:val="22"/>
                        </w:rPr>
                        <w:t>1</w:t>
                      </w:r>
                    </w:sdtContent>
                  </w:sdt>
                  <w:r>
                    <w:rPr>
                      <w:color w:val="000000"/>
                      <w:szCs w:val="22"/>
                    </w:rPr>
                    <w:t>. Lietuvos nacionalinės sveikatos sistemos</w:t>
                  </w:r>
                  <w:r>
                    <w:rPr>
                      <w:caps/>
                      <w:color w:val="000000"/>
                      <w:szCs w:val="22"/>
                    </w:rPr>
                    <w:t xml:space="preserve"> </w:t>
                  </w:r>
                  <w:r>
                    <w:rPr>
                      <w:color w:val="000000"/>
                      <w:szCs w:val="22"/>
                    </w:rPr>
                    <w:t>viešųjų įstaigų</w:t>
                  </w:r>
                  <w:r>
                    <w:rPr>
                      <w:caps/>
                      <w:color w:val="000000"/>
                      <w:szCs w:val="22"/>
                    </w:rPr>
                    <w:t xml:space="preserve"> </w:t>
                  </w:r>
                  <w:r>
                    <w:rPr>
                      <w:color w:val="000000"/>
                      <w:szCs w:val="22"/>
                    </w:rPr>
                    <w:t>vadovų ir jų pavaduotojų mėnesinio darbo užmokesčio kintamosios dalies dydžio nustatymo tvarkos aprašas (toliau – Aprašas) nustato Lietuvos nacionalinės sveikatos sistemos (toliau – LNSS) valstybės ir savivaldybių viešųjų įstaigų vadovų ir jų pavaduotojų (toliau – vadovaujantieji darbuotojai) mėnesinio darbo užmokesčio kintamosios dalies dydžio nustatymo tvarką.</w:t>
                  </w:r>
                </w:p>
              </w:sdtContent>
            </w:sdt>
            <w:sdt>
              <w:sdtPr>
                <w:alias w:val="2 p."/>
                <w:tag w:val="part_497acd65cb9641ed8c442c4eb84af14c"/>
                <w:lock w:val="sdtLocked"/>
                <w:richText/>
              </w:sdtPr>
              <w:sdtContent>
                <w:p>
                  <w:pPr>
                    <w:tabs>
                      <w:tab w:val="center" w:pos="4153"/>
                      <w:tab w:val="right" w:pos="8306"/>
                    </w:tabs>
                    <w:ind w:firstLine="567"/>
                    <w:jc w:val="both"/>
                    <w:rPr>
                      <w:b/>
                      <w:caps/>
                      <w:color w:val="000000"/>
                      <w:szCs w:val="22"/>
                    </w:rPr>
                  </w:pPr>
                  <w:sdt>
                    <w:sdtPr>
                      <w:alias w:val="Numeris"/>
                      <w:tag w:val="nr_497acd65cb9641ed8c442c4eb84af14c"/>
                      <w:lock w:val="sdtLocked"/>
                      <w:richText/>
                    </w:sdtPr>
                    <w:sdtContent>
                      <w:r>
                        <w:rPr>
                          <w:caps/>
                          <w:color w:val="000000"/>
                          <w:szCs w:val="22"/>
                        </w:rPr>
                        <w:t>2</w:t>
                      </w:r>
                    </w:sdtContent>
                  </w:sdt>
                  <w:r>
                    <w:rPr>
                      <w:caps/>
                      <w:color w:val="000000"/>
                      <w:szCs w:val="22"/>
                    </w:rPr>
                    <w:t xml:space="preserve">. </w:t>
                  </w:r>
                  <w:r>
                    <w:rPr>
                      <w:szCs w:val="24"/>
                    </w:rPr>
                    <w:t xml:space="preserve">Apskaičiuojant LNSS viešųjų įstaigų vadovaujančiųjų darbuotojų mėnesinio darbo užmokesčio kintamosios dalies dydį taikomos Lietuvos Respublikos sveikatos apsaugos ministro kasmet tvirtinamos LNSS viešųjų įstaigų ir LNSS </w:t>
                  </w:r>
                  <w:r>
                    <w:rPr>
                      <w:color w:val="000000"/>
                      <w:szCs w:val="22"/>
                    </w:rPr>
                    <w:t xml:space="preserve">valstybės ir savivaldybių </w:t>
                  </w:r>
                  <w:r>
                    <w:rPr>
                      <w:szCs w:val="24"/>
                    </w:rPr>
                    <w:t>biudžetinių įstaigų, teikiančių asmens sveikatos priežiūros paslaugas, veiklos rezultatų vertinimo rodiklių (toliau – rodiklis) siektinos reikšmės (toliau – siektina reikšmė).</w:t>
                  </w:r>
                </w:p>
              </w:sdtContent>
            </w:sdt>
            <w:sdt>
              <w:sdtPr>
                <w:alias w:val="3 p."/>
                <w:tag w:val="part_ed9ad39774644ff9b896b7aee29c9e5b"/>
                <w:lock w:val="sdtLocked"/>
                <w:richText/>
              </w:sdtPr>
              <w:sdtContent>
                <w:p>
                  <w:pPr>
                    <w:ind w:firstLine="567"/>
                    <w:jc w:val="both"/>
                    <w:rPr>
                      <w:szCs w:val="22"/>
                    </w:rPr>
                  </w:pPr>
                  <w:sdt>
                    <w:sdtPr>
                      <w:alias w:val="Numeris"/>
                      <w:tag w:val="nr_ed9ad39774644ff9b896b7aee29c9e5b"/>
                      <w:lock w:val="sdtLocked"/>
                      <w:richText/>
                    </w:sdtPr>
                    <w:sdtContent>
                      <w:r>
                        <w:rPr>
                          <w:szCs w:val="22"/>
                        </w:rPr>
                        <w:t>3</w:t>
                      </w:r>
                    </w:sdtContent>
                  </w:sdt>
                  <w:r>
                    <w:rPr>
                      <w:szCs w:val="22"/>
                    </w:rPr>
                    <w:t xml:space="preserve">. Jei LNSS viešajai įstaigai dėl jos veiklos specifikos netaikomas vienas ar keli </w:t>
                  </w:r>
                  <w:r>
                    <w:rPr>
                      <w:szCs w:val="24"/>
                    </w:rPr>
                    <w:t>rodikliai</w:t>
                  </w:r>
                  <w:r>
                    <w:rPr>
                      <w:szCs w:val="22"/>
                    </w:rPr>
                    <w:t xml:space="preserve">, vertinant, </w:t>
                  </w:r>
                  <w:r>
                    <w:rPr>
                      <w:color w:val="000000"/>
                      <w:szCs w:val="22"/>
                    </w:rPr>
                    <w:t>ar LNSS viešoji įstaiga praėjusiais metais pasiekė įstaigų grupei (toliau – įstaigų grupė), kuriai priklauso LNSS viešoji įstaiga, nustatytas siektinas reikšmes,</w:t>
                  </w:r>
                  <w:r>
                    <w:rPr>
                      <w:szCs w:val="22"/>
                    </w:rPr>
                    <w:t xml:space="preserve"> ir nustatant </w:t>
                  </w:r>
                  <w:r>
                    <w:rPr>
                      <w:color w:val="000000"/>
                      <w:szCs w:val="22"/>
                    </w:rPr>
                    <w:t xml:space="preserve">LNSS viešosios įstaigos vadovaujančiojo darbuotojo mėnesinio darbo užmokesčio kintamosios dalies dydį, šis (šie) </w:t>
                  </w:r>
                  <w:r>
                    <w:rPr>
                      <w:szCs w:val="22"/>
                    </w:rPr>
                    <w:t>rodiklis (-iai) nėra vertinamas (-i).</w:t>
                  </w:r>
                </w:p>
                <w:p>
                  <w:pPr>
                    <w:ind w:firstLine="567"/>
                    <w:jc w:val="both"/>
                    <w:rPr>
                      <w:szCs w:val="22"/>
                    </w:rPr>
                  </w:pPr>
                </w:p>
              </w:sdtContent>
            </w:sdt>
          </w:sdtContent>
        </w:sdt>
        <w:sdt>
          <w:sdtPr>
            <w:alias w:val="skyrius"/>
            <w:tag w:val="part_28203f5b3bab453782ba40351af089be"/>
            <w:lock w:val="sdtLocked"/>
            <w:richText/>
          </w:sdtPr>
          <w:sdtContent>
            <w:p>
              <w:pPr>
                <w:jc w:val="center"/>
                <w:rPr>
                  <w:b/>
                  <w:szCs w:val="22"/>
                </w:rPr>
              </w:pPr>
              <w:sdt>
                <w:sdtPr>
                  <w:alias w:val="Numeris"/>
                  <w:tag w:val="nr_28203f5b3bab453782ba40351af089be"/>
                  <w:lock w:val="sdtLocked"/>
                  <w:richText/>
                </w:sdtPr>
                <w:sdtContent>
                  <w:r>
                    <w:rPr>
                      <w:b/>
                      <w:szCs w:val="22"/>
                    </w:rPr>
                    <w:t>II</w:t>
                  </w:r>
                </w:sdtContent>
              </w:sdt>
              <w:r>
                <w:rPr>
                  <w:b/>
                  <w:szCs w:val="22"/>
                </w:rPr>
                <w:t xml:space="preserve"> SKYRIUS</w:t>
              </w:r>
            </w:p>
            <w:p>
              <w:pPr>
                <w:jc w:val="center"/>
                <w:rPr>
                  <w:szCs w:val="22"/>
                </w:rPr>
              </w:pPr>
              <w:sdt>
                <w:sdtPr>
                  <w:alias w:val="Pavadinimas"/>
                  <w:tag w:val="title_28203f5b3bab453782ba40351af089be"/>
                  <w:lock w:val="sdtLocked"/>
                  <w:richText/>
                </w:sdtPr>
                <w:sdtContent>
                  <w:r>
                    <w:rPr>
                      <w:b/>
                      <w:color w:val="000000"/>
                      <w:szCs w:val="22"/>
                    </w:rPr>
                    <w:t>VADOVAUJANČIŲJŲ DARBUOTOJŲ MĖNESINIO DARBO UŽMOKESČIO KINTAMOSIOS DALIES DYDŽIO NUSTATYMO TVARKA</w:t>
                  </w:r>
                </w:sdtContent>
              </w:sdt>
            </w:p>
            <w:p>
              <w:pPr>
                <w:suppressAutoHyphens/>
                <w:jc w:val="both"/>
                <w:rPr>
                  <w:color w:val="000000"/>
                  <w:szCs w:val="22"/>
                </w:rPr>
              </w:pPr>
            </w:p>
            <w:sdt>
              <w:sdtPr>
                <w:alias w:val="4 p."/>
                <w:tag w:val="part_f6025244ba5b47b59ed501c9e8505d44"/>
                <w:lock w:val="sdtLocked"/>
                <w:richText/>
              </w:sdtPr>
              <w:sdtContent>
                <w:p>
                  <w:pPr>
                    <w:suppressAutoHyphens/>
                    <w:ind w:firstLine="567"/>
                    <w:jc w:val="both"/>
                    <w:rPr>
                      <w:color w:val="000000"/>
                      <w:szCs w:val="24"/>
                    </w:rPr>
                  </w:pPr>
                  <w:sdt>
                    <w:sdtPr>
                      <w:alias w:val="Numeris"/>
                      <w:tag w:val="nr_f6025244ba5b47b59ed501c9e8505d44"/>
                      <w:lock w:val="sdtLocked"/>
                      <w:richText/>
                    </w:sdtPr>
                    <w:sdtContent>
                      <w:r>
                        <w:rPr>
                          <w:color w:val="000000"/>
                          <w:szCs w:val="24"/>
                        </w:rPr>
                        <w:t>4</w:t>
                      </w:r>
                    </w:sdtContent>
                  </w:sdt>
                  <w:r>
                    <w:rPr>
                      <w:color w:val="000000"/>
                      <w:szCs w:val="24"/>
                    </w:rPr>
                    <w:t xml:space="preserve">. LNSS viešosios įstaigos </w:t>
                  </w:r>
                  <w:r>
                    <w:rPr>
                      <w:color w:val="000000"/>
                      <w:szCs w:val="22"/>
                    </w:rPr>
                    <w:t>visuotinis dalininkų susirinkimas</w:t>
                  </w:r>
                  <w:r>
                    <w:rPr>
                      <w:color w:val="000000"/>
                      <w:szCs w:val="24"/>
                    </w:rPr>
                    <w:t xml:space="preserve"> ar savininko teises ir pareigas įgyvendinanti institucija ne vėliau kaip iki einamųjų metų gegužės 1 d. priima sprendimą dėl LNSS viešosios įstaigos vadovo mėnesinio darbo užmokesčio kintamosios dalies dydžio nustatymo šia tvarka:</w:t>
                  </w:r>
                </w:p>
                <w:sdt>
                  <w:sdtPr>
                    <w:alias w:val="4.1 pp."/>
                    <w:tag w:val="part_f303a4b7bb374ff8a69ef86391829c2b"/>
                    <w:lock w:val="sdtLocked"/>
                    <w:richText/>
                  </w:sdtPr>
                  <w:sdtContent>
                    <w:p>
                      <w:pPr>
                        <w:suppressAutoHyphens/>
                        <w:ind w:firstLine="567"/>
                        <w:jc w:val="both"/>
                        <w:rPr>
                          <w:szCs w:val="24"/>
                        </w:rPr>
                      </w:pPr>
                      <w:sdt>
                        <w:sdtPr>
                          <w:alias w:val="Numeris"/>
                          <w:tag w:val="nr_f303a4b7bb374ff8a69ef86391829c2b"/>
                          <w:lock w:val="sdtLocked"/>
                          <w:richText/>
                        </w:sdtPr>
                        <w:sdtContent>
                          <w:r>
                            <w:rPr>
                              <w:color w:val="000000"/>
                              <w:szCs w:val="24"/>
                            </w:rPr>
                            <w:t>4.1</w:t>
                          </w:r>
                        </w:sdtContent>
                      </w:sdt>
                      <w:r>
                        <w:rPr>
                          <w:color w:val="000000"/>
                          <w:szCs w:val="24"/>
                        </w:rPr>
                        <w:t xml:space="preserve">. įvertina, ar LNSS viešoji įstaiga praėjusiais kalendoriniais metais pasiekė siektinas reikšmes, nustatytas įstaigų grupei, kuriai priklauso LNSS viešoji įstaiga, ir </w:t>
                      </w:r>
                      <w:r>
                        <w:rPr>
                          <w:szCs w:val="24"/>
                        </w:rPr>
                        <w:t>nustato</w:t>
                      </w:r>
                      <w:r>
                        <w:rPr>
                          <w:color w:val="000000"/>
                          <w:szCs w:val="24"/>
                        </w:rPr>
                        <w:t xml:space="preserve"> </w:t>
                      </w:r>
                      <w:r>
                        <w:rPr>
                          <w:szCs w:val="24"/>
                        </w:rPr>
                        <w:t>rodiklių siektinų reikšmių įvykdymo vertinimo balus:</w:t>
                      </w:r>
                    </w:p>
                    <w:p>
                      <w:pPr>
                        <w:suppressAutoHyphens/>
                        <w:ind w:firstLine="567"/>
                        <w:jc w:val="both"/>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5386"/>
                        <w:gridCol w:w="2971"/>
                      </w:tblGrid>
                      <w:tr>
                        <w:tc>
                          <w:tcPr>
                            <w:tcW w:w="988" w:type="dxa"/>
                            <w:vAlign w:val="center"/>
                          </w:tcPr>
                          <w:p>
                            <w:pPr>
                              <w:suppressAutoHyphens/>
                              <w:jc w:val="center"/>
                              <w:rPr>
                                <w:b/>
                                <w:bCs/>
                                <w:color w:val="000000"/>
                                <w:sz w:val="20"/>
                                <w:szCs w:val="24"/>
                                <w:lang w:eastAsia="lt-LT"/>
                              </w:rPr>
                            </w:pPr>
                            <w:r>
                              <w:rPr>
                                <w:b/>
                                <w:bCs/>
                                <w:color w:val="000000"/>
                                <w:sz w:val="20"/>
                                <w:szCs w:val="24"/>
                                <w:lang w:eastAsia="lt-LT"/>
                              </w:rPr>
                              <w:t>Eil. Nr.</w:t>
                            </w:r>
                          </w:p>
                        </w:tc>
                        <w:tc>
                          <w:tcPr>
                            <w:tcW w:w="5386" w:type="dxa"/>
                            <w:vAlign w:val="center"/>
                          </w:tcPr>
                          <w:p>
                            <w:pPr>
                              <w:suppressAutoHyphens/>
                              <w:jc w:val="center"/>
                              <w:rPr>
                                <w:b/>
                                <w:bCs/>
                                <w:color w:val="000000"/>
                                <w:sz w:val="20"/>
                                <w:szCs w:val="24"/>
                                <w:lang w:eastAsia="lt-LT"/>
                              </w:rPr>
                            </w:pPr>
                            <w:r>
                              <w:rPr>
                                <w:b/>
                                <w:bCs/>
                                <w:sz w:val="20"/>
                                <w:lang w:eastAsia="lt-LT"/>
                              </w:rPr>
                              <w:t>Veiklos rezultatų vertinimo rodikliai</w:t>
                            </w:r>
                          </w:p>
                        </w:tc>
                        <w:tc>
                          <w:tcPr>
                            <w:tcW w:w="2971" w:type="dxa"/>
                            <w:vAlign w:val="center"/>
                          </w:tcPr>
                          <w:p>
                            <w:pPr>
                              <w:suppressAutoHyphens/>
                              <w:jc w:val="center"/>
                              <w:rPr>
                                <w:b/>
                                <w:bCs/>
                                <w:color w:val="000000"/>
                                <w:sz w:val="20"/>
                                <w:szCs w:val="24"/>
                                <w:lang w:eastAsia="lt-LT"/>
                              </w:rPr>
                            </w:pPr>
                            <w:r>
                              <w:rPr>
                                <w:b/>
                                <w:bCs/>
                                <w:color w:val="000000"/>
                                <w:sz w:val="20"/>
                                <w:szCs w:val="24"/>
                                <w:lang w:eastAsia="lt-LT"/>
                              </w:rPr>
                              <w:t>Balai už rodiklio vykdymo rezultatus</w:t>
                            </w:r>
                          </w:p>
                          <w:p>
                            <w:pPr>
                              <w:suppressAutoHyphens/>
                              <w:jc w:val="center"/>
                              <w:rPr>
                                <w:b/>
                                <w:bCs/>
                                <w:color w:val="000000"/>
                                <w:sz w:val="20"/>
                                <w:szCs w:val="24"/>
                                <w:lang w:eastAsia="lt-LT"/>
                              </w:rPr>
                            </w:pPr>
                            <w:r>
                              <w:rPr>
                                <w:b/>
                                <w:bCs/>
                                <w:color w:val="000000"/>
                                <w:sz w:val="20"/>
                                <w:szCs w:val="24"/>
                                <w:lang w:eastAsia="lt-LT"/>
                              </w:rPr>
                              <w:t>(įvykdyta / neįvykdyta)</w:t>
                            </w:r>
                          </w:p>
                        </w:tc>
                      </w:tr>
                      <w:tr>
                        <w:tc>
                          <w:tcPr>
                            <w:tcW w:w="988" w:type="dxa"/>
                          </w:tcPr>
                          <w:p>
                            <w:pPr>
                              <w:suppressAutoHyphens/>
                              <w:jc w:val="center"/>
                              <w:rPr>
                                <w:b/>
                                <w:bCs/>
                                <w:color w:val="000000"/>
                                <w:sz w:val="20"/>
                                <w:szCs w:val="24"/>
                                <w:lang w:eastAsia="lt-LT"/>
                              </w:rPr>
                            </w:pPr>
                            <w:r>
                              <w:rPr>
                                <w:b/>
                                <w:bCs/>
                                <w:color w:val="000000"/>
                                <w:sz w:val="20"/>
                                <w:szCs w:val="24"/>
                                <w:lang w:eastAsia="lt-LT"/>
                              </w:rPr>
                              <w:t>I</w:t>
                            </w:r>
                          </w:p>
                        </w:tc>
                        <w:tc>
                          <w:tcPr>
                            <w:tcW w:w="8357" w:type="dxa"/>
                            <w:gridSpan w:val="2"/>
                          </w:tcPr>
                          <w:p>
                            <w:pPr>
                              <w:suppressAutoHyphens/>
                              <w:jc w:val="both"/>
                              <w:rPr>
                                <w:color w:val="000000"/>
                                <w:sz w:val="20"/>
                                <w:szCs w:val="24"/>
                                <w:lang w:eastAsia="lt-LT"/>
                              </w:rPr>
                            </w:pPr>
                            <w:r>
                              <w:rPr>
                                <w:b/>
                                <w:bCs/>
                                <w:sz w:val="20"/>
                                <w:lang w:eastAsia="lt-LT"/>
                              </w:rPr>
                              <w:t>Finansinių rodiklių grupė:</w:t>
                            </w:r>
                          </w:p>
                        </w:tc>
                      </w:tr>
                      <w:tr>
                        <w:tc>
                          <w:tcPr>
                            <w:tcW w:w="988" w:type="dxa"/>
                            <w:vAlign w:val="center"/>
                          </w:tcPr>
                          <w:p>
                            <w:pPr>
                              <w:suppressAutoHyphens/>
                              <w:jc w:val="center"/>
                              <w:rPr>
                                <w:color w:val="000000"/>
                                <w:sz w:val="20"/>
                                <w:szCs w:val="24"/>
                                <w:lang w:eastAsia="lt-LT"/>
                              </w:rPr>
                            </w:pPr>
                            <w:r>
                              <w:rPr>
                                <w:color w:val="000000"/>
                                <w:sz w:val="20"/>
                                <w:szCs w:val="24"/>
                                <w:lang w:eastAsia="lt-LT"/>
                              </w:rPr>
                              <w:t>1.</w:t>
                            </w:r>
                          </w:p>
                        </w:tc>
                        <w:tc>
                          <w:tcPr>
                            <w:tcW w:w="5386" w:type="dxa"/>
                          </w:tcPr>
                          <w:p>
                            <w:pPr>
                              <w:suppressAutoHyphens/>
                              <w:jc w:val="both"/>
                              <w:rPr>
                                <w:color w:val="000000"/>
                                <w:sz w:val="20"/>
                                <w:szCs w:val="24"/>
                                <w:lang w:eastAsia="lt-LT"/>
                              </w:rPr>
                            </w:pPr>
                            <w:r>
                              <w:rPr>
                                <w:sz w:val="20"/>
                                <w:lang w:eastAsia="lt-LT"/>
                              </w:rPr>
                              <w:t>Įstaigos praėjusių metų veiklos rezultatų ataskaitoje nurodytas pajamų ir sąnaudų skirtumas (grynasis perviršis ar deficitas)</w:t>
                            </w:r>
                          </w:p>
                        </w:tc>
                        <w:tc>
                          <w:tcPr>
                            <w:tcW w:w="2971" w:type="dxa"/>
                            <w:vAlign w:val="center"/>
                          </w:tcPr>
                          <w:p>
                            <w:pPr>
                              <w:suppressAutoHyphens/>
                              <w:jc w:val="center"/>
                              <w:rPr>
                                <w:color w:val="000000"/>
                                <w:sz w:val="20"/>
                                <w:szCs w:val="24"/>
                                <w:lang w:val="en-US" w:eastAsia="lt-LT"/>
                              </w:rPr>
                            </w:pPr>
                            <w:r>
                              <w:rPr>
                                <w:color w:val="000000"/>
                                <w:sz w:val="20"/>
                                <w:szCs w:val="24"/>
                                <w:lang w:val="en-US" w:eastAsia="lt-LT"/>
                              </w:rPr>
                              <w:t>20 / 0</w:t>
                            </w:r>
                          </w:p>
                        </w:tc>
                      </w:tr>
                      <w:tr>
                        <w:tc>
                          <w:tcPr>
                            <w:tcW w:w="988" w:type="dxa"/>
                            <w:vAlign w:val="center"/>
                          </w:tcPr>
                          <w:p>
                            <w:pPr>
                              <w:suppressAutoHyphens/>
                              <w:jc w:val="center"/>
                              <w:rPr>
                                <w:color w:val="000000"/>
                                <w:sz w:val="20"/>
                                <w:szCs w:val="24"/>
                                <w:lang w:eastAsia="lt-LT"/>
                              </w:rPr>
                            </w:pPr>
                            <w:r>
                              <w:rPr>
                                <w:color w:val="000000"/>
                                <w:sz w:val="20"/>
                                <w:szCs w:val="24"/>
                                <w:lang w:eastAsia="lt-LT"/>
                              </w:rPr>
                              <w:t>2.</w:t>
                            </w:r>
                          </w:p>
                        </w:tc>
                        <w:tc>
                          <w:tcPr>
                            <w:tcW w:w="5386" w:type="dxa"/>
                          </w:tcPr>
                          <w:p>
                            <w:pPr>
                              <w:suppressAutoHyphens/>
                              <w:jc w:val="both"/>
                              <w:rPr>
                                <w:color w:val="000000"/>
                                <w:sz w:val="20"/>
                                <w:szCs w:val="24"/>
                                <w:lang w:eastAsia="lt-LT"/>
                              </w:rPr>
                            </w:pPr>
                            <w:r>
                              <w:rPr>
                                <w:sz w:val="20"/>
                                <w:lang w:eastAsia="lt-LT"/>
                              </w:rPr>
                              <w:t>Naujų papildomų finansavimo šaltinių pritraukimas / projektų vykdymas</w:t>
                            </w:r>
                          </w:p>
                        </w:tc>
                        <w:tc>
                          <w:tcPr>
                            <w:tcW w:w="2971" w:type="dxa"/>
                            <w:vAlign w:val="center"/>
                          </w:tcPr>
                          <w:p>
                            <w:pPr>
                              <w:suppressAutoHyphens/>
                              <w:jc w:val="center"/>
                              <w:rPr>
                                <w:color w:val="000000"/>
                                <w:sz w:val="20"/>
                                <w:szCs w:val="24"/>
                                <w:lang w:eastAsia="lt-LT"/>
                              </w:rPr>
                            </w:pPr>
                            <w:r>
                              <w:rPr>
                                <w:color w:val="000000"/>
                                <w:sz w:val="20"/>
                                <w:szCs w:val="24"/>
                                <w:lang w:val="en-US" w:eastAsia="lt-LT"/>
                              </w:rPr>
                              <w:t>5 / 0</w:t>
                            </w:r>
                          </w:p>
                        </w:tc>
                      </w:tr>
                      <w:tr>
                        <w:tc>
                          <w:tcPr>
                            <w:tcW w:w="988" w:type="dxa"/>
                            <w:vAlign w:val="center"/>
                          </w:tcPr>
                          <w:p>
                            <w:pPr>
                              <w:suppressAutoHyphens/>
                              <w:jc w:val="center"/>
                              <w:rPr>
                                <w:color w:val="000000"/>
                                <w:sz w:val="20"/>
                                <w:szCs w:val="24"/>
                                <w:lang w:eastAsia="lt-LT"/>
                              </w:rPr>
                            </w:pPr>
                            <w:r>
                              <w:rPr>
                                <w:color w:val="000000"/>
                                <w:sz w:val="20"/>
                                <w:szCs w:val="24"/>
                                <w:lang w:eastAsia="lt-LT"/>
                              </w:rPr>
                              <w:t>3.</w:t>
                            </w:r>
                          </w:p>
                        </w:tc>
                        <w:tc>
                          <w:tcPr>
                            <w:tcW w:w="5386" w:type="dxa"/>
                          </w:tcPr>
                          <w:p>
                            <w:pPr>
                              <w:suppressAutoHyphens/>
                              <w:jc w:val="both"/>
                              <w:rPr>
                                <w:color w:val="000000"/>
                                <w:sz w:val="20"/>
                                <w:szCs w:val="24"/>
                                <w:lang w:eastAsia="lt-LT"/>
                              </w:rPr>
                            </w:pPr>
                            <w:r>
                              <w:rPr>
                                <w:sz w:val="20"/>
                                <w:lang w:eastAsia="lt-LT"/>
                              </w:rPr>
                              <w:t>Konsoliduotų viešųjų pirkimų skaičius</w:t>
                            </w:r>
                          </w:p>
                        </w:tc>
                        <w:tc>
                          <w:tcPr>
                            <w:tcW w:w="2971" w:type="dxa"/>
                            <w:vAlign w:val="center"/>
                          </w:tcPr>
                          <w:p>
                            <w:pPr>
                              <w:suppressAutoHyphens/>
                              <w:jc w:val="center"/>
                              <w:rPr>
                                <w:color w:val="000000"/>
                                <w:sz w:val="20"/>
                                <w:szCs w:val="24"/>
                                <w:lang w:eastAsia="lt-LT"/>
                              </w:rPr>
                            </w:pPr>
                            <w:r>
                              <w:rPr>
                                <w:color w:val="000000"/>
                                <w:sz w:val="20"/>
                                <w:szCs w:val="24"/>
                                <w:lang w:val="en-US" w:eastAsia="lt-LT"/>
                              </w:rPr>
                              <w:t>5 / 0</w:t>
                            </w:r>
                          </w:p>
                        </w:tc>
                      </w:tr>
                      <w:tr>
                        <w:tc>
                          <w:tcPr>
                            <w:tcW w:w="988" w:type="dxa"/>
                            <w:vAlign w:val="center"/>
                          </w:tcPr>
                          <w:p>
                            <w:pPr>
                              <w:suppressAutoHyphens/>
                              <w:jc w:val="center"/>
                              <w:rPr>
                                <w:b/>
                                <w:bCs/>
                                <w:color w:val="000000"/>
                                <w:sz w:val="20"/>
                                <w:lang w:eastAsia="lt-LT"/>
                              </w:rPr>
                            </w:pPr>
                            <w:r>
                              <w:rPr>
                                <w:b/>
                                <w:bCs/>
                                <w:color w:val="000000"/>
                                <w:sz w:val="20"/>
                              </w:rPr>
                              <w:t>II</w:t>
                            </w:r>
                          </w:p>
                        </w:tc>
                        <w:tc>
                          <w:tcPr>
                            <w:tcW w:w="8357" w:type="dxa"/>
                            <w:gridSpan w:val="2"/>
                          </w:tcPr>
                          <w:p>
                            <w:pPr>
                              <w:suppressAutoHyphens/>
                              <w:jc w:val="both"/>
                              <w:rPr>
                                <w:b/>
                                <w:bCs/>
                                <w:color w:val="000000"/>
                                <w:sz w:val="20"/>
                                <w:lang w:eastAsia="lt-LT"/>
                              </w:rPr>
                            </w:pPr>
                            <w:r>
                              <w:rPr>
                                <w:b/>
                                <w:bCs/>
                                <w:color w:val="000000"/>
                                <w:sz w:val="20"/>
                              </w:rPr>
                              <w:t>Pacientų pasitenkinimo rodiklių grupė:</w:t>
                            </w:r>
                          </w:p>
                        </w:tc>
                      </w:tr>
                      <w:tr>
                        <w:tc>
                          <w:tcPr>
                            <w:tcW w:w="988" w:type="dxa"/>
                            <w:vAlign w:val="center"/>
                          </w:tcPr>
                          <w:p>
                            <w:pPr>
                              <w:suppressAutoHyphens/>
                              <w:jc w:val="center"/>
                              <w:rPr>
                                <w:sz w:val="20"/>
                              </w:rPr>
                            </w:pPr>
                            <w:r>
                              <w:rPr>
                                <w:color w:val="000000"/>
                                <w:sz w:val="20"/>
                              </w:rPr>
                              <w:t>1.</w:t>
                            </w:r>
                          </w:p>
                        </w:tc>
                        <w:tc>
                          <w:tcPr>
                            <w:tcW w:w="5386" w:type="dxa"/>
                          </w:tcPr>
                          <w:p>
                            <w:pPr>
                              <w:suppressAutoHyphens/>
                              <w:jc w:val="both"/>
                              <w:rPr>
                                <w:sz w:val="20"/>
                              </w:rPr>
                            </w:pPr>
                            <w:r>
                              <w:rPr>
                                <w:sz w:val="20"/>
                              </w:rPr>
                              <w:t>Asmens sveikatos priežiūros įstaiga (toliau – ASPĮ) įtraukta į Skaidrių asmens sveikatos priežiūros įstaigų sąrašą</w:t>
                            </w:r>
                          </w:p>
                        </w:tc>
                        <w:tc>
                          <w:tcPr>
                            <w:tcW w:w="2971" w:type="dxa"/>
                            <w:vAlign w:val="center"/>
                          </w:tcPr>
                          <w:p>
                            <w:pPr>
                              <w:suppressAutoHyphens/>
                              <w:jc w:val="center"/>
                              <w:rPr>
                                <w:sz w:val="20"/>
                              </w:rPr>
                            </w:pPr>
                            <w:r>
                              <w:rPr>
                                <w:color w:val="000000"/>
                                <w:sz w:val="20"/>
                              </w:rPr>
                              <w:t>10/0</w:t>
                            </w:r>
                          </w:p>
                        </w:tc>
                      </w:tr>
                      <w:tr>
                        <w:tc>
                          <w:tcPr>
                            <w:tcW w:w="988" w:type="dxa"/>
                            <w:vAlign w:val="center"/>
                          </w:tcPr>
                          <w:p>
                            <w:pPr>
                              <w:suppressAutoHyphens/>
                              <w:jc w:val="center"/>
                              <w:rPr>
                                <w:b/>
                                <w:bCs/>
                                <w:color w:val="000000"/>
                                <w:sz w:val="20"/>
                                <w:szCs w:val="24"/>
                                <w:lang w:eastAsia="lt-LT"/>
                              </w:rPr>
                            </w:pPr>
                            <w:r>
                              <w:rPr>
                                <w:b/>
                                <w:bCs/>
                                <w:color w:val="000000"/>
                                <w:sz w:val="20"/>
                                <w:szCs w:val="24"/>
                                <w:lang w:eastAsia="lt-LT"/>
                              </w:rPr>
                              <w:t>III</w:t>
                            </w:r>
                          </w:p>
                        </w:tc>
                        <w:tc>
                          <w:tcPr>
                            <w:tcW w:w="8357" w:type="dxa"/>
                            <w:gridSpan w:val="2"/>
                          </w:tcPr>
                          <w:p>
                            <w:pPr>
                              <w:suppressAutoHyphens/>
                              <w:jc w:val="both"/>
                              <w:rPr>
                                <w:color w:val="000000"/>
                                <w:sz w:val="20"/>
                                <w:szCs w:val="24"/>
                                <w:lang w:eastAsia="lt-LT"/>
                              </w:rPr>
                            </w:pPr>
                            <w:r>
                              <w:rPr>
                                <w:b/>
                                <w:bCs/>
                                <w:sz w:val="20"/>
                                <w:lang w:eastAsia="lt-LT"/>
                              </w:rPr>
                              <w:t>Darbuotojų pasitenkinimo rodiklių grupė:</w:t>
                            </w:r>
                          </w:p>
                        </w:tc>
                      </w:tr>
                      <w:tr>
                        <w:tc>
                          <w:tcPr>
                            <w:tcW w:w="988" w:type="dxa"/>
                            <w:vAlign w:val="center"/>
                          </w:tcPr>
                          <w:p>
                            <w:pPr>
                              <w:suppressAutoHyphens/>
                              <w:jc w:val="center"/>
                              <w:rPr>
                                <w:color w:val="000000"/>
                                <w:sz w:val="20"/>
                                <w:szCs w:val="24"/>
                                <w:lang w:eastAsia="lt-LT"/>
                              </w:rPr>
                            </w:pPr>
                            <w:r>
                              <w:rPr>
                                <w:color w:val="000000"/>
                                <w:sz w:val="20"/>
                                <w:szCs w:val="24"/>
                                <w:lang w:eastAsia="lt-LT"/>
                              </w:rPr>
                              <w:t>1.</w:t>
                            </w:r>
                          </w:p>
                        </w:tc>
                        <w:tc>
                          <w:tcPr>
                            <w:tcW w:w="5386" w:type="dxa"/>
                          </w:tcPr>
                          <w:p>
                            <w:pPr>
                              <w:suppressAutoHyphens/>
                              <w:ind w:firstLine="53"/>
                              <w:jc w:val="both"/>
                              <w:rPr>
                                <w:color w:val="000000"/>
                                <w:sz w:val="20"/>
                                <w:szCs w:val="24"/>
                                <w:lang w:eastAsia="lt-LT"/>
                              </w:rPr>
                            </w:pPr>
                            <w:r>
                              <w:rPr>
                                <w:color w:val="000000"/>
                                <w:sz w:val="20"/>
                                <w:szCs w:val="24"/>
                                <w:lang w:eastAsia="lt-LT"/>
                              </w:rPr>
                              <w:t xml:space="preserve">ASPĮ darbuotojų kaitos rodiklis  </w:t>
                            </w:r>
                          </w:p>
                        </w:tc>
                        <w:tc>
                          <w:tcPr>
                            <w:tcW w:w="2971" w:type="dxa"/>
                            <w:vAlign w:val="center"/>
                          </w:tcPr>
                          <w:p>
                            <w:pPr>
                              <w:suppressAutoHyphens/>
                              <w:jc w:val="center"/>
                              <w:rPr>
                                <w:color w:val="000000"/>
                                <w:sz w:val="20"/>
                                <w:szCs w:val="24"/>
                                <w:lang w:eastAsia="lt-LT"/>
                              </w:rPr>
                            </w:pPr>
                            <w:r>
                              <w:rPr>
                                <w:color w:val="000000"/>
                                <w:sz w:val="20"/>
                                <w:szCs w:val="24"/>
                                <w:lang w:eastAsia="lt-LT"/>
                              </w:rPr>
                              <w:t>5 / 0</w:t>
                            </w:r>
                          </w:p>
                        </w:tc>
                      </w:tr>
                      <w:tr>
                        <w:tc>
                          <w:tcPr>
                            <w:tcW w:w="988" w:type="dxa"/>
                            <w:vAlign w:val="center"/>
                          </w:tcPr>
                          <w:p>
                            <w:pPr>
                              <w:suppressAutoHyphens/>
                              <w:jc w:val="center"/>
                              <w:rPr>
                                <w:color w:val="000000"/>
                                <w:sz w:val="20"/>
                              </w:rPr>
                            </w:pPr>
                            <w:r>
                              <w:rPr>
                                <w:color w:val="000000"/>
                                <w:sz w:val="20"/>
                              </w:rPr>
                              <w:t>2.</w:t>
                            </w:r>
                          </w:p>
                        </w:tc>
                        <w:tc>
                          <w:tcPr>
                            <w:tcW w:w="5386" w:type="dxa"/>
                          </w:tcPr>
                          <w:p>
                            <w:pPr>
                              <w:suppressAutoHyphens/>
                              <w:jc w:val="both"/>
                              <w:rPr>
                                <w:color w:val="000000"/>
                                <w:sz w:val="20"/>
                              </w:rPr>
                            </w:pPr>
                            <w:r>
                              <w:rPr>
                                <w:color w:val="000000"/>
                                <w:sz w:val="20"/>
                              </w:rPr>
                              <w:t xml:space="preserve">ASPĮ patirtos sąnaudos  asmens sveikatos priežiūros, visuomenės sveikatos priežiūros ir farmacijos specialistų profesinei kvalifikacijai tobulinti</w:t>
                            </w:r>
                          </w:p>
                        </w:tc>
                        <w:tc>
                          <w:tcPr>
                            <w:tcW w:w="2971" w:type="dxa"/>
                            <w:vAlign w:val="center"/>
                          </w:tcPr>
                          <w:p>
                            <w:pPr>
                              <w:suppressAutoHyphens/>
                              <w:jc w:val="center"/>
                              <w:rPr>
                                <w:color w:val="000000"/>
                                <w:sz w:val="20"/>
                              </w:rPr>
                            </w:pPr>
                            <w:r>
                              <w:rPr>
                                <w:color w:val="000000"/>
                                <w:sz w:val="20"/>
                              </w:rPr>
                              <w:t>10 / 5 / 0</w:t>
                            </w:r>
                          </w:p>
                        </w:tc>
                      </w:tr>
                      <w:tr>
                        <w:tc>
                          <w:tcPr>
                            <w:tcW w:w="988" w:type="dxa"/>
                            <w:vAlign w:val="center"/>
                          </w:tcPr>
                          <w:p>
                            <w:pPr>
                              <w:suppressAutoHyphens/>
                              <w:jc w:val="center"/>
                              <w:rPr>
                                <w:color w:val="000000"/>
                                <w:sz w:val="20"/>
                                <w:szCs w:val="24"/>
                                <w:lang w:eastAsia="lt-LT"/>
                              </w:rPr>
                            </w:pPr>
                            <w:r>
                              <w:rPr>
                                <w:color w:val="000000"/>
                                <w:sz w:val="20"/>
                                <w:szCs w:val="24"/>
                                <w:lang w:eastAsia="lt-LT"/>
                              </w:rPr>
                              <w:t>3.</w:t>
                            </w:r>
                          </w:p>
                        </w:tc>
                        <w:tc>
                          <w:tcPr>
                            <w:tcW w:w="5386" w:type="dxa"/>
                          </w:tcPr>
                          <w:p>
                            <w:pPr>
                              <w:suppressAutoHyphens/>
                              <w:jc w:val="both"/>
                              <w:rPr>
                                <w:color w:val="000000"/>
                                <w:sz w:val="20"/>
                                <w:szCs w:val="24"/>
                                <w:lang w:eastAsia="lt-LT"/>
                              </w:rPr>
                            </w:pPr>
                            <w:r>
                              <w:rPr>
                                <w:color w:val="000000"/>
                                <w:sz w:val="20"/>
                                <w:szCs w:val="24"/>
                                <w:lang w:eastAsia="lt-LT"/>
                              </w:rPr>
                              <w:t>ASPĮ slaugytojų ir gydytojų darbo užmokesčio santykis</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b/>
                                <w:bCs/>
                                <w:color w:val="000000"/>
                                <w:sz w:val="20"/>
                                <w:szCs w:val="24"/>
                                <w:lang w:eastAsia="lt-LT"/>
                              </w:rPr>
                            </w:pPr>
                            <w:r>
                              <w:rPr>
                                <w:b/>
                                <w:bCs/>
                                <w:color w:val="000000"/>
                                <w:sz w:val="20"/>
                                <w:szCs w:val="24"/>
                                <w:lang w:eastAsia="lt-LT"/>
                              </w:rPr>
                              <w:t>IV</w:t>
                            </w:r>
                          </w:p>
                        </w:tc>
                        <w:tc>
                          <w:tcPr>
                            <w:tcW w:w="8357" w:type="dxa"/>
                            <w:gridSpan w:val="2"/>
                          </w:tcPr>
                          <w:p>
                            <w:pPr>
                              <w:suppressAutoHyphens/>
                              <w:jc w:val="both"/>
                              <w:rPr>
                                <w:color w:val="000000"/>
                                <w:sz w:val="20"/>
                                <w:szCs w:val="24"/>
                                <w:lang w:eastAsia="lt-LT"/>
                              </w:rPr>
                            </w:pPr>
                            <w:r>
                              <w:rPr>
                                <w:b/>
                                <w:sz w:val="20"/>
                                <w:lang w:eastAsia="lt-LT"/>
                              </w:rPr>
                              <w:t>Turinio rodiklių grupė:</w:t>
                            </w:r>
                          </w:p>
                        </w:tc>
                      </w:tr>
                      <w:tr>
                        <w:tc>
                          <w:tcPr>
                            <w:tcW w:w="988" w:type="dxa"/>
                            <w:vAlign w:val="center"/>
                          </w:tcPr>
                          <w:p>
                            <w:pPr>
                              <w:suppressAutoHyphens/>
                              <w:jc w:val="center"/>
                              <w:rPr>
                                <w:color w:val="000000"/>
                                <w:sz w:val="20"/>
                                <w:szCs w:val="24"/>
                                <w:lang w:eastAsia="lt-LT"/>
                              </w:rPr>
                            </w:pPr>
                            <w:r>
                              <w:rPr>
                                <w:color w:val="000000"/>
                                <w:sz w:val="20"/>
                                <w:szCs w:val="24"/>
                                <w:lang w:eastAsia="lt-LT"/>
                              </w:rPr>
                              <w:t>1.</w:t>
                            </w:r>
                          </w:p>
                        </w:tc>
                        <w:tc>
                          <w:tcPr>
                            <w:tcW w:w="5386" w:type="dxa"/>
                          </w:tcPr>
                          <w:p>
                            <w:pPr>
                              <w:suppressAutoHyphens/>
                              <w:jc w:val="both"/>
                              <w:rPr>
                                <w:color w:val="000000"/>
                                <w:sz w:val="20"/>
                                <w:szCs w:val="24"/>
                                <w:lang w:eastAsia="lt-LT"/>
                              </w:rPr>
                            </w:pPr>
                            <w:r>
                              <w:rPr>
                                <w:color w:val="000000"/>
                                <w:sz w:val="20"/>
                                <w:szCs w:val="24"/>
                                <w:lang w:eastAsia="lt-LT"/>
                              </w:rPr>
                              <w:t>ASPĮ slaugytojų ir gydytojų etatų santykis</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color w:val="000000"/>
                                <w:sz w:val="20"/>
                                <w:szCs w:val="24"/>
                                <w:lang w:eastAsia="lt-LT"/>
                              </w:rPr>
                            </w:pPr>
                            <w:r>
                              <w:rPr>
                                <w:color w:val="000000"/>
                                <w:sz w:val="20"/>
                                <w:szCs w:val="24"/>
                                <w:lang w:eastAsia="lt-LT"/>
                              </w:rPr>
                              <w:t>2.</w:t>
                            </w:r>
                          </w:p>
                        </w:tc>
                        <w:tc>
                          <w:tcPr>
                            <w:tcW w:w="5386" w:type="dxa"/>
                          </w:tcPr>
                          <w:p>
                            <w:pPr>
                              <w:suppressAutoHyphens/>
                              <w:jc w:val="both"/>
                              <w:rPr>
                                <w:i/>
                                <w:iCs/>
                                <w:color w:val="000000"/>
                                <w:sz w:val="20"/>
                                <w:szCs w:val="24"/>
                                <w:lang w:eastAsia="lt-LT"/>
                              </w:rPr>
                            </w:pPr>
                            <w:r>
                              <w:rPr>
                                <w:i/>
                                <w:iCs/>
                                <w:color w:val="000000"/>
                                <w:sz w:val="20"/>
                                <w:szCs w:val="24"/>
                                <w:lang w:eastAsia="lt-LT"/>
                              </w:rPr>
                              <w:t>Neteko galios 2026-04-23</w:t>
                            </w:r>
                          </w:p>
                        </w:tc>
                        <w:tc>
                          <w:tcPr>
                            <w:tcW w:w="2971" w:type="dxa"/>
                            <w:vAlign w:val="center"/>
                          </w:tcPr>
                          <w:p>
                            <w:pPr>
                              <w:suppressAutoHyphens/>
                              <w:jc w:val="center"/>
                              <w:rPr>
                                <w:color w:val="000000"/>
                                <w:sz w:val="20"/>
                                <w:szCs w:val="24"/>
                                <w:lang w:eastAsia="lt-LT"/>
                              </w:rPr>
                            </w:pPr>
                          </w:p>
                        </w:tc>
                      </w:tr>
                      <w:tr>
                        <w:tc>
                          <w:tcPr>
                            <w:tcW w:w="988" w:type="dxa"/>
                            <w:vAlign w:val="center"/>
                          </w:tcPr>
                          <w:p>
                            <w:pPr>
                              <w:suppressAutoHyphens/>
                              <w:jc w:val="center"/>
                              <w:rPr>
                                <w:color w:val="000000"/>
                                <w:sz w:val="20"/>
                                <w:szCs w:val="24"/>
                                <w:lang w:eastAsia="lt-LT"/>
                              </w:rPr>
                            </w:pPr>
                            <w:r>
                              <w:rPr>
                                <w:color w:val="000000"/>
                                <w:sz w:val="20"/>
                                <w:szCs w:val="24"/>
                                <w:lang w:eastAsia="lt-LT"/>
                              </w:rPr>
                              <w:t>3.</w:t>
                            </w:r>
                          </w:p>
                        </w:tc>
                        <w:tc>
                          <w:tcPr>
                            <w:tcW w:w="5386" w:type="dxa"/>
                          </w:tcPr>
                          <w:p>
                            <w:pPr>
                              <w:suppressAutoHyphens/>
                              <w:jc w:val="both"/>
                              <w:rPr>
                                <w:i/>
                                <w:iCs/>
                                <w:color w:val="000000"/>
                                <w:sz w:val="20"/>
                                <w:lang w:eastAsia="lt-LT"/>
                              </w:rPr>
                            </w:pPr>
                            <w:r>
                              <w:rPr>
                                <w:i/>
                                <w:iCs/>
                                <w:color w:val="000000"/>
                                <w:sz w:val="20"/>
                                <w:lang w:eastAsia="lt-LT"/>
                              </w:rPr>
                              <w:t>Neteko galios 2025-12-17</w:t>
                            </w:r>
                          </w:p>
                        </w:tc>
                        <w:tc>
                          <w:tcPr>
                            <w:tcW w:w="2971" w:type="dxa"/>
                            <w:vAlign w:val="center"/>
                          </w:tcPr>
                          <w:p>
                            <w:pPr>
                              <w:suppressAutoHyphens/>
                              <w:jc w:val="center"/>
                              <w:rPr>
                                <w:color w:val="000000"/>
                                <w:sz w:val="20"/>
                                <w:szCs w:val="24"/>
                                <w:lang w:eastAsia="lt-LT"/>
                              </w:rPr>
                            </w:pPr>
                          </w:p>
                        </w:tc>
                      </w:tr>
                      <w:tr>
                        <w:tc>
                          <w:tcPr>
                            <w:tcW w:w="988" w:type="dxa"/>
                            <w:vAlign w:val="center"/>
                          </w:tcPr>
                          <w:p>
                            <w:pPr>
                              <w:suppressAutoHyphens/>
                              <w:jc w:val="center"/>
                              <w:rPr>
                                <w:color w:val="000000"/>
                                <w:sz w:val="20"/>
                                <w:szCs w:val="24"/>
                                <w:lang w:eastAsia="lt-LT"/>
                              </w:rPr>
                            </w:pPr>
                            <w:r>
                              <w:rPr>
                                <w:color w:val="000000"/>
                                <w:sz w:val="20"/>
                                <w:szCs w:val="24"/>
                                <w:lang w:eastAsia="lt-LT"/>
                              </w:rPr>
                              <w:t>4.</w:t>
                            </w:r>
                          </w:p>
                        </w:tc>
                        <w:tc>
                          <w:tcPr>
                            <w:tcW w:w="5386" w:type="dxa"/>
                          </w:tcPr>
                          <w:p>
                            <w:pPr>
                              <w:suppressAutoHyphens/>
                              <w:jc w:val="both"/>
                              <w:rPr>
                                <w:i/>
                                <w:iCs/>
                                <w:color w:val="000000"/>
                                <w:sz w:val="20"/>
                                <w:szCs w:val="24"/>
                                <w:lang w:eastAsia="lt-LT"/>
                              </w:rPr>
                            </w:pPr>
                            <w:r>
                              <w:rPr>
                                <w:i/>
                                <w:iCs/>
                                <w:color w:val="000000"/>
                                <w:sz w:val="20"/>
                                <w:szCs w:val="24"/>
                                <w:lang w:eastAsia="lt-LT"/>
                              </w:rPr>
                              <w:t>Neteko galios 2026-04-23</w:t>
                            </w:r>
                          </w:p>
                        </w:tc>
                        <w:tc>
                          <w:tcPr>
                            <w:tcW w:w="2971" w:type="dxa"/>
                            <w:vAlign w:val="center"/>
                          </w:tcPr>
                          <w:p>
                            <w:pPr>
                              <w:suppressAutoHyphens/>
                              <w:jc w:val="center"/>
                              <w:rPr>
                                <w:color w:val="000000"/>
                                <w:sz w:val="20"/>
                                <w:szCs w:val="24"/>
                                <w:lang w:eastAsia="lt-LT"/>
                              </w:rPr>
                            </w:pPr>
                          </w:p>
                        </w:tc>
                      </w:tr>
                      <w:tr>
                        <w:tc>
                          <w:tcPr>
                            <w:tcW w:w="988" w:type="dxa"/>
                            <w:vAlign w:val="center"/>
                          </w:tcPr>
                          <w:p>
                            <w:pPr>
                              <w:suppressAutoHyphens/>
                              <w:jc w:val="center"/>
                              <w:rPr>
                                <w:color w:val="000000"/>
                                <w:sz w:val="20"/>
                                <w:szCs w:val="24"/>
                                <w:lang w:eastAsia="lt-LT"/>
                              </w:rPr>
                            </w:pPr>
                            <w:r>
                              <w:rPr>
                                <w:color w:val="000000"/>
                                <w:sz w:val="20"/>
                                <w:szCs w:val="24"/>
                                <w:lang w:eastAsia="lt-LT"/>
                              </w:rPr>
                              <w:t>5.</w:t>
                            </w:r>
                          </w:p>
                        </w:tc>
                        <w:tc>
                          <w:tcPr>
                            <w:tcW w:w="5386" w:type="dxa"/>
                          </w:tcPr>
                          <w:p>
                            <w:pPr>
                              <w:suppressAutoHyphens/>
                              <w:jc w:val="both"/>
                              <w:rPr>
                                <w:color w:val="000000"/>
                                <w:sz w:val="20"/>
                                <w:szCs w:val="24"/>
                                <w:lang w:eastAsia="lt-LT"/>
                              </w:rPr>
                            </w:pPr>
                            <w:r>
                              <w:rPr>
                                <w:color w:val="000000"/>
                                <w:sz w:val="20"/>
                                <w:szCs w:val="24"/>
                                <w:lang w:eastAsia="lt-LT"/>
                              </w:rPr>
                              <w:t>Pirminės ambulatorinės psichikos sveikatos priežiūros paslaugas teikiančių specialistų komandos narių (ne gydytojų) suteiktų paslaugų skaičius, tenkantis 1000 pirminės psichikos sveikatos priežiūros centre prirašytų gyventojų, kas mėnesį</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color w:val="000000"/>
                                <w:sz w:val="20"/>
                                <w:szCs w:val="24"/>
                                <w:lang w:eastAsia="lt-LT"/>
                              </w:rPr>
                            </w:pPr>
                            <w:r>
                              <w:rPr>
                                <w:color w:val="000000"/>
                                <w:sz w:val="20"/>
                                <w:szCs w:val="24"/>
                                <w:lang w:eastAsia="lt-LT"/>
                              </w:rPr>
                              <w:t>6.</w:t>
                            </w:r>
                          </w:p>
                        </w:tc>
                        <w:tc>
                          <w:tcPr>
                            <w:tcW w:w="5386" w:type="dxa"/>
                          </w:tcPr>
                          <w:p>
                            <w:pPr>
                              <w:suppressAutoHyphens/>
                              <w:jc w:val="both"/>
                              <w:rPr>
                                <w:color w:val="000000"/>
                                <w:sz w:val="20"/>
                                <w:szCs w:val="24"/>
                                <w:lang w:eastAsia="lt-LT"/>
                              </w:rPr>
                            </w:pPr>
                            <w:r>
                              <w:rPr>
                                <w:color w:val="000000"/>
                                <w:sz w:val="20"/>
                                <w:szCs w:val="24"/>
                                <w:lang w:eastAsia="lt-LT"/>
                              </w:rPr>
                              <w:t>ASPĮ, teikiančių stacionarines psichiatrijos paslaugas, dalyvavimas įgyvendinant PSO „QualityRights“ iniciatyvos veiklas</w:t>
                            </w:r>
                          </w:p>
                        </w:tc>
                        <w:tc>
                          <w:tcPr>
                            <w:tcW w:w="2971" w:type="dxa"/>
                            <w:vAlign w:val="center"/>
                          </w:tcPr>
                          <w:p>
                            <w:pPr>
                              <w:suppressAutoHyphens/>
                              <w:jc w:val="center"/>
                              <w:rPr>
                                <w:color w:val="000000"/>
                                <w:sz w:val="20"/>
                                <w:szCs w:val="24"/>
                                <w:lang w:eastAsia="lt-LT"/>
                              </w:rPr>
                            </w:pPr>
                            <w:r>
                              <w:rPr>
                                <w:color w:val="000000"/>
                                <w:sz w:val="20"/>
                                <w:szCs w:val="24"/>
                                <w:lang w:eastAsia="lt-LT"/>
                              </w:rPr>
                              <w:t xml:space="preserve">10 / </w:t>
                            </w:r>
                            <w:r>
                              <w:rPr>
                                <w:color w:val="000000"/>
                                <w:sz w:val="20"/>
                                <w:szCs w:val="24"/>
                                <w:lang w:val="en-US" w:eastAsia="lt-LT"/>
                              </w:rPr>
                              <w:t xml:space="preserve">5 / </w:t>
                            </w:r>
                            <w:r>
                              <w:rPr>
                                <w:color w:val="000000"/>
                                <w:sz w:val="20"/>
                                <w:szCs w:val="24"/>
                                <w:lang w:eastAsia="lt-LT"/>
                              </w:rPr>
                              <w:t>0</w:t>
                            </w:r>
                          </w:p>
                        </w:tc>
                      </w:tr>
                      <w:tr>
                        <w:tc>
                          <w:tcPr>
                            <w:tcW w:w="988" w:type="dxa"/>
                            <w:vAlign w:val="center"/>
                          </w:tcPr>
                          <w:p>
                            <w:pPr>
                              <w:suppressAutoHyphens/>
                              <w:jc w:val="center"/>
                              <w:rPr>
                                <w:color w:val="000000"/>
                                <w:sz w:val="20"/>
                                <w:szCs w:val="24"/>
                                <w:lang w:eastAsia="lt-LT"/>
                              </w:rPr>
                            </w:pPr>
                            <w:r>
                              <w:rPr>
                                <w:color w:val="000000"/>
                                <w:sz w:val="20"/>
                                <w:szCs w:val="24"/>
                                <w:lang w:eastAsia="lt-LT"/>
                              </w:rPr>
                              <w:t>7.</w:t>
                            </w:r>
                          </w:p>
                        </w:tc>
                        <w:tc>
                          <w:tcPr>
                            <w:tcW w:w="5386" w:type="dxa"/>
                          </w:tcPr>
                          <w:p>
                            <w:pPr>
                              <w:suppressAutoHyphens/>
                              <w:jc w:val="both"/>
                              <w:rPr>
                                <w:color w:val="000000"/>
                                <w:sz w:val="20"/>
                                <w:szCs w:val="24"/>
                                <w:lang w:eastAsia="lt-LT"/>
                              </w:rPr>
                            </w:pPr>
                            <w:r>
                              <w:rPr>
                                <w:color w:val="000000"/>
                                <w:sz w:val="20"/>
                                <w:szCs w:val="24"/>
                                <w:lang w:eastAsia="lt-LT"/>
                              </w:rPr>
                              <w:t>Smurto ir priekabiavimo prevencijos politikos įgyvendinimo veiksmų planų įgyvendinimas</w:t>
                            </w:r>
                          </w:p>
                        </w:tc>
                        <w:tc>
                          <w:tcPr>
                            <w:tcW w:w="2971" w:type="dxa"/>
                            <w:vAlign w:val="center"/>
                          </w:tcPr>
                          <w:p>
                            <w:pPr>
                              <w:suppressAutoHyphens/>
                              <w:jc w:val="center"/>
                              <w:rPr>
                                <w:color w:val="000000"/>
                                <w:sz w:val="20"/>
                                <w:szCs w:val="24"/>
                                <w:lang w:eastAsia="lt-LT"/>
                              </w:rPr>
                            </w:pPr>
                            <w:r>
                              <w:rPr>
                                <w:color w:val="000000"/>
                                <w:sz w:val="20"/>
                                <w:szCs w:val="24"/>
                                <w:lang w:val="en-US" w:eastAsia="lt-LT"/>
                              </w:rPr>
                              <w:t>10 / 5</w:t>
                            </w:r>
                            <w:r>
                              <w:rPr>
                                <w:color w:val="000000"/>
                                <w:sz w:val="20"/>
                                <w:szCs w:val="24"/>
                                <w:lang w:eastAsia="lt-LT"/>
                              </w:rPr>
                              <w:t xml:space="preserve"> / 0</w:t>
                            </w:r>
                          </w:p>
                        </w:tc>
                      </w:tr>
                      <w:tr>
                        <w:tc>
                          <w:tcPr>
                            <w:tcW w:w="988" w:type="dxa"/>
                            <w:vAlign w:val="center"/>
                          </w:tcPr>
                          <w:p>
                            <w:pPr>
                              <w:suppressAutoHyphens/>
                              <w:jc w:val="center"/>
                              <w:rPr>
                                <w:sz w:val="20"/>
                              </w:rPr>
                            </w:pPr>
                            <w:r>
                              <w:rPr>
                                <w:sz w:val="20"/>
                              </w:rPr>
                              <w:t>8.</w:t>
                            </w:r>
                          </w:p>
                        </w:tc>
                        <w:tc>
                          <w:tcPr>
                            <w:tcW w:w="5386" w:type="dxa"/>
                          </w:tcPr>
                          <w:p>
                            <w:pPr>
                              <w:suppressAutoHyphens/>
                              <w:jc w:val="both"/>
                              <w:rPr>
                                <w:sz w:val="20"/>
                              </w:rPr>
                            </w:pPr>
                            <w:r>
                              <w:rPr>
                                <w:sz w:val="20"/>
                              </w:rPr>
                              <w:t>Nepageidaujamų įvykių ASPĮ registravimas</w:t>
                            </w:r>
                          </w:p>
                        </w:tc>
                        <w:tc>
                          <w:tcPr>
                            <w:tcW w:w="2971" w:type="dxa"/>
                            <w:vAlign w:val="center"/>
                          </w:tcPr>
                          <w:p>
                            <w:pPr>
                              <w:suppressAutoHyphens/>
                              <w:jc w:val="center"/>
                              <w:rPr>
                                <w:sz w:val="20"/>
                              </w:rPr>
                            </w:pPr>
                            <w:r>
                              <w:rPr>
                                <w:sz w:val="20"/>
                              </w:rPr>
                              <w:t>10 / 5 / 0</w:t>
                            </w:r>
                          </w:p>
                        </w:tc>
                      </w:tr>
                      <w:tr>
                        <w:tc>
                          <w:tcPr>
                            <w:tcW w:w="988" w:type="dxa"/>
                            <w:vAlign w:val="center"/>
                          </w:tcPr>
                          <w:p>
                            <w:pPr>
                              <w:suppressAutoHyphens/>
                              <w:jc w:val="center"/>
                              <w:rPr>
                                <w:color w:val="000000"/>
                                <w:sz w:val="20"/>
                                <w:szCs w:val="24"/>
                                <w:lang w:eastAsia="lt-LT"/>
                              </w:rPr>
                            </w:pPr>
                            <w:r>
                              <w:rPr>
                                <w:color w:val="000000"/>
                                <w:sz w:val="20"/>
                                <w:szCs w:val="24"/>
                                <w:lang w:eastAsia="lt-LT"/>
                              </w:rPr>
                              <w:t>9.</w:t>
                            </w:r>
                          </w:p>
                        </w:tc>
                        <w:tc>
                          <w:tcPr>
                            <w:tcW w:w="5386" w:type="dxa"/>
                          </w:tcPr>
                          <w:p>
                            <w:pPr>
                              <w:suppressAutoHyphens/>
                              <w:jc w:val="both"/>
                              <w:rPr>
                                <w:color w:val="000000"/>
                                <w:sz w:val="20"/>
                                <w:szCs w:val="24"/>
                                <w:lang w:eastAsia="lt-LT"/>
                              </w:rPr>
                            </w:pPr>
                            <w:r>
                              <w:rPr>
                                <w:color w:val="000000"/>
                                <w:sz w:val="20"/>
                                <w:szCs w:val="24"/>
                                <w:lang w:eastAsia="lt-LT"/>
                              </w:rPr>
                              <w:t>Greitosios medicinos pagalbos skubių įvykdytų iškvietimų paslaugų, suteiktų per 15 min. (mieste) ir per 25 min. (kaime), dalis</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color w:val="000000"/>
                                <w:sz w:val="20"/>
                                <w:szCs w:val="24"/>
                                <w:lang w:eastAsia="lt-LT"/>
                              </w:rPr>
                            </w:pPr>
                            <w:r>
                              <w:rPr>
                                <w:color w:val="000000"/>
                                <w:sz w:val="20"/>
                                <w:szCs w:val="24"/>
                                <w:lang w:eastAsia="lt-LT"/>
                              </w:rPr>
                              <w:t>10.</w:t>
                            </w:r>
                          </w:p>
                        </w:tc>
                        <w:tc>
                          <w:tcPr>
                            <w:tcW w:w="5386" w:type="dxa"/>
                          </w:tcPr>
                          <w:p>
                            <w:pPr>
                              <w:suppressAutoHyphens/>
                              <w:jc w:val="both"/>
                              <w:rPr>
                                <w:color w:val="000000"/>
                                <w:sz w:val="20"/>
                                <w:szCs w:val="24"/>
                                <w:lang w:eastAsia="lt-LT"/>
                              </w:rPr>
                            </w:pPr>
                            <w:r>
                              <w:rPr>
                                <w:color w:val="000000"/>
                                <w:sz w:val="20"/>
                                <w:szCs w:val="24"/>
                                <w:lang w:eastAsia="lt-LT"/>
                              </w:rPr>
                              <w:t>Pakartotinių donorų 1000-iui gyventojų rodiklio augimas</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b/>
                                <w:bCs/>
                                <w:color w:val="000000"/>
                                <w:sz w:val="20"/>
                                <w:szCs w:val="24"/>
                                <w:lang w:eastAsia="lt-LT"/>
                              </w:rPr>
                            </w:pPr>
                            <w:r>
                              <w:rPr>
                                <w:b/>
                                <w:bCs/>
                                <w:color w:val="000000"/>
                                <w:sz w:val="20"/>
                                <w:szCs w:val="24"/>
                                <w:lang w:eastAsia="lt-LT"/>
                              </w:rPr>
                              <w:t>V</w:t>
                            </w:r>
                          </w:p>
                        </w:tc>
                        <w:tc>
                          <w:tcPr>
                            <w:tcW w:w="8357" w:type="dxa"/>
                            <w:gridSpan w:val="2"/>
                          </w:tcPr>
                          <w:p>
                            <w:pPr>
                              <w:suppressAutoHyphens/>
                              <w:jc w:val="both"/>
                              <w:rPr>
                                <w:color w:val="000000"/>
                                <w:sz w:val="20"/>
                                <w:szCs w:val="24"/>
                                <w:lang w:eastAsia="lt-LT"/>
                              </w:rPr>
                            </w:pPr>
                            <w:r>
                              <w:rPr>
                                <w:b/>
                                <w:sz w:val="20"/>
                                <w:lang w:eastAsia="lt-LT"/>
                              </w:rPr>
                              <w:t>Kiti rodikliai:</w:t>
                            </w:r>
                          </w:p>
                        </w:tc>
                      </w:tr>
                      <w:tr>
                        <w:tc>
                          <w:tcPr>
                            <w:tcW w:w="988" w:type="dxa"/>
                            <w:vAlign w:val="center"/>
                          </w:tcPr>
                          <w:p>
                            <w:pPr>
                              <w:suppressAutoHyphens/>
                              <w:jc w:val="center"/>
                              <w:rPr>
                                <w:color w:val="000000"/>
                                <w:sz w:val="20"/>
                                <w:szCs w:val="24"/>
                                <w:lang w:eastAsia="lt-LT"/>
                              </w:rPr>
                            </w:pPr>
                            <w:r>
                              <w:rPr>
                                <w:color w:val="000000"/>
                                <w:sz w:val="20"/>
                                <w:szCs w:val="24"/>
                                <w:lang w:eastAsia="lt-LT"/>
                              </w:rPr>
                              <w:t>1.</w:t>
                            </w:r>
                          </w:p>
                        </w:tc>
                        <w:tc>
                          <w:tcPr>
                            <w:tcW w:w="5386" w:type="dxa"/>
                          </w:tcPr>
                          <w:p>
                            <w:pPr>
                              <w:suppressAutoHyphens/>
                              <w:jc w:val="both"/>
                              <w:rPr>
                                <w:color w:val="000000"/>
                                <w:sz w:val="20"/>
                                <w:szCs w:val="24"/>
                                <w:lang w:eastAsia="lt-LT"/>
                              </w:rPr>
                            </w:pPr>
                            <w:r>
                              <w:rPr>
                                <w:color w:val="000000"/>
                                <w:sz w:val="20"/>
                                <w:szCs w:val="24"/>
                                <w:lang w:eastAsia="lt-LT"/>
                              </w:rPr>
                              <w:t>Duomenų teikimas Išankstinėje pacientų registracijos informacinėje sistemoje</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color w:val="000000"/>
                                <w:sz w:val="20"/>
                                <w:szCs w:val="24"/>
                                <w:lang w:eastAsia="lt-LT"/>
                              </w:rPr>
                            </w:pPr>
                            <w:r>
                              <w:rPr>
                                <w:color w:val="000000"/>
                                <w:sz w:val="20"/>
                                <w:szCs w:val="24"/>
                                <w:lang w:eastAsia="lt-LT"/>
                              </w:rPr>
                              <w:t>2.</w:t>
                            </w:r>
                          </w:p>
                        </w:tc>
                        <w:tc>
                          <w:tcPr>
                            <w:tcW w:w="5386" w:type="dxa"/>
                          </w:tcPr>
                          <w:p>
                            <w:pPr>
                              <w:suppressAutoHyphens/>
                              <w:jc w:val="both"/>
                              <w:rPr>
                                <w:i/>
                                <w:iCs/>
                                <w:color w:val="000000"/>
                                <w:sz w:val="20"/>
                                <w:szCs w:val="24"/>
                                <w:lang w:eastAsia="lt-LT"/>
                              </w:rPr>
                            </w:pPr>
                            <w:r>
                              <w:rPr>
                                <w:i/>
                                <w:iCs/>
                                <w:color w:val="000000"/>
                                <w:sz w:val="20"/>
                                <w:szCs w:val="24"/>
                                <w:lang w:eastAsia="lt-LT"/>
                              </w:rPr>
                              <w:t>Neteko galios 2026-04-23</w:t>
                            </w:r>
                          </w:p>
                        </w:tc>
                        <w:tc>
                          <w:tcPr>
                            <w:tcW w:w="2971" w:type="dxa"/>
                            <w:vAlign w:val="center"/>
                          </w:tcPr>
                          <w:p>
                            <w:pPr>
                              <w:suppressAutoHyphens/>
                              <w:jc w:val="center"/>
                              <w:rPr>
                                <w:color w:val="000000"/>
                                <w:sz w:val="20"/>
                                <w:szCs w:val="24"/>
                                <w:lang w:eastAsia="lt-LT"/>
                              </w:rPr>
                            </w:pPr>
                          </w:p>
                        </w:tc>
                      </w:tr>
                    </w:tbl>
                    <w:p>
                      <w:pPr>
                        <w:suppressAutoHyphens/>
                        <w:jc w:val="both"/>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cf2f0da4111f08918e1adc7c5b1ec">
                        <w:r w:rsidRPr="00532B9F">
                          <w:rPr>
                            <w:rFonts w:ascii="Times New Roman" w:eastAsia="MS Mincho" w:hAnsi="Times New Roman"/>
                            <w:sz w:val="20"/>
                            <w:i/>
                            <w:iCs/>
                            <w:color w:val="0000FF" w:themeColor="hyperlink"/>
                            <w:u w:val="single"/>
                          </w:rPr>
                          <w:t>V-1148</w:t>
                        </w:r>
                      </w:fldSimple>
                      <w:r>
                        <w:rPr>
                          <w:rFonts w:ascii="Times New Roman" w:eastAsia="MS Mincho" w:hAnsi="Times New Roman"/>
                          <w:sz w:val="20"/>
                          <w:i/>
                          <w:iCs/>
                        </w:rPr>
                        <w:t>,
2025-12-16,
paskelbta TAR 2025-12-16, i. k. 2025-21545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69ae13e3011f180c9c618618421ed">
                        <w:r w:rsidRPr="00532B9F">
                          <w:rPr>
                            <w:rFonts w:ascii="Times New Roman" w:eastAsia="MS Mincho" w:hAnsi="Times New Roman"/>
                            <w:sz w:val="20"/>
                            <w:i/>
                            <w:iCs/>
                            <w:color w:val="0000FF" w:themeColor="hyperlink"/>
                            <w:u w:val="single"/>
                          </w:rPr>
                          <w:t>V-362</w:t>
                        </w:r>
                      </w:fldSimple>
                      <w:r>
                        <w:rPr>
                          <w:rFonts w:ascii="Times New Roman" w:eastAsia="MS Mincho" w:hAnsi="Times New Roman"/>
                          <w:sz w:val="20"/>
                          <w:i/>
                          <w:iCs/>
                        </w:rPr>
                        <w:t>,
2026-04-22,
paskelbta TAR 2026-04-22, i. k. 2026-06486            </w:t>
                      </w:r>
                    </w:p>
                    <w:p/>
                  </w:sdtContent>
                </w:sdt>
                <w:sdt>
                  <w:sdtPr>
                    <w:alias w:val="4.2 pp."/>
                    <w:tag w:val="part_c0e6441fb46647c2a9c29f0f3a6f447b"/>
                    <w:lock w:val="sdtLocked"/>
                    <w:richText/>
                  </w:sdtPr>
                  <w:sdtContent>
                    <w:p>
                      <w:pPr>
                        <w:suppressAutoHyphens/>
                        <w:ind w:firstLine="567"/>
                        <w:jc w:val="both"/>
                        <w:rPr>
                          <w:szCs w:val="22"/>
                        </w:rPr>
                      </w:pPr>
                      <w:sdt>
                        <w:sdtPr>
                          <w:alias w:val="Numeris"/>
                          <w:tag w:val="nr_c0e6441fb46647c2a9c29f0f3a6f447b"/>
                          <w:lock w:val="sdtLocked"/>
                          <w:richText/>
                        </w:sdtPr>
                        <w:sdtContent>
                          <w:r>
                            <w:rPr>
                              <w:szCs w:val="22"/>
                            </w:rPr>
                            <w:t>4.2</w:t>
                          </w:r>
                        </w:sdtContent>
                      </w:sdt>
                      <w:r>
                        <w:rPr>
                          <w:szCs w:val="22"/>
                        </w:rPr>
                        <w:t xml:space="preserve">. </w:t>
                      </w:r>
                      <w:r>
                        <w:rPr>
                          <w:color w:val="000000"/>
                          <w:szCs w:val="22"/>
                        </w:rPr>
                        <w:t>nustato LNSS viešosios įstaigos vadovo mėnesinio darbo užmokesčio kintamąją dalį, atsižvelgdama į balų kiekį, kurio trūksta iki maksimalaus įstaigos galimo surinkti balų skaičiaus:</w:t>
                      </w:r>
                    </w:p>
                    <w:p>
                      <w:pPr>
                        <w:suppressAutoHyphens/>
                        <w:ind w:firstLine="567"/>
                        <w:jc w:val="both"/>
                        <w:rPr>
                          <w:color w:val="000000"/>
                          <w:szCs w:val="22"/>
                        </w:rPr>
                      </w:pPr>
                    </w:p>
                    <w:tbl>
                      <w:tblPr>
                        <w:tblW w:w="7792" w:type="dxa"/>
                        <w:jc w:val="center"/>
                        <w:tblCellMar>
                          <w:left w:w="10" w:type="dxa"/>
                          <w:right w:w="10" w:type="dxa"/>
                        </w:tblCellMar>
                        <w:tblLook w:val="0000" w:firstRow="0" w:lastRow="0" w:firstColumn="0" w:lastColumn="0" w:noHBand="0" w:noVBand="0"/>
                      </w:tblPr>
                      <w:tblGrid>
                        <w:gridCol w:w="4214"/>
                        <w:gridCol w:w="3578"/>
                      </w:tblGrid>
                      <w:tr>
                        <w:trPr>
                          <w:trHeight w:val="1"/>
                          <w:jc w:val="center"/>
                        </w:trPr>
                        <w:tc>
                          <w:tcPr>
                            <w:tcW w:w="421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jc w:val="center"/>
                              <w:rPr>
                                <w:rFonts w:ascii="Calibri" w:eastAsia="Calibri" w:hAnsi="Calibri" w:cs="Calibri"/>
                                <w:sz w:val="22"/>
                                <w:szCs w:val="22"/>
                              </w:rPr>
                            </w:pPr>
                            <w:r>
                              <w:rPr>
                                <w:b/>
                                <w:color w:val="000000"/>
                                <w:szCs w:val="22"/>
                              </w:rPr>
                              <w:t>Mėnesinio darbo užmokesčio kintamoji dalis</w:t>
                            </w:r>
                            <w:r>
                              <w:rPr>
                                <w:b/>
                                <w:szCs w:val="22"/>
                              </w:rPr>
                              <w:t>, mėnesinio darbo užmokesčio pastoviosios dalies dydžio procentai</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pPr>
                              <w:jc w:val="center"/>
                              <w:rPr>
                                <w:sz w:val="22"/>
                                <w:szCs w:val="22"/>
                              </w:rPr>
                            </w:pPr>
                            <w:r>
                              <w:rPr>
                                <w:b/>
                                <w:szCs w:val="22"/>
                              </w:rPr>
                              <w:t>Trūkstami balai iki maksimalaus galimo įstaigos balų skaičiaus</w:t>
                            </w:r>
                          </w:p>
                        </w:tc>
                      </w:tr>
                      <w:tr>
                        <w:trPr>
                          <w:trHeight w:val="1"/>
                          <w:jc w:val="center"/>
                        </w:trPr>
                        <w:tc>
                          <w:tcPr>
                            <w:tcW w:w="421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jc w:val="center"/>
                              <w:rPr>
                                <w:sz w:val="22"/>
                                <w:szCs w:val="22"/>
                              </w:rPr>
                            </w:pPr>
                            <w:r>
                              <w:rPr>
                                <w:szCs w:val="24"/>
                              </w:rPr>
                              <w:t>20</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pPr>
                              <w:jc w:val="center"/>
                              <w:rPr>
                                <w:lang w:val="en-US"/>
                              </w:rPr>
                            </w:pPr>
                            <w:r>
                              <w:rPr>
                                <w:szCs w:val="24"/>
                              </w:rPr>
                              <w:t>Iki 20</w:t>
                            </w:r>
                          </w:p>
                        </w:tc>
                      </w:tr>
                      <w:tr>
                        <w:trPr>
                          <w:trHeight w:val="1"/>
                          <w:jc w:val="center"/>
                        </w:trPr>
                        <w:tc>
                          <w:tcPr>
                            <w:tcW w:w="421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jc w:val="center"/>
                              <w:rPr>
                                <w:sz w:val="22"/>
                                <w:szCs w:val="22"/>
                              </w:rPr>
                            </w:pPr>
                            <w:r>
                              <w:rPr>
                                <w:szCs w:val="24"/>
                              </w:rPr>
                              <w:t>15</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pPr>
                              <w:jc w:val="center"/>
                              <w:rPr>
                                <w:sz w:val="22"/>
                                <w:szCs w:val="22"/>
                              </w:rPr>
                            </w:pPr>
                            <w:r>
                              <w:rPr>
                                <w:lang w:val="en-US"/>
                              </w:rPr>
                              <w:t>25</w:t>
                            </w:r>
                            <w:r>
                              <w:rPr>
                                <w:szCs w:val="24"/>
                              </w:rPr>
                              <w:t>–</w:t>
                            </w:r>
                            <w:r>
                              <w:rPr>
                                <w:lang w:val="en-US"/>
                              </w:rPr>
                              <w:t>40</w:t>
                            </w:r>
                          </w:p>
                        </w:tc>
                      </w:tr>
                      <w:tr>
                        <w:trPr>
                          <w:trHeight w:val="1"/>
                          <w:jc w:val="center"/>
                        </w:trPr>
                        <w:tc>
                          <w:tcPr>
                            <w:tcW w:w="421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jc w:val="center"/>
                              <w:rPr>
                                <w:sz w:val="22"/>
                                <w:szCs w:val="22"/>
                              </w:rPr>
                            </w:pPr>
                            <w:r>
                              <w:rPr>
                                <w:szCs w:val="24"/>
                              </w:rPr>
                              <w:t>10</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pPr>
                              <w:jc w:val="center"/>
                              <w:rPr>
                                <w:sz w:val="22"/>
                                <w:szCs w:val="22"/>
                              </w:rPr>
                            </w:pPr>
                            <w:r>
                              <w:rPr>
                                <w:szCs w:val="22"/>
                              </w:rPr>
                              <w:t>45</w:t>
                            </w:r>
                            <w:r>
                              <w:rPr>
                                <w:szCs w:val="24"/>
                              </w:rPr>
                              <w:t>–</w:t>
                            </w:r>
                            <w:r>
                              <w:rPr>
                                <w:szCs w:val="22"/>
                              </w:rPr>
                              <w:t>60</w:t>
                            </w:r>
                          </w:p>
                        </w:tc>
                      </w:tr>
                      <w:tr>
                        <w:trPr>
                          <w:trHeight w:val="1"/>
                          <w:jc w:val="center"/>
                        </w:trPr>
                        <w:tc>
                          <w:tcPr>
                            <w:tcW w:w="421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jc w:val="center"/>
                              <w:rPr>
                                <w:sz w:val="22"/>
                                <w:szCs w:val="22"/>
                              </w:rPr>
                            </w:pPr>
                            <w:r>
                              <w:rPr>
                                <w:sz w:val="22"/>
                                <w:szCs w:val="22"/>
                              </w:rPr>
                              <w:t>5</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pPr>
                              <w:jc w:val="center"/>
                              <w:rPr>
                                <w:sz w:val="22"/>
                                <w:szCs w:val="22"/>
                              </w:rPr>
                            </w:pPr>
                            <w:r>
                              <w:rPr>
                                <w:lang w:val="en-US"/>
                              </w:rPr>
                              <w:t>65</w:t>
                            </w:r>
                            <w:r>
                              <w:rPr>
                                <w:szCs w:val="24"/>
                              </w:rPr>
                              <w:t>–</w:t>
                            </w:r>
                            <w:r>
                              <w:rPr>
                                <w:lang w:val="en-US"/>
                              </w:rPr>
                              <w:t>80</w:t>
                            </w:r>
                          </w:p>
                        </w:tc>
                      </w:tr>
                      <w:tr>
                        <w:trPr>
                          <w:trHeight w:val="1"/>
                          <w:jc w:val="center"/>
                        </w:trPr>
                        <w:tc>
                          <w:tcPr>
                            <w:tcW w:w="421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jc w:val="center"/>
                              <w:rPr>
                                <w:sz w:val="22"/>
                                <w:szCs w:val="22"/>
                              </w:rPr>
                            </w:pPr>
                            <w:r>
                              <w:rPr>
                                <w:sz w:val="22"/>
                                <w:szCs w:val="22"/>
                              </w:rPr>
                              <w:t>Nenustatoma</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pPr>
                              <w:jc w:val="center"/>
                              <w:rPr>
                                <w:szCs w:val="24"/>
                              </w:rPr>
                            </w:pPr>
                            <w:r>
                              <w:rPr>
                                <w:lang w:val="en-US"/>
                              </w:rPr>
                              <w:t>85 ir daugiau</w:t>
                            </w:r>
                          </w:p>
                        </w:tc>
                      </w:tr>
                    </w:tbl>
                    <w:p>
                      <w:pPr>
                        <w:suppressAutoHyphens/>
                        <w:ind w:firstLine="567"/>
                        <w:jc w:val="both"/>
                        <w:rPr>
                          <w:szCs w:val="24"/>
                        </w:rPr>
                      </w:pPr>
                    </w:p>
                  </w:sdtContent>
                </w:sdt>
              </w:sdtContent>
            </w:sdt>
            <w:sdt>
              <w:sdtPr>
                <w:alias w:val="5 p."/>
                <w:tag w:val="part_b4173d3ad0aa4739af5c48e2f849cc6c"/>
                <w:lock w:val="sdtLocked"/>
                <w:richText/>
              </w:sdtPr>
              <w:sdtContent>
                <w:p>
                  <w:pPr>
                    <w:suppressAutoHyphens/>
                    <w:ind w:firstLine="567"/>
                    <w:jc w:val="both"/>
                    <w:rPr>
                      <w:color w:val="000000"/>
                      <w:szCs w:val="22"/>
                    </w:rPr>
                  </w:pPr>
                  <w:sdt>
                    <w:sdtPr>
                      <w:alias w:val="Numeris"/>
                      <w:tag w:val="nr_b4173d3ad0aa4739af5c48e2f849cc6c"/>
                      <w:lock w:val="sdtLocked"/>
                      <w:richText/>
                    </w:sdtPr>
                    <w:sdtContent>
                      <w:r>
                        <w:rPr>
                          <w:color w:val="000000"/>
                          <w:szCs w:val="22"/>
                        </w:rPr>
                        <w:t>5</w:t>
                      </w:r>
                    </w:sdtContent>
                  </w:sdt>
                  <w:r>
                    <w:rPr>
                      <w:color w:val="000000"/>
                      <w:szCs w:val="22"/>
                    </w:rPr>
                    <w:t xml:space="preserve">. LNSS viešosios įstaigos vadovo pavaduotojo mėnesinio darbo užmokesčio kintamosios dalies dydį nustato LNSS viešosios įstaigos vadovas, atsižvelgdamas į praėjusių kalendorinių metų LNSS viešosios įstaigos pasiektas </w:t>
                  </w:r>
                  <w:r>
                    <w:rPr>
                      <w:color w:val="000000"/>
                      <w:szCs w:val="24"/>
                    </w:rPr>
                    <w:t xml:space="preserve">siektinas reikšmes, nustatytas įstaigų grupei, kuriai priklauso LNSS viešoji įstaiga. </w:t>
                  </w:r>
                </w:p>
              </w:sdtContent>
            </w:sdt>
            <w:sdt>
              <w:sdtPr>
                <w:alias w:val="6 p."/>
                <w:tag w:val="part_a5d6a9e9a80848809611a8ac8304dde3"/>
                <w:lock w:val="sdtLocked"/>
                <w:richText/>
              </w:sdtPr>
              <w:sdtContent>
                <w:p>
                  <w:pPr>
                    <w:suppressAutoHyphens/>
                    <w:ind w:firstLine="567"/>
                    <w:jc w:val="both"/>
                    <w:rPr>
                      <w:color w:val="000000"/>
                      <w:szCs w:val="22"/>
                    </w:rPr>
                  </w:pPr>
                  <w:sdt>
                    <w:sdtPr>
                      <w:alias w:val="Numeris"/>
                      <w:tag w:val="nr_a5d6a9e9a80848809611a8ac8304dde3"/>
                      <w:lock w:val="sdtLocked"/>
                      <w:richText/>
                    </w:sdtPr>
                    <w:sdtContent>
                      <w:r>
                        <w:rPr>
                          <w:color w:val="000000"/>
                          <w:szCs w:val="22"/>
                        </w:rPr>
                        <w:t>6</w:t>
                      </w:r>
                    </w:sdtContent>
                  </w:sdt>
                  <w:r>
                    <w:rPr>
                      <w:color w:val="000000"/>
                      <w:szCs w:val="22"/>
                    </w:rPr>
                    <w:t xml:space="preserve">. LNSS viešosios įstaigos visuotinio dalininkų susirinkimo ar savininko teises ir pareigas įgyvendinančios institucijos sprendimas dėl LNSS viešosios įstaigos vadovo mėnesinio darbo užmokesčio kintamosios dalies dydžio nustatymo ir LNSS viešosios įstaigos vadovo sprendimas dėl LNSS viešosios įstaigos vadovo pavaduotojo mėnesinio darbo užmokesčio kintamosios dalies dydžio nustatymo turi įsigalioti einamųjų metų gegužės 1 d. </w:t>
                  </w:r>
                </w:p>
                <w:p>
                  <w:pPr>
                    <w:suppressAutoHyphens/>
                    <w:jc w:val="center"/>
                    <w:rPr>
                      <w:b/>
                      <w:color w:val="000000"/>
                      <w:szCs w:val="22"/>
                    </w:rPr>
                  </w:pPr>
                </w:p>
              </w:sdtContent>
            </w:sdt>
          </w:sdtContent>
        </w:sdt>
        <w:sdt>
          <w:sdtPr>
            <w:alias w:val="skyrius"/>
            <w:tag w:val="part_cda6a244da4241079db622b5d8aef34d"/>
            <w:lock w:val="sdtLocked"/>
            <w:richText/>
          </w:sdtPr>
          <w:sdtContent>
            <w:p>
              <w:pPr>
                <w:suppressAutoHyphens/>
                <w:jc w:val="center"/>
                <w:rPr>
                  <w:b/>
                  <w:color w:val="000000"/>
                  <w:szCs w:val="22"/>
                </w:rPr>
              </w:pPr>
              <w:sdt>
                <w:sdtPr>
                  <w:alias w:val="Numeris"/>
                  <w:tag w:val="nr_cda6a244da4241079db622b5d8aef34d"/>
                  <w:lock w:val="sdtLocked"/>
                  <w:richText/>
                </w:sdtPr>
                <w:sdtContent>
                  <w:r>
                    <w:rPr>
                      <w:b/>
                      <w:color w:val="000000"/>
                      <w:szCs w:val="22"/>
                    </w:rPr>
                    <w:t>III</w:t>
                  </w:r>
                </w:sdtContent>
              </w:sdt>
              <w:r>
                <w:rPr>
                  <w:b/>
                  <w:color w:val="000000"/>
                  <w:szCs w:val="22"/>
                </w:rPr>
                <w:t xml:space="preserve"> SKYRIUS</w:t>
              </w:r>
            </w:p>
            <w:p>
              <w:pPr>
                <w:suppressAutoHyphens/>
                <w:jc w:val="center"/>
                <w:rPr>
                  <w:b/>
                  <w:color w:val="000000"/>
                  <w:szCs w:val="22"/>
                </w:rPr>
              </w:pPr>
              <w:sdt>
                <w:sdtPr>
                  <w:alias w:val="Pavadinimas"/>
                  <w:tag w:val="title_cda6a244da4241079db622b5d8aef34d"/>
                  <w:lock w:val="sdtLocked"/>
                  <w:richText/>
                </w:sdtPr>
                <w:sdtContent>
                  <w:r>
                    <w:rPr>
                      <w:b/>
                      <w:color w:val="000000"/>
                      <w:szCs w:val="22"/>
                    </w:rPr>
                    <w:t>BAIGIAMOSIOS NUOSTATOS</w:t>
                  </w:r>
                </w:sdtContent>
              </w:sdt>
            </w:p>
            <w:p>
              <w:pPr>
                <w:suppressAutoHyphens/>
                <w:ind w:firstLine="567"/>
                <w:jc w:val="center"/>
                <w:rPr>
                  <w:color w:val="000000"/>
                  <w:szCs w:val="22"/>
                </w:rPr>
              </w:pPr>
            </w:p>
            <w:sdt>
              <w:sdtPr>
                <w:alias w:val="7 p."/>
                <w:tag w:val="part_6c16a9c06f6c4d20bdbaf943b1db055f"/>
                <w:lock w:val="sdtLocked"/>
                <w:richText/>
              </w:sdtPr>
              <w:sdtContent>
                <w:p>
                  <w:pPr>
                    <w:suppressAutoHyphens/>
                    <w:ind w:firstLine="567"/>
                    <w:jc w:val="both"/>
                    <w:rPr>
                      <w:color w:val="000000"/>
                      <w:szCs w:val="22"/>
                    </w:rPr>
                  </w:pPr>
                  <w:sdt>
                    <w:sdtPr>
                      <w:alias w:val="Numeris"/>
                      <w:tag w:val="nr_6c16a9c06f6c4d20bdbaf943b1db055f"/>
                      <w:lock w:val="sdtLocked"/>
                      <w:richText/>
                    </w:sdtPr>
                    <w:sdtContent>
                      <w:r>
                        <w:rPr>
                          <w:color w:val="000000"/>
                          <w:szCs w:val="22"/>
                        </w:rPr>
                        <w:t>7</w:t>
                      </w:r>
                    </w:sdtContent>
                  </w:sdt>
                  <w:r>
                    <w:rPr>
                      <w:color w:val="000000"/>
                      <w:szCs w:val="22"/>
                    </w:rPr>
                    <w:t>. LNSS viešosios įstaigos visuotinis dalininkų susirinkimas ar savininko teises ir pareigas įgyvendinanti institucija gali sudaryti darbo grupę siūlymams dėl LNSS viešosios įstaigos vadovo mėnesinio darbo užmokesčio kintamosios dalies dydžio nustatymo pateikti. Darbo grupė siūlymus LNSS viešosios įstaigos visuotiniam dalininkų susirinkimui ar savininko teises ir pareigas įgyvendinančiai institucijai teikia vadovaudamasi Aprašo 4 punktu.</w:t>
                  </w:r>
                </w:p>
              </w:sdtContent>
            </w:sdt>
          </w:sdtContent>
        </w:sdt>
        <w:sdt>
          <w:sdtPr>
            <w:alias w:val="pabaiga"/>
            <w:tag w:val="part_3ae04abaed624047a9951acab48a9d60"/>
            <w:lock w:val="sdtLocked"/>
            <w:richText/>
          </w:sdtPr>
          <w:sdtContent>
            <w:p>
              <w:pPr>
                <w:suppressAutoHyphens/>
                <w:jc w:val="center"/>
                <w:rPr>
                  <w:szCs w:val="24"/>
                </w:rPr>
              </w:pPr>
              <w:r>
                <w:rPr>
                  <w:color w:val="000000"/>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Siektinų reikšmių sąrašas (V-362)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cf2f0da4111f08918e1adc7c5b1ec">
            <w:r w:rsidRPr="00532B9F">
              <w:rPr>
                <w:rFonts w:ascii="Times New Roman" w:eastAsia="MS Mincho" w:hAnsi="Times New Roman"/>
                <w:sz w:val="20"/>
                <w:i/>
                <w:iCs/>
                <w:color w:val="0000FF" w:themeColor="hyperlink"/>
                <w:u w:val="single"/>
              </w:rPr>
              <w:t>V-1148</w:t>
            </w:r>
          </w:fldSimple>
          <w:r>
            <w:rPr>
              <w:rFonts w:ascii="Times New Roman" w:eastAsia="MS Mincho" w:hAnsi="Times New Roman"/>
              <w:sz w:val="20"/>
              <w:i/>
              <w:iCs/>
            </w:rPr>
            <w:t>,
2025-12-16,
paskelbta TAR 2025-12-16, i. k. 2025-21545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69ae13e3011f180c9c618618421ed">
            <w:r w:rsidRPr="00532B9F">
              <w:rPr>
                <w:rFonts w:ascii="Times New Roman" w:eastAsia="MS Mincho" w:hAnsi="Times New Roman"/>
                <w:sz w:val="20"/>
                <w:i/>
                <w:iCs/>
                <w:color w:val="0000FF" w:themeColor="hyperlink"/>
                <w:u w:val="single"/>
              </w:rPr>
              <w:t>V-362</w:t>
            </w:r>
          </w:fldSimple>
          <w:r>
            <w:rPr>
              <w:rFonts w:ascii="Times New Roman" w:eastAsia="MS Mincho" w:hAnsi="Times New Roman"/>
              <w:sz w:val="20"/>
              <w:i/>
              <w:iCs/>
            </w:rPr>
            <w:t>,
2026-04-22,
paskelbta TAR 2026-04-22, i. k. 2026-06486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cf2f0da4111f08918e1adc7c5b1ec">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2025-12-16,
paskelbta TAR 2025-12-16, i. k. 2025-21545                </w:t>
          </w:r>
        </w:p>
        <w:p>
          <w:pPr>
            <w:jc w:val="both"/>
            <w:rPr>
              <w:rFonts w:ascii="Times New Roman" w:hAnsi="Times New Roman"/>
            </w:rPr>
          </w:pPr>
          <w:r>
            <w:rPr>
              <w:rFonts w:ascii="Times New Roman" w:hAnsi="Times New Roman"/>
              <w:sz w:val="20"/>
            </w:rPr>
            <w:t>Dėl Lietuvos Respublikos sveikatos apsaugos ministro 2025 m. gegužės 21 d. įsakymo Nr. V-482 „Dėl Lietuvos nacionalinės sveikatos sistemos viešųjų ir biudžetinių įstaigų, teikiančių asmens sveikatos priežiūros paslaugas, veiklos rezultatų vertinimo rodiklių 2025 metų siektinų reikšmių ir Lietuvos nacionalinės sveikatos sistemos viešųjų įstaigų vadovų ir jų pavaduotojų mėnesinio darbo užmokesčio kintamosios dalies dydžio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869ae13e3011f180c9c618618421ed">
            <w:r w:rsidRPr="00532B9F">
              <w:rPr>
                <w:rFonts w:ascii="Times New Roman" w:eastAsia="MS Mincho" w:hAnsi="Times New Roman"/>
                <w:sz w:val="20"/>
                <w:iCs/>
                <w:color w:val="0000FF" w:themeColor="hyperlink"/>
                <w:u w:val="single"/>
              </w:rPr>
              <w:t>V-362</w:t>
            </w:r>
          </w:fldSimple>
          <w:r>
            <w:rPr>
              <w:rFonts w:ascii="Times New Roman" w:eastAsia="MS Mincho" w:hAnsi="Times New Roman"/>
              <w:sz w:val="20"/>
              <w:iCs/>
            </w:rPr>
            <w:t>,
2026-04-22,
paskelbta TAR 2026-04-22, i. k. 2026-06486                </w:t>
          </w:r>
        </w:p>
        <w:p>
          <w:pPr>
            <w:jc w:val="both"/>
            <w:rPr>
              <w:rFonts w:ascii="Times New Roman" w:hAnsi="Times New Roman"/>
            </w:rPr>
          </w:pPr>
          <w:r>
            <w:rPr>
              <w:rFonts w:ascii="Times New Roman" w:hAnsi="Times New Roman"/>
              <w:sz w:val="20"/>
            </w:rPr>
            <w:t>Dėl Lietuvos Respublikos sveikatos apsaugos ministro 2025 m. gegužės 21 d. įsakymo Nr. V-482 „Dėl Lietuvos nacionalinės sveikatos sistemos viešųjų ir biudžetinių įstaigų, teikiančių asmens sveikatos priežiūros paslaugas, veiklos rezultatų vertinimo rodiklių 2025 metų siektinų reikšmių ir Lietuvos nacionalinės sveikatos sistemos viešųjų įstaigų vadovų ir jų pavaduotojų mėnesinio darbo užmokesčio kintamosios dalies dydžio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851" w:right="567" w:bottom="1134" w:left="1701" w:header="1134" w:footer="1134"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BF36F9"/>
  <w15:chartTrackingRefBased/>
  <w15:docId w15:val="{70112B5E-5ACE-4333-A9D5-C04DF17A319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78321314">
      <w:bodyDiv w:val="1"/>
      <w:marLeft w:val="0"/>
      <w:marRight w:val="0"/>
      <w:marTop w:val="0"/>
      <w:marBottom w:val="0"/>
      <w:divBdr>
        <w:top w:val="none" w:sz="0" w:space="0" w:color="auto"/>
        <w:left w:val="none" w:sz="0" w:space="0" w:color="auto"/>
        <w:bottom w:val="none" w:sz="0" w:space="0" w:color="auto"/>
        <w:right w:val="none" w:sz="0" w:space="0" w:color="auto"/>
      </w:divBdr>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477451083">
      <w:bodyDiv w:val="1"/>
      <w:marLeft w:val="0"/>
      <w:marRight w:val="0"/>
      <w:marTop w:val="0"/>
      <w:marBottom w:val="0"/>
      <w:divBdr>
        <w:top w:val="none" w:sz="0" w:space="0" w:color="auto"/>
        <w:left w:val="none" w:sz="0" w:space="0" w:color="auto"/>
        <w:bottom w:val="none" w:sz="0" w:space="0" w:color="auto"/>
        <w:right w:val="none" w:sz="0" w:space="0" w:color="auto"/>
      </w:divBdr>
    </w:div>
    <w:div w:id="1679380446">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oleObject" Target="embeddings/oleObject3.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3.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SixthEditionOfficeOnline.xsl" StyleName="APA" Version="6"/>
</file>

<file path=customXml/item2.xml><?xml version="1.0" encoding="utf-8"?>
<b:Sources xmlns:b="http://schemas.openxmlformats.org/officeDocument/2006/bibliography" SelectedStyle="\APASixthEditionOfficeOnline.xsl" StyleName="APA" Version="6"/>
</file>

<file path=customXml/item3.xml><?xml version="1.0" encoding="utf-8"?>
<Parts xmlns="http://lrs.lt/TAIS/DocParts">
  <Part Type="pagrindine" DocPartId="f4f8332c8cd249e4bd96715dcd0e5573" PartId="e74953ea96ae4a5a980f3e388acf83a7">
    <Part Type="preambule" DocPartId="20595ae453804ef49ce95bf729877a8f" PartId="eb1208197d2e489bb96171c689e8039c"/>
    <Part Type="punktas" Nr="1" Abbr="1 p." DocPartId="6b3e54a2189c4cc9aab76d6d04f416f1" PartId="ac76b4e688c7466faddd0e0d06b19483">
      <Part Type="papunktis" Nr="1.1" Abbr="1.1 pp." DocPartId="7e7e3bbc15ae4ccfb9ec1baab3d648ec" PartId="8a137eb75e7d444086efdcd10ccb2ba3"/>
      <Part Type="papunktis" Nr="1.2" Abbr="1.2 pp." DocPartId="ccdb91e51de24fc0b3f50de92f393519" PartId="237c9e38fc844c1cb3f970e4f6438c5a"/>
    </Part>
    <Part Type="punktas" Nr="2" Abbr="2 p." DocPartId="d5864965d765411a9cc2aff9a5377ae2" PartId="74a88b7f02134f1c96139700ac0e5aa0"/>
    <Part Type="signatura" DocPartId="bb73c82f6d934124b2aafee3b2f058a3" PartId="5acb342ac87a4e79858c57082f72bc01"/>
  </Part>
  <Part Type="patvirtinta" Title="LIETUVOS NACIONALINĖS SVEIKATOS SISTEMOS VIEŠŲJŲ ĮSTAIGŲ VADOVŲ IR JŲ PAVADUOTOJŲ MĖNESINIO DARBO UŽMOKESČIO KINTAMOSIOS DALIES DYDŽIO NUSTATYMO TVARKOS APRAŠAS" DocPartId="e011f51ecab6465b8ce4ce45488b698a" PartId="be416ddc0ec54400add4118058a2b7eb">
    <Part Type="skyrius" Nr="1" Title="BENDROSIOS NUOSTATOS" DocPartId="218de55e5e86477c97270d111d68c8c8" PartId="363e156384c84699aec0356cd5eee501">
      <Part Type="punktas" Nr="1" Abbr="1 p." DocPartId="22dfd33612d34118a17c56972b7dcc71" PartId="a98c48b0a63147d2a7d0ddd194aed6ea"/>
      <Part Type="punktas" Nr="2" Abbr="2 p." DocPartId="7799359c2a6441f8897ce924e9d22e7b" PartId="497acd65cb9641ed8c442c4eb84af14c"/>
      <Part Type="punktas" Nr="3" Abbr="3 p." DocPartId="bd7c43ca51fd42ec9b6ed1676e960172" PartId="ed9ad39774644ff9b896b7aee29c9e5b"/>
    </Part>
    <Part Type="skyrius" Nr="2" Title="VADOVAUJANČIŲJŲ DARBUOTOJŲ MĖNESINIO DARBO UŽMOKESČIO KINTAMOSIOS DALIES DYDŽIO NUSTATYMO TVARKA" DocPartId="045cedf3cd5a418ba3cbb9d737e9b606" PartId="28203f5b3bab453782ba40351af089be">
      <Part Type="punktas" Nr="4" Abbr="4 p." DocPartId="fd8dee62a6eb47198358c9240b7c645e" PartId="f6025244ba5b47b59ed501c9e8505d44">
        <Part Type="papunktis" Nr="4.1" Abbr="4.1 pp." DocPartId="879325fa00124d4bbeae556e90cd5e7a" PartId="f303a4b7bb374ff8a69ef86391829c2b"/>
        <Part Type="papunktis" Nr="4.2" Abbr="4.2 pp." DocPartId="ec8b29da99d748f9b8ac93a504e6184b" PartId="c0e6441fb46647c2a9c29f0f3a6f447b"/>
      </Part>
      <Part Type="punktas" Nr="5" Abbr="5 p." DocPartId="0daa6dd383fa449482f1e064153f237c" PartId="b4173d3ad0aa4739af5c48e2f849cc6c"/>
      <Part Type="punktas" Nr="6" Abbr="6 p." DocPartId="38c38fdf91ba4aa89c77f1774e0deec0" PartId="a5d6a9e9a80848809611a8ac8304dde3"/>
    </Part>
    <Part Type="skyrius" Nr="3" Title="BAIGIAMOSIOS NUOSTATOS" DocPartId="fc4748b96b6e4e10a2c48aea0357fc25" PartId="cda6a244da4241079db622b5d8aef34d">
      <Part Type="punktas" Nr="7" Abbr="7 p." DocPartId="51221203950340939423218e007049ce" PartId="6c16a9c06f6c4d20bdbaf943b1db055f"/>
    </Part>
    <Part Type="pabaiga" DocPartId="87eeb25d3ae44bb780374b1acfe055c1" PartId="3ae04abaed624047a9951acab48a9d60"/>
  </Part>
</Parts>
</file>

<file path=customXml/itemProps1.xml><?xml version="1.0" encoding="utf-8"?>
<ds:datastoreItem xmlns:ds="http://schemas.openxmlformats.org/officeDocument/2006/customXml" ds:itemID="{D053CC06-406D-4354-BBFD-00AAF288FBB1}">
  <ds:schemaRefs>
    <ds:schemaRef ds:uri="http://schemas.openxmlformats.org/officeDocument/2006/bibliography"/>
  </ds:schemaRefs>
</ds:datastoreItem>
</file>

<file path=customXml/itemProps2.xml><?xml version="1.0" encoding="utf-8"?>
<ds:datastoreItem xmlns:ds="http://schemas.openxmlformats.org/officeDocument/2006/customXml" ds:itemID="{7E3B2834-E1B3-49F2-A9B0-67123CBDEC42}">
  <ds:schemaRefs>
    <ds:schemaRef ds:uri="http://schemas.openxmlformats.org/officeDocument/2006/bibliography"/>
  </ds:schemaRefs>
</ds:datastoreItem>
</file>

<file path=customXml/itemProps3.xml><?xml version="1.0" encoding="utf-8"?>
<ds:datastoreItem xmlns:ds="http://schemas.openxmlformats.org/officeDocument/2006/customXml" ds:itemID="{723C2AAD-5CFC-47FE-A3DF-13912478946D}">
  <ds:schemaRefs>
    <ds:schemaRef ds:uri="http://lrs.lt/TAIS/DocParts"/>
  </ds:schemaRefs>
</ds:datastoreItem>
</file>

<file path=docProps/app.xml><?xml version="1.0" encoding="utf-8"?>
<Properties xmlns="http://schemas.openxmlformats.org/officeDocument/2006/extended-properties">
  <Template>Normal.dotm</Template>
  <TotalTime>7</TotalTime>
  <Pages>5</Pages>
  <Words>6449</Words>
  <Characters>3677</Characters>
  <Application>Microsoft Office Word</Application>
  <DocSecurity>0</DocSecurity>
  <Lines>30</Lines>
  <Paragraphs>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10106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2025-05-21T06:46:00Z</dcterms:created>
  <dc:creator>loginovic</dc:creator>
  <lastModifiedBy>TAMALIŪNIENĖ Vilija</lastModifiedBy>
  <lastPrinted>2020-07-28T05:57:00Z</lastPrinted>
  <dcterms:modified xsi:type="dcterms:W3CDTF">2026-04-27T16:07:00Z</dcterms:modified>
  <revision>7</revision>
  <dc:title>2001-05-00</dc:title>
</coreProperties>
</file>