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00f749fa70c451984e47661a4a089cd"/>
        <w:lock w:val="sdtLocked"/>
        <w:richText/>
      </w:sdtPr>
      <w:sdtContent>
        <w:p>
          <w:pPr>
            <w:jc w:val="both"/>
            <w:rPr>
              <w:rFonts w:ascii="Times New Roman" w:hAnsi="Times New Roman"/>
            </w:rPr>
          </w:pPr>
          <w:r>
            <w:rPr>
              <w:rFonts w:ascii="Times New Roman" w:hAnsi="Times New Roman"/>
              <w:b/>
              <w:i/>
            </w:rPr>
            <w:t>Suvestinė redakcija nuo 2019-06-01 iki 2019-10-31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2014-04-09, i. k. 2014-04242</w:t>
          </w:r>
        </w:p>
        <w:p>
          <w:pPr>
            <w:jc w:val="both"/>
            <w:rPr>
              <w:rFonts w:ascii="Times New Roman" w:hAnsi="Times New Roman"/>
              <w:sz w:val="20"/>
            </w:rPr>
          </w:pPr>
        </w:p>
        <w:p>
          <w:pPr>
            <w:tabs>
              <w:tab w:val="center" w:pos="4819"/>
              <w:tab w:val="right" w:pos="9638"/>
            </w:tabs>
            <w:suppressAutoHyphens/>
            <w:jc w:val="center"/>
            <w:rPr>
              <w:rFonts w:eastAsia="Calibri"/>
              <w:b/>
              <w:szCs w:val="24"/>
            </w:rPr>
          </w:pPr>
          <w:r>
            <w:rPr>
              <w:rFonts w:eastAsia="Calibri"/>
              <w:b/>
              <w:szCs w:val="24"/>
              <w:lang w:eastAsia="lt-LT"/>
            </w:rPr>
            <w:drawing>
              <wp:inline distT="0" distB="0" distL="0" distR="0">
                <wp:extent cx="513849" cy="581025"/>
                <wp:effectExtent l="0" t="0" r="63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srcRect/>
                        <a:stretch>
                          <a:fillRect/>
                        </a:stretch>
                      </pic:blipFill>
                      <pic:spPr bwMode="auto">
                        <a:xfrm>
                          <a:off x="0" y="0"/>
                          <a:ext cx="512164" cy="579120"/>
                        </a:xfrm>
                        <a:prstGeom prst="rect">
                          <a:avLst/>
                        </a:prstGeom>
                        <a:solidFill>
                          <a:srgbClr val="FFFFFF">
                            <a:alpha val="0"/>
                          </a:srgbClr>
                        </a:solidFill>
                        <a:ln w="9525">
                          <a:noFill/>
                          <a:miter lim="800000"/>
                          <a:headEnd/>
                          <a:tailEnd/>
                        </a:ln>
                      </pic:spPr>
                    </pic:pic>
                  </a:graphicData>
                </a:graphic>
              </wp:inline>
            </w:drawing>
          </w:r>
        </w:p>
        <w:p>
          <w:pPr>
            <w:jc w:val="center"/>
            <w:rPr>
              <w:rFonts w:eastAsia="Calibri"/>
              <w:b/>
              <w:bCs/>
              <w:szCs w:val="24"/>
            </w:rPr>
          </w:pPr>
          <w:r>
            <w:rPr>
              <w:rFonts w:eastAsia="Calibri"/>
              <w:b/>
              <w:bCs/>
              <w:szCs w:val="24"/>
            </w:rPr>
            <w:t>LIETUVOS RESPUBLIKOS APLINKOS MINISTRAS</w:t>
          </w:r>
        </w:p>
        <w:p>
          <w:pPr>
            <w:jc w:val="center"/>
            <w:rPr>
              <w:rFonts w:eastAsia="Calibri"/>
              <w:b/>
              <w:bCs/>
              <w:szCs w:val="24"/>
            </w:rPr>
          </w:pPr>
        </w:p>
        <w:p>
          <w:pPr>
            <w:jc w:val="center"/>
            <w:rPr>
              <w:rFonts w:eastAsia="Calibri"/>
              <w:color w:val="000000"/>
              <w:szCs w:val="24"/>
              <w:lang w:eastAsia="lt-LT"/>
            </w:rPr>
          </w:pPr>
          <w:r>
            <w:rPr>
              <w:rFonts w:eastAsia="Calibri"/>
              <w:b/>
              <w:bCs/>
              <w:color w:val="000000"/>
              <w:szCs w:val="24"/>
              <w:lang w:eastAsia="lt-LT"/>
            </w:rPr>
            <w:t>ĮSAKYMAS</w:t>
          </w:r>
        </w:p>
        <w:p>
          <w:pPr>
            <w:jc w:val="center"/>
            <w:rPr>
              <w:rFonts w:eastAsia="Calibri"/>
              <w:b/>
              <w:caps/>
              <w:color w:val="000000"/>
              <w:szCs w:val="24"/>
              <w:lang w:eastAsia="lt-LT"/>
            </w:rPr>
          </w:pPr>
          <w:r>
            <w:rPr>
              <w:rFonts w:eastAsia="Calibri"/>
              <w:b/>
              <w:bCs/>
              <w:caps/>
              <w:color w:val="000000"/>
              <w:szCs w:val="24"/>
              <w:lang w:eastAsia="lt-LT"/>
            </w:rPr>
            <w:t xml:space="preserve">DĖL </w:t>
          </w:r>
          <w:r>
            <w:rPr>
              <w:rFonts w:eastAsia="Calibri"/>
              <w:b/>
              <w:caps/>
              <w:szCs w:val="24"/>
            </w:rPr>
            <w:t>Vandens telkinių, kuriuose plaukiojimas tam tikro tipo plaukiojimo priemonėmis draudžiamas ar ribojamas, sąrašo patvirtinimo</w:t>
          </w:r>
        </w:p>
        <w:p>
          <w:pPr>
            <w:rPr>
              <w:sz w:val="17"/>
              <w:szCs w:val="17"/>
            </w:rPr>
          </w:pPr>
        </w:p>
        <w:p>
          <w:pPr>
            <w:jc w:val="center"/>
            <w:rPr>
              <w:rFonts w:eastAsia="Calibri"/>
              <w:szCs w:val="24"/>
            </w:rPr>
          </w:pPr>
          <w:r>
            <w:rPr>
              <w:rFonts w:eastAsia="Calibri"/>
              <w:szCs w:val="24"/>
            </w:rPr>
            <w:t>2014 m. balandžio 8 d. Nr. D1-337</w:t>
          </w:r>
        </w:p>
        <w:p>
          <w:pPr>
            <w:jc w:val="center"/>
            <w:rPr>
              <w:rFonts w:eastAsia="Calibri"/>
              <w:szCs w:val="24"/>
            </w:rPr>
          </w:pPr>
          <w:r>
            <w:rPr>
              <w:rFonts w:eastAsia="Calibri"/>
              <w:szCs w:val="24"/>
            </w:rPr>
            <w:t>Vilnius</w:t>
          </w:r>
        </w:p>
        <w:p>
          <w:pPr>
            <w:jc w:val="both"/>
            <w:rPr>
              <w:rFonts w:eastAsia="Calibri"/>
              <w:szCs w:val="24"/>
            </w:rPr>
          </w:pPr>
        </w:p>
        <w:p>
          <w:pPr>
            <w:jc w:val="both"/>
            <w:rPr>
              <w:rFonts w:eastAsia="Calibri"/>
              <w:szCs w:val="24"/>
            </w:rPr>
          </w:pPr>
        </w:p>
        <w:sdt>
          <w:sdtPr>
            <w:alias w:val="preambule"/>
            <w:tag w:val="part_43c94d80f0154364a853ded07f2cf031"/>
            <w:lock w:val="sdtLocked"/>
            <w:richText/>
          </w:sdtPr>
          <w:sdtContent>
            <w:p>
              <w:pPr>
                <w:ind w:firstLine="567"/>
                <w:rPr>
                  <w:rFonts w:eastAsia="Calibri"/>
                  <w:szCs w:val="24"/>
                </w:rPr>
              </w:pPr>
              <w:r>
                <w:rPr>
                  <w:rFonts w:eastAsia="Calibri"/>
                  <w:szCs w:val="24"/>
                </w:rPr>
                <w:t xml:space="preserve">Vadovaudamasis Lietuvos Respublikos vandens įstatymo 13 straipsnio 2 dalimi: </w:t>
              </w:r>
            </w:p>
          </w:sdtContent>
        </w:sdt>
        <w:sdt>
          <w:sdtPr>
            <w:alias w:val="1 p."/>
            <w:tag w:val="part_a872fbf466714e6185063e64570dc19a"/>
            <w:lock w:val="sdtLocked"/>
            <w:richText/>
          </w:sdtPr>
          <w:sdtContent>
            <w:p>
              <w:pPr>
                <w:ind w:firstLine="567"/>
                <w:jc w:val="both"/>
                <w:rPr>
                  <w:rFonts w:eastAsia="Calibri"/>
                  <w:szCs w:val="24"/>
                </w:rPr>
              </w:pPr>
              <w:sdt>
                <w:sdtPr>
                  <w:alias w:val="Numeris"/>
                  <w:tag w:val="nr_a872fbf466714e6185063e64570dc19a"/>
                  <w:lock w:val="sdtLocked"/>
                  <w:richText/>
                </w:sdtPr>
                <w:sdtContent>
                  <w:r>
                    <w:rPr>
                      <w:rFonts w:eastAsia="Calibri"/>
                      <w:spacing w:val="40"/>
                      <w:szCs w:val="24"/>
                    </w:rPr>
                    <w:t>1</w:t>
                  </w:r>
                </w:sdtContent>
              </w:sdt>
              <w:r>
                <w:rPr>
                  <w:rFonts w:eastAsia="Calibri"/>
                  <w:spacing w:val="40"/>
                  <w:szCs w:val="24"/>
                </w:rPr>
                <w:t>.Tvirtinu</w:t>
              </w:r>
              <w:r>
                <w:rPr>
                  <w:rFonts w:eastAsia="Calibri"/>
                  <w:szCs w:val="24"/>
                </w:rPr>
                <w:t xml:space="preserve"> Vandens telkinių, kuriuose plaukiojimas tam tikro tipo plaukiojimo priemonėmis draudžiamas ar ribojamas, sąrašą (toliau  ̶  Sąrašas) (pridedama).</w:t>
              </w:r>
            </w:p>
          </w:sdtContent>
        </w:sdt>
        <w:sdt>
          <w:sdtPr>
            <w:alias w:val="2 p."/>
            <w:tag w:val="part_65abf2599f114c8591e97dc4fa51cbc9"/>
            <w:lock w:val="sdtLocked"/>
            <w:richText/>
          </w:sdtPr>
          <w:sdtContent>
            <w:p>
              <w:pPr>
                <w:ind w:firstLine="567"/>
                <w:rPr>
                  <w:rFonts w:eastAsia="Calibri"/>
                  <w:szCs w:val="24"/>
                </w:rPr>
              </w:pPr>
              <w:sdt>
                <w:sdtPr>
                  <w:alias w:val="Numeris"/>
                  <w:tag w:val="nr_65abf2599f114c8591e97dc4fa51cbc9"/>
                  <w:lock w:val="sdtLocked"/>
                  <w:richText/>
                </w:sdtPr>
                <w:sdtContent>
                  <w:r>
                    <w:rPr>
                      <w:rFonts w:eastAsia="Calibri"/>
                      <w:szCs w:val="24"/>
                    </w:rPr>
                    <w:t>2</w:t>
                  </w:r>
                </w:sdtContent>
              </w:sdt>
              <w:r>
                <w:rPr>
                  <w:rFonts w:eastAsia="Calibri"/>
                  <w:szCs w:val="24"/>
                </w:rPr>
                <w:t>. N u s t a t a u, kad Sąraše nustatyti apribojimai netaikomi:</w:t>
              </w:r>
            </w:p>
            <w:sdt>
              <w:sdtPr>
                <w:alias w:val="2.1 p."/>
                <w:tag w:val="part_d20e520025904c6b9e4fd136c3c02014"/>
                <w:lock w:val="sdtLocked"/>
                <w:richText/>
              </w:sdtPr>
              <w:sdtContent>
                <w:p>
                  <w:pPr>
                    <w:ind w:firstLine="567"/>
                    <w:jc w:val="both"/>
                    <w:rPr>
                      <w:rFonts w:eastAsia="Calibri"/>
                      <w:szCs w:val="24"/>
                    </w:rPr>
                  </w:pPr>
                  <w:sdt>
                    <w:sdtPr>
                      <w:alias w:val="Numeris"/>
                      <w:tag w:val="nr_d20e520025904c6b9e4fd136c3c02014"/>
                      <w:lock w:val="sdtLocked"/>
                      <w:richText/>
                    </w:sdtPr>
                    <w:sdtContent>
                      <w:r>
                        <w:rPr>
                          <w:rFonts w:eastAsia="Calibri"/>
                          <w:szCs w:val="24"/>
                        </w:rPr>
                        <w:t>2.1</w:t>
                      </w:r>
                    </w:sdtContent>
                  </w:sdt>
                  <w:r>
                    <w:rPr>
                      <w:rFonts w:eastAsia="Calibri"/>
                      <w:szCs w:val="24"/>
                    </w:rPr>
                    <w:t>. teisės aktų nustatyta tvarka vykdant gelbėjimo darbus, stichinių nelaimių padarinių likvidavimo darbus, valstybinę saugios laivybos Lietuvos Respublikos vandenyse ir vidaus vandenų kelių būklės ir navigacinių įrenginių juose funkcionavimo kontrolę, darbų vykdymo vandens keliuose kontrolę, valstybės sienos apsaugą, viešosios tvarkos palaikymą ir aplinkos apsaugos valstybinę kontrolę;</w:t>
                  </w:r>
                </w:p>
              </w:sdtContent>
            </w:sdt>
            <w:sdt>
              <w:sdtPr>
                <w:alias w:val="2.2 p."/>
                <w:tag w:val="part_f74b91222aa443dda04e3a6ae296ecb3"/>
                <w:lock w:val="sdtLocked"/>
                <w:richText/>
              </w:sdtPr>
              <w:sdtContent>
                <w:p>
                  <w:pPr>
                    <w:spacing w:line="281" w:lineRule="auto"/>
                    <w:ind w:firstLine="567"/>
                    <w:jc w:val="both"/>
                    <w:textAlignment w:val="center"/>
                    <w:rPr>
                      <w:szCs w:val="24"/>
                      <w:lang w:eastAsia="ar-SA"/>
                    </w:rPr>
                  </w:pPr>
                  <w:sdt>
                    <w:sdtPr>
                      <w:alias w:val="Numeris"/>
                      <w:tag w:val="nr_f74b91222aa443dda04e3a6ae296ecb3"/>
                      <w:lock w:val="sdtLocked"/>
                      <w:richText/>
                    </w:sdtPr>
                    <w:sdtContent>
                      <w:r>
                        <w:rPr>
                          <w:color w:val="000000"/>
                          <w:szCs w:val="24"/>
                          <w:lang w:eastAsia="lt-LT"/>
                        </w:rPr>
                        <w:t>2.2</w:t>
                      </w:r>
                    </w:sdtContent>
                  </w:sdt>
                  <w:r>
                    <w:rPr>
                      <w:color w:val="000000"/>
                      <w:szCs w:val="24"/>
                      <w:lang w:eastAsia="lt-LT"/>
                    </w:rPr>
                    <w:t xml:space="preserve">. </w:t>
                  </w:r>
                  <w:r>
                    <w:rPr>
                      <w:color w:val="000000"/>
                      <w:szCs w:val="24"/>
                    </w:rPr>
                    <w:t>vykdant mokslinius ir kitus tyrimus, priemones pagal patvirtintus saugomų teritorijų planavimo dokumentus, saugomų rūšių apsaugos planus, monitoringą ir stebėjimus vandens telkiniuose Lietuvos Respublikos žuvininkystės įstatymo, Lietuvos Respublikos nekilnojamojo kultūros paveldo apsaugos įstatymo, Lietuvos Respublikos saugomų teritorijų įstatymo, Lietuvos Respublikos saugomų gyvūnų, augalų ir grybų rūšių įstatymo, Lietuvos Respublikos aplinkos monitoringo įstatymo ir kitų teisės aktų nustatytais tikslais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23f160757511e9b81587fcbd5a76f6">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2019-05-13,
paskelbta TAR 2019-05-13, i. k. 2019-07624            </w:t>
                  </w:r>
                </w:p>
                <w:p/>
              </w:sdtContent>
            </w:sdt>
          </w:sdtContent>
        </w:sdt>
        <w:sdt>
          <w:sdtPr>
            <w:alias w:val="signatura"/>
            <w:tag w:val="part_efd47aec6a0040c4840de4a0eb7444cd"/>
            <w:lock w:val="sdtLocked"/>
            <w:richText/>
          </w:sdtPr>
          <w:sdtContent>
            <w:p>
              <w:pPr>
                <w:tabs>
                  <w:tab w:val="left" w:pos="10992"/>
                  <w:tab w:val="left" w:pos="11908"/>
                  <w:tab w:val="left" w:pos="12824"/>
                  <w:tab w:val="left" w:pos="13740"/>
                  <w:tab w:val="left" w:pos="14656"/>
                </w:tabs>
                <w:suppressAutoHyphens/>
                <w:jc w:val="both"/>
                <w:rPr>
                  <w:szCs w:val="24"/>
                  <w:lang w:eastAsia="ar-SA"/>
                </w:rPr>
              </w:pPr>
            </w:p>
            <w:p>
              <w:pPr>
                <w:tabs>
                  <w:tab w:val="left" w:pos="10992"/>
                  <w:tab w:val="left" w:pos="11908"/>
                  <w:tab w:val="left" w:pos="12824"/>
                  <w:tab w:val="left" w:pos="13740"/>
                  <w:tab w:val="left" w:pos="14656"/>
                </w:tabs>
                <w:suppressAutoHyphens/>
                <w:jc w:val="both"/>
                <w:rPr>
                  <w:szCs w:val="24"/>
                  <w:lang w:eastAsia="ar-SA"/>
                </w:rPr>
              </w:pPr>
            </w:p>
            <w:p>
              <w:pPr>
                <w:tabs>
                  <w:tab w:val="left" w:pos="10992"/>
                  <w:tab w:val="left" w:pos="11908"/>
                  <w:tab w:val="left" w:pos="12824"/>
                  <w:tab w:val="left" w:pos="13740"/>
                  <w:tab w:val="left" w:pos="14656"/>
                </w:tabs>
                <w:suppressAutoHyphens/>
                <w:jc w:val="both"/>
                <w:rPr>
                  <w:szCs w:val="24"/>
                  <w:lang w:eastAsia="ar-SA"/>
                </w:rPr>
              </w:pPr>
            </w:p>
            <w:p>
              <w:pPr>
                <w:tabs>
                  <w:tab w:val="left" w:pos="7088"/>
                  <w:tab w:val="left" w:pos="10992"/>
                  <w:tab w:val="left" w:pos="11908"/>
                  <w:tab w:val="left" w:pos="12824"/>
                  <w:tab w:val="left" w:pos="13740"/>
                  <w:tab w:val="left" w:pos="14656"/>
                </w:tabs>
                <w:suppressAutoHyphens/>
                <w:jc w:val="both"/>
                <w:rPr>
                  <w:szCs w:val="24"/>
                  <w:lang w:eastAsia="ar-SA"/>
                </w:rPr>
              </w:pPr>
              <w:r>
                <w:rPr>
                  <w:szCs w:val="24"/>
                  <w:lang w:eastAsia="ar-SA"/>
                </w:rPr>
                <w:t>Aplinkos ministras</w:t>
                <w:tab/>
                <w:t>Valentinas Mazuronis</w:t>
              </w:r>
            </w:p>
          </w:sdtContent>
        </w:sdt>
      </w:sdtContent>
    </w:sdt>
    <w:sdt>
      <w:sdtPr>
        <w:alias w:val="patvirtinta"/>
        <w:tag w:val="part_2c3474817b884617990d38fa9b11ae85"/>
        <w:lock w:val="sdtLocked"/>
        <w:richText/>
      </w:sdtPr>
      <w:sdtContent>
        <w:p>
          <w:pPr>
            <w:rPr>
              <w:rFonts w:ascii="TimesLT" w:hAnsi="TimesLT"/>
              <w:sz w:val="20"/>
              <w:lang w:val="en-US" w:eastAsia="ar-SA"/>
            </w:rPr>
            <w:sectPr>
              <w:headerReference w:type="even" r:id="rId17"/>
              <w:headerReference w:type="default" r:id="rId18"/>
              <w:footerReference w:type="even" r:id="rId19"/>
              <w:footerReference w:type="default" r:id="rId20"/>
              <w:headerReference w:type="first" r:id="rId21"/>
              <w:footerReference w:type="first" r:id="rId22"/>
              <w:footnotePr>
                <w:pos w:val="beneathText"/>
              </w:footnotePr>
              <w:pgSz w:w="11905" w:h="16837"/>
              <w:pgMar w:top="1134" w:right="567" w:bottom="1134" w:left="1701" w:header="567" w:footer="0" w:gutter="0"/>
              <w:pgNumType w:start="1" w:chapStyle="1"/>
              <w:cols w:space="1296"/>
              <w:titlePg/>
              <w:docGrid w:linePitch="360"/>
            </w:sectPr>
          </w:pPr>
        </w:p>
        <w:p>
          <w:pPr>
            <w:ind w:firstLine="5670"/>
            <w:rPr>
              <w:szCs w:val="24"/>
            </w:rPr>
          </w:pPr>
          <w:r>
            <w:rPr>
              <w:szCs w:val="24"/>
            </w:rPr>
            <w:t>PATVIRTINTA</w:t>
          </w:r>
        </w:p>
        <w:p>
          <w:pPr>
            <w:ind w:firstLine="5670"/>
            <w:rPr>
              <w:szCs w:val="24"/>
            </w:rPr>
          </w:pPr>
          <w:r>
            <w:rPr>
              <w:szCs w:val="24"/>
            </w:rPr>
            <w:t>Lietuvos Respublikos aplinkos ministro</w:t>
          </w:r>
        </w:p>
        <w:p>
          <w:pPr>
            <w:ind w:firstLine="5670"/>
            <w:rPr>
              <w:szCs w:val="24"/>
            </w:rPr>
          </w:pPr>
          <w:r>
            <w:rPr>
              <w:szCs w:val="24"/>
            </w:rPr>
            <w:t>2014 m. balandžio 8 d. įsakymo Nr. D1-337</w:t>
          </w:r>
        </w:p>
        <w:p>
          <w:pPr>
            <w:ind w:firstLine="5670"/>
            <w:rPr>
              <w:szCs w:val="24"/>
            </w:rPr>
          </w:pPr>
          <w:r>
            <w:rPr>
              <w:szCs w:val="24"/>
            </w:rPr>
            <w:t>redakcija</w:t>
          </w:r>
        </w:p>
        <w:p>
          <w:pPr>
            <w:pStyle w:val="Patvirtinta"/>
            <w:ind w:left="0"/>
            <w:jc w:val="both"/>
            <w:rPr>
              <w:rFonts w:ascii="Times New Roman" w:hAnsi="Times New Roman"/>
              <w:sz w:val="24"/>
              <w:szCs w:val="24"/>
              <w:lang w:val="lt-LT"/>
            </w:rPr>
          </w:pPr>
        </w:p>
        <w:sdt>
          <w:sdtPr>
            <w:alias w:val="Pavadinimas"/>
            <w:tag w:val="title_2c3474817b884617990d38fa9b11ae85"/>
            <w:lock w:val="sdtLocked"/>
            <w:richText/>
          </w:sdtPr>
          <w:sdtContent>
            <w:p>
              <w:pPr>
                <w:tabs>
                  <w:tab w:val="left" w:pos="2748"/>
                  <w:tab w:val="left" w:pos="3664"/>
                  <w:tab w:val="left" w:pos="3969"/>
                  <w:tab w:val="left" w:pos="4580"/>
                  <w:tab w:val="left" w:pos="5496"/>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jc w:val="center"/>
                <w:rPr>
                  <w:b/>
                  <w:szCs w:val="24"/>
                </w:rPr>
              </w:pPr>
              <w:r>
                <w:rPr>
                  <w:b/>
                  <w:szCs w:val="24"/>
                </w:rPr>
                <w:t>VANDENS TELKINIŲ, KURIUOSE PLAUKIOJIMAS TAM TIKROMIS PLAUKIOJIMO PRIEMONĖMIS DRAUDŽIAMAS AR RIBOJAMAS, SĄRAŠAS</w:t>
              </w:r>
            </w:p>
          </w:sdtContent>
        </w:sdt>
        <w:p>
          <w:pPr>
            <w:pStyle w:val="ISTATYMAS"/>
            <w:tabs>
              <w:tab w:val="left" w:pos="567"/>
              <w:tab w:val="left" w:pos="1418"/>
            </w:tabs>
            <w:jc w:val="both"/>
            <w:rPr>
              <w:rFonts w:ascii="Times New Roman" w:hAnsi="Times New Roman"/>
              <w:sz w:val="24"/>
              <w:szCs w:val="24"/>
              <w:lang w:val="lt-LT"/>
            </w:rPr>
          </w:pPr>
        </w:p>
        <w:tbl>
          <w:tblPr>
            <w:tblW w:w="10485"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4A0" w:firstRow="1" w:lastRow="0" w:firstColumn="1" w:lastColumn="0" w:noHBand="0" w:noVBand="1"/>
          </w:tblPr>
          <w:tblGrid>
            <w:gridCol w:w="427"/>
            <w:gridCol w:w="1275"/>
            <w:gridCol w:w="1417"/>
            <w:gridCol w:w="849"/>
            <w:gridCol w:w="991"/>
            <w:gridCol w:w="851"/>
            <w:gridCol w:w="4675"/>
          </w:tblGrid>
          <w:tr>
            <w:trPr>
              <w:trHeight w:val="1230"/>
            </w:trPr>
            <w:tc>
              <w:tcPr>
                <w:tcW w:w="427" w:type="dxa"/>
                <w:tcBorders>
                  <w:top w:val="single" w:sz="4" w:space="0" w:color="auto"/>
                  <w:left w:val="single" w:sz="4" w:space="0" w:color="auto"/>
                  <w:bottom w:val="single" w:sz="4" w:space="0" w:color="auto"/>
                  <w:right w:val="single" w:sz="4" w:space="0" w:color="auto"/>
                </w:tcBorders>
                <w:vAlign w:val="center"/>
                <w:hideMark/>
              </w:tcPr>
              <w:p>
                <w:pPr>
                  <w:snapToGrid w:val="0"/>
                  <w:spacing w:line="276" w:lineRule="auto"/>
                  <w:jc w:val="center"/>
                  <w:rPr>
                    <w:rFonts w:eastAsia="Calibri"/>
                    <w:b/>
                    <w:bCs/>
                    <w:color w:val="000000"/>
                    <w:sz w:val="22"/>
                    <w:szCs w:val="22"/>
                  </w:rPr>
                </w:pPr>
                <w:r>
                  <w:rPr>
                    <w:b/>
                    <w:bCs/>
                    <w:color w:val="000000"/>
                    <w:sz w:val="22"/>
                    <w:szCs w:val="22"/>
                  </w:rPr>
                  <w:t>Eil. Nr.</w:t>
                </w:r>
              </w:p>
            </w:tc>
            <w:tc>
              <w:tcPr>
                <w:tcW w:w="1275" w:type="dxa"/>
                <w:tcBorders>
                  <w:top w:val="single" w:sz="4" w:space="0" w:color="auto"/>
                  <w:left w:val="single" w:sz="4" w:space="0" w:color="auto"/>
                  <w:bottom w:val="single" w:sz="4" w:space="0" w:color="auto"/>
                  <w:right w:val="single" w:sz="4" w:space="0" w:color="auto"/>
                </w:tcBorders>
                <w:vAlign w:val="center"/>
                <w:hideMark/>
              </w:tcPr>
              <w:p>
                <w:pPr>
                  <w:snapToGrid w:val="0"/>
                  <w:spacing w:line="276" w:lineRule="auto"/>
                  <w:jc w:val="center"/>
                  <w:rPr>
                    <w:rFonts w:eastAsia="Calibri"/>
                    <w:b/>
                    <w:bCs/>
                    <w:color w:val="000000"/>
                    <w:sz w:val="22"/>
                    <w:szCs w:val="22"/>
                  </w:rPr>
                </w:pPr>
                <w:r>
                  <w:rPr>
                    <w:b/>
                    <w:bCs/>
                    <w:color w:val="000000"/>
                    <w:sz w:val="22"/>
                    <w:szCs w:val="22"/>
                  </w:rPr>
                  <w:t>Savivaldybė</w:t>
                </w: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bCs/>
                    <w:color w:val="000000"/>
                    <w:sz w:val="22"/>
                    <w:szCs w:val="22"/>
                  </w:rPr>
                </w:pPr>
                <w:r>
                  <w:rPr>
                    <w:b/>
                    <w:bCs/>
                    <w:color w:val="000000"/>
                    <w:sz w:val="22"/>
                    <w:szCs w:val="22"/>
                  </w:rPr>
                  <w:t xml:space="preserve">Vandens telkinio pavadini-mas </w:t>
                </w:r>
                <w:r>
                  <w:rPr>
                    <w:bCs/>
                    <w:color w:val="000000"/>
                    <w:sz w:val="22"/>
                    <w:szCs w:val="22"/>
                  </w:rPr>
                  <w:t>(saugomos teritorijos pavadini-mas)*</w:t>
                </w:r>
              </w:p>
            </w:tc>
            <w:tc>
              <w:tcPr>
                <w:tcW w:w="849" w:type="dxa"/>
                <w:tcBorders>
                  <w:top w:val="single" w:sz="4" w:space="0" w:color="auto"/>
                  <w:left w:val="single" w:sz="4" w:space="0" w:color="auto"/>
                  <w:bottom w:val="single" w:sz="4" w:space="0" w:color="auto"/>
                  <w:right w:val="single" w:sz="4" w:space="0" w:color="auto"/>
                </w:tcBorders>
                <w:vAlign w:val="center"/>
                <w:hideMark/>
              </w:tcPr>
              <w:p>
                <w:pPr>
                  <w:snapToGrid w:val="0"/>
                  <w:spacing w:line="276" w:lineRule="auto"/>
                  <w:jc w:val="center"/>
                  <w:rPr>
                    <w:rFonts w:eastAsia="Calibri"/>
                    <w:b/>
                    <w:bCs/>
                    <w:color w:val="000000"/>
                    <w:sz w:val="22"/>
                    <w:szCs w:val="22"/>
                  </w:rPr>
                </w:pPr>
                <w:r>
                  <w:rPr>
                    <w:b/>
                    <w:bCs/>
                    <w:color w:val="000000"/>
                    <w:sz w:val="22"/>
                    <w:szCs w:val="22"/>
                  </w:rPr>
                  <w:t>Ežero (tvenki-nio) plotas, ha</w:t>
                </w:r>
              </w:p>
            </w:tc>
            <w:tc>
              <w:tcPr>
                <w:tcW w:w="991"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rFonts w:eastAsia="Calibri"/>
                    <w:b/>
                    <w:bCs/>
                    <w:color w:val="000000"/>
                    <w:sz w:val="22"/>
                    <w:szCs w:val="22"/>
                  </w:rPr>
                </w:pPr>
                <w:r>
                  <w:rPr>
                    <w:b/>
                    <w:bCs/>
                    <w:color w:val="000000"/>
                    <w:sz w:val="22"/>
                    <w:szCs w:val="22"/>
                  </w:rPr>
                  <w:t>Vandens telkinio</w:t>
                </w:r>
              </w:p>
              <w:p>
                <w:pPr>
                  <w:snapToGrid w:val="0"/>
                  <w:spacing w:line="276" w:lineRule="auto"/>
                  <w:jc w:val="center"/>
                  <w:rPr>
                    <w:rFonts w:eastAsia="Calibri"/>
                    <w:b/>
                    <w:bCs/>
                    <w:color w:val="000000"/>
                    <w:sz w:val="22"/>
                    <w:szCs w:val="22"/>
                  </w:rPr>
                </w:pPr>
                <w:r>
                  <w:rPr>
                    <w:b/>
                    <w:bCs/>
                    <w:color w:val="000000"/>
                    <w:sz w:val="22"/>
                    <w:szCs w:val="22"/>
                  </w:rPr>
                  <w:t>Identifi-kavimo kodas</w:t>
                </w:r>
              </w:p>
            </w:tc>
            <w:tc>
              <w:tcPr>
                <w:tcW w:w="851" w:type="dxa"/>
                <w:tcBorders>
                  <w:top w:val="single" w:sz="4" w:space="0" w:color="auto"/>
                  <w:left w:val="single" w:sz="4" w:space="0" w:color="auto"/>
                  <w:bottom w:val="single" w:sz="4" w:space="0" w:color="auto"/>
                  <w:right w:val="single" w:sz="4" w:space="0" w:color="auto"/>
                </w:tcBorders>
                <w:vAlign w:val="center"/>
                <w:hideMark/>
              </w:tcPr>
              <w:p>
                <w:pPr>
                  <w:snapToGrid w:val="0"/>
                  <w:spacing w:line="276" w:lineRule="auto"/>
                  <w:jc w:val="center"/>
                  <w:rPr>
                    <w:rFonts w:eastAsia="Calibri"/>
                    <w:b/>
                    <w:bCs/>
                    <w:color w:val="000000"/>
                    <w:sz w:val="22"/>
                    <w:szCs w:val="22"/>
                  </w:rPr>
                </w:pPr>
                <w:r>
                  <w:rPr>
                    <w:b/>
                    <w:bCs/>
                    <w:color w:val="000000"/>
                    <w:sz w:val="22"/>
                    <w:szCs w:val="22"/>
                  </w:rPr>
                  <w:t>Ežero invento-rinis numeris</w:t>
                </w:r>
              </w:p>
            </w:tc>
            <w:tc>
              <w:tcPr>
                <w:tcW w:w="4675" w:type="dxa"/>
                <w:tcBorders>
                  <w:top w:val="single" w:sz="4" w:space="0" w:color="auto"/>
                  <w:left w:val="single" w:sz="4" w:space="0" w:color="auto"/>
                  <w:bottom w:val="single" w:sz="4" w:space="0" w:color="auto"/>
                  <w:right w:val="single" w:sz="4" w:space="0" w:color="auto"/>
                </w:tcBorders>
                <w:vAlign w:val="center"/>
                <w:hideMark/>
              </w:tcPr>
              <w:p>
                <w:pPr>
                  <w:snapToGrid w:val="0"/>
                  <w:spacing w:line="276" w:lineRule="auto"/>
                  <w:jc w:val="center"/>
                  <w:rPr>
                    <w:rFonts w:eastAsia="Calibri"/>
                    <w:b/>
                    <w:bCs/>
                    <w:color w:val="000000"/>
                    <w:sz w:val="22"/>
                    <w:szCs w:val="22"/>
                  </w:rPr>
                </w:pPr>
                <w:r>
                  <w:rPr>
                    <w:b/>
                    <w:bCs/>
                    <w:color w:val="000000"/>
                    <w:sz w:val="22"/>
                    <w:szCs w:val="22"/>
                  </w:rPr>
                  <w:t>Apribojimai</w:t>
                </w:r>
              </w:p>
            </w:tc>
          </w:tr>
          <w:tr>
            <w:trPr>
              <w:trHeight w:val="220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w:t>
                </w:r>
              </w:p>
            </w:tc>
            <w:tc>
              <w:tcPr>
                <w:tcW w:w="1275" w:type="dxa"/>
                <w:tcBorders>
                  <w:top w:val="single" w:sz="4" w:space="0" w:color="auto"/>
                  <w:left w:val="single" w:sz="4" w:space="0" w:color="auto"/>
                  <w:bottom w:val="single" w:sz="4" w:space="0" w:color="auto"/>
                  <w:right w:val="single" w:sz="4" w:space="0" w:color="auto"/>
                </w:tcBorders>
              </w:tcPr>
              <w:p>
                <w:pPr>
                  <w:rPr>
                    <w:sz w:val="22"/>
                  </w:rPr>
                </w:pPr>
                <w:r>
                  <w:rPr>
                    <w:sz w:val="22"/>
                  </w:rPr>
                  <w:t xml:space="preserve">Alytaus r. </w:t>
                </w:r>
              </w:p>
            </w:tc>
            <w:tc>
              <w:tcPr>
                <w:tcW w:w="1417" w:type="dxa"/>
                <w:tcBorders>
                  <w:top w:val="single" w:sz="4" w:space="0" w:color="auto"/>
                  <w:left w:val="single" w:sz="4" w:space="0" w:color="auto"/>
                  <w:bottom w:val="single" w:sz="4" w:space="0" w:color="auto"/>
                  <w:right w:val="single" w:sz="4" w:space="0" w:color="auto"/>
                </w:tcBorders>
              </w:tcPr>
              <w:p>
                <w:pPr>
                  <w:rPr>
                    <w:sz w:val="22"/>
                  </w:rPr>
                </w:pPr>
                <w:r>
                  <w:rPr>
                    <w:sz w:val="22"/>
                  </w:rPr>
                  <w:t>Obelijos ežeras (Metelių RP)</w:t>
                </w:r>
              </w:p>
            </w:tc>
            <w:tc>
              <w:tcPr>
                <w:tcW w:w="849" w:type="dxa"/>
                <w:tcBorders>
                  <w:top w:val="single" w:sz="4" w:space="0" w:color="auto"/>
                  <w:left w:val="single" w:sz="4" w:space="0" w:color="auto"/>
                  <w:bottom w:val="single" w:sz="4" w:space="0" w:color="auto"/>
                  <w:right w:val="single" w:sz="4" w:space="0" w:color="auto"/>
                </w:tcBorders>
              </w:tcPr>
              <w:p>
                <w:pPr>
                  <w:rPr>
                    <w:sz w:val="22"/>
                  </w:rPr>
                </w:pPr>
                <w:r>
                  <w:rPr>
                    <w:sz w:val="22"/>
                  </w:rPr>
                  <w:t>573,4</w:t>
                </w:r>
              </w:p>
            </w:tc>
            <w:tc>
              <w:tcPr>
                <w:tcW w:w="991" w:type="dxa"/>
                <w:tcBorders>
                  <w:top w:val="single" w:sz="4" w:space="0" w:color="auto"/>
                  <w:left w:val="single" w:sz="4" w:space="0" w:color="auto"/>
                  <w:bottom w:val="single" w:sz="4" w:space="0" w:color="auto"/>
                  <w:right w:val="single" w:sz="4" w:space="0" w:color="auto"/>
                </w:tcBorders>
              </w:tcPr>
              <w:p>
                <w:pPr>
                  <w:rPr>
                    <w:sz w:val="22"/>
                  </w:rPr>
                </w:pPr>
                <w:r>
                  <w:rPr>
                    <w:sz w:val="22"/>
                  </w:rPr>
                  <w:t>10040570</w:t>
                </w:r>
              </w:p>
            </w:tc>
            <w:tc>
              <w:tcPr>
                <w:tcW w:w="851" w:type="dxa"/>
                <w:tcBorders>
                  <w:top w:val="single" w:sz="4" w:space="0" w:color="auto"/>
                  <w:left w:val="single" w:sz="4" w:space="0" w:color="auto"/>
                  <w:bottom w:val="single" w:sz="4" w:space="0" w:color="auto"/>
                  <w:right w:val="single" w:sz="4" w:space="0" w:color="auto"/>
                </w:tcBorders>
              </w:tcPr>
              <w:p>
                <w:pPr>
                  <w:rPr>
                    <w:sz w:val="22"/>
                  </w:rPr>
                </w:pPr>
                <w:r>
                  <w:rPr>
                    <w:sz w:val="22"/>
                  </w:rPr>
                  <w:t>61-40</w:t>
                </w:r>
              </w:p>
            </w:tc>
            <w:tc>
              <w:tcPr>
                <w:tcW w:w="4675" w:type="dxa"/>
                <w:tcBorders>
                  <w:top w:val="single" w:sz="4" w:space="0" w:color="auto"/>
                  <w:left w:val="single" w:sz="4" w:space="0" w:color="auto"/>
                  <w:bottom w:val="single" w:sz="4" w:space="0" w:color="auto"/>
                  <w:right w:val="single" w:sz="4" w:space="0" w:color="auto"/>
                </w:tcBorders>
              </w:tcPr>
              <w:p>
                <w:pPr>
                  <w:rPr>
                    <w:sz w:val="22"/>
                  </w:rPr>
                </w:pPr>
                <w:r>
                  <w:rPr>
                    <w:sz w:val="22"/>
                  </w:rPr>
                  <w:t>Nuo plaukiojimo sezono pradžios iki liepos 31 d. draudžiama plaukioti savaeigėmis plaukiojimo priemonėmis; nuo rugpjūčio 1 d. iki lapkričio 1 d. draudžiama plaukioti burinėmis plaukiojimo priemonėmis arčiau kaip 300 m nuo kranto ir savaeigėmis plaukiojimo priemonėmis, kurių galingumas didesnis kaip 10 AG (8 kW), išskyrus išplaukimą ar parplaukimą mažiausiuoju savaeigės plaukiojimo priemonės greičiu.</w:t>
                </w:r>
              </w:p>
            </w:tc>
          </w:tr>
          <w:tr>
            <w:trPr>
              <w:trHeight w:val="810"/>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Biržų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Širvėnos ežeras (Biržų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325,4</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42040061</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8</w:t>
                </w:r>
                <w:r>
                  <w:rPr>
                    <w:sz w:val="22"/>
                    <w:szCs w:val="22"/>
                  </w:rPr>
                  <w:t>-</w:t>
                </w:r>
                <w:r>
                  <w:rPr>
                    <w:color w:val="000000"/>
                    <w:sz w:val="22"/>
                    <w:szCs w:val="22"/>
                  </w:rPr>
                  <w:t>6</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hRule="exact" w:val="1143"/>
            </w:trPr>
            <w:tc>
              <w:tcPr>
                <w:tcW w:w="427" w:type="dxa"/>
                <w:vMerge w:val="restart"/>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w:t>
                </w:r>
              </w:p>
            </w:tc>
            <w:tc>
              <w:tcPr>
                <w:tcW w:w="12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Kauno m.</w:t>
                </w:r>
              </w:p>
            </w:tc>
            <w:tc>
              <w:tcPr>
                <w:tcW w:w="1417"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Nemuno upė</w:t>
                </w:r>
              </w:p>
            </w:tc>
            <w:tc>
              <w:tcPr>
                <w:tcW w:w="849" w:type="dxa"/>
                <w:vMerge w:val="restart"/>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w:t>
                </w:r>
              </w:p>
            </w:tc>
            <w:tc>
              <w:tcPr>
                <w:tcW w:w="991" w:type="dxa"/>
                <w:vMerge w:val="restart"/>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10010001</w:t>
                </w:r>
              </w:p>
            </w:tc>
            <w:tc>
              <w:tcPr>
                <w:tcW w:w="851" w:type="dxa"/>
                <w:vMerge w:val="restart"/>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w:t>
                </w:r>
              </w:p>
            </w:tc>
            <w:tc>
              <w:tcPr>
                <w:tcW w:w="46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Draudžiama plaukioti 500 m upės ruože žemiau Kauno marių užtvankos, išskyrus</w:t>
                </w:r>
                <w:r>
                  <w:rPr>
                    <w:sz w:val="22"/>
                    <w:szCs w:val="22"/>
                  </w:rPr>
                  <w:t xml:space="preserve"> plaukimą plaukiojimo priemonėmis, skirtomis nustatytais maršrutais vežti keleivius arba krovinius</w:t>
                </w:r>
                <w:r>
                  <w:rPr>
                    <w:color w:val="000000"/>
                    <w:sz w:val="22"/>
                    <w:szCs w:val="22"/>
                  </w:rPr>
                  <w:t>.</w:t>
                </w:r>
              </w:p>
            </w:tc>
          </w:tr>
          <w:tr>
            <w:tc>
              <w:tcPr>
                <w:tcW w:w="427" w:type="dxa"/>
                <w:vMerge/>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 w:val="22"/>
                    <w:szCs w:val="22"/>
                  </w:rPr>
                </w:pPr>
              </w:p>
            </w:tc>
            <w:tc>
              <w:tcPr>
                <w:tcW w:w="12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 xml:space="preserve">Prienų r. ir Birštono </w:t>
                </w:r>
              </w:p>
            </w:tc>
            <w:tc>
              <w:tcPr>
                <w:tcW w:w="1417"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Nemuno upė (Nemuno kilpų RP)</w:t>
                </w:r>
              </w:p>
            </w:tc>
            <w:tc>
              <w:tcPr>
                <w:tcW w:w="849" w:type="dxa"/>
                <w:vMerge/>
                <w:tcBorders>
                  <w:top w:val="single" w:sz="4" w:space="0" w:color="auto"/>
                  <w:left w:val="single" w:sz="4" w:space="0" w:color="auto"/>
                  <w:bottom w:val="single" w:sz="4" w:space="0" w:color="auto"/>
                  <w:right w:val="single" w:sz="4" w:space="0" w:color="auto"/>
                </w:tcBorders>
                <w:vAlign w:val="center"/>
              </w:tcPr>
              <w:p>
                <w:pPr>
                  <w:jc w:val="center"/>
                  <w:rPr>
                    <w:rFonts w:eastAsia="Calibri"/>
                    <w:color w:val="000000"/>
                    <w:sz w:val="22"/>
                    <w:szCs w:val="22"/>
                  </w:rPr>
                </w:pPr>
              </w:p>
            </w:tc>
            <w:tc>
              <w:tcPr>
                <w:tcW w:w="991" w:type="dxa"/>
                <w:vMerge/>
                <w:tcBorders>
                  <w:top w:val="single" w:sz="4" w:space="0" w:color="auto"/>
                  <w:left w:val="single" w:sz="4" w:space="0" w:color="auto"/>
                  <w:bottom w:val="single" w:sz="4" w:space="0" w:color="auto"/>
                  <w:right w:val="single" w:sz="4" w:space="0" w:color="auto"/>
                </w:tcBorders>
                <w:vAlign w:val="center"/>
              </w:tcPr>
              <w:p>
                <w:pPr>
                  <w:jc w:val="center"/>
                  <w:rPr>
                    <w:rFonts w:eastAsia="Calibri"/>
                    <w:color w:val="000000"/>
                    <w:sz w:val="22"/>
                    <w:szCs w:val="22"/>
                  </w:rPr>
                </w:pPr>
              </w:p>
            </w:tc>
            <w:tc>
              <w:tcPr>
                <w:tcW w:w="851" w:type="dxa"/>
                <w:vMerge/>
                <w:tcBorders>
                  <w:top w:val="single" w:sz="4" w:space="0" w:color="auto"/>
                  <w:left w:val="single" w:sz="4" w:space="0" w:color="auto"/>
                  <w:bottom w:val="single" w:sz="4" w:space="0" w:color="auto"/>
                  <w:right w:val="single" w:sz="4" w:space="0" w:color="auto"/>
                </w:tcBorders>
                <w:vAlign w:val="center"/>
              </w:tcPr>
              <w:p>
                <w:pPr>
                  <w:jc w:val="center"/>
                  <w:rPr>
                    <w:rFonts w:eastAsia="Calibri"/>
                    <w:color w:val="000000"/>
                    <w:sz w:val="22"/>
                    <w:szCs w:val="22"/>
                  </w:rPr>
                </w:pPr>
              </w:p>
            </w:tc>
            <w:tc>
              <w:tcPr>
                <w:tcW w:w="46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Nuo plaukiojimo</w:t>
                </w:r>
                <w:r>
                  <w:rPr>
                    <w:b/>
                    <w:color w:val="000000"/>
                    <w:sz w:val="22"/>
                    <w:szCs w:val="22"/>
                  </w:rPr>
                  <w:t xml:space="preserve"> </w:t>
                </w:r>
                <w:r>
                  <w:rPr>
                    <w:color w:val="000000"/>
                    <w:sz w:val="22"/>
                    <w:szCs w:val="22"/>
                  </w:rPr>
                  <w:t>sezono pradžios iki liepos 15 d. Nemuno ruože Lengveniškės–Prienai, Balbieriškis–Pelėšiškės savaeigėmis plaukiojimo priemonėmis leidžiama plaukioti tik mažiausiuoju savaeigės plaukiojimo priemonės greičiu. Šis apribojimas netaikomas plaukiant plaukiojimo priemonėmis, skirtomis nustatytais maršrutais plukdyti keleivius arba krovinius.</w:t>
                </w:r>
              </w:p>
            </w:tc>
          </w:tr>
          <w:tr>
            <w:trPr>
              <w:trHeight w:val="936"/>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4.</w:t>
                </w:r>
              </w:p>
            </w:tc>
            <w:tc>
              <w:tcPr>
                <w:tcW w:w="12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Kauno m. Kauno r. Kaišiadorių r.</w:t>
                </w:r>
              </w:p>
            </w:tc>
            <w:tc>
              <w:tcPr>
                <w:tcW w:w="1417"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Kauno HE tvenkinys (Kauno marių RP)</w:t>
                </w:r>
              </w:p>
            </w:tc>
            <w:tc>
              <w:tcPr>
                <w:tcW w:w="849"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6350</w:t>
                </w:r>
              </w:p>
            </w:tc>
            <w:tc>
              <w:tcPr>
                <w:tcW w:w="99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10050001</w:t>
                </w:r>
              </w:p>
            </w:tc>
            <w:tc>
              <w:tcPr>
                <w:tcW w:w="85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w:t>
                </w:r>
              </w:p>
            </w:tc>
            <w:tc>
              <w:tcPr>
                <w:tcW w:w="46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Draudžiama plaukioti savaeigėmis plaukiojimo priemonėmis nuo Kauno marių prieplaukos iki įlankos Samylų k. arčiau kaip 200 m nuo kranto, išskyrus plaukimą vidaus vandenų keliu. Šiame ruože savaeigių plaukiojimo priemonių iškėlimas ir nuleidimas leistinas tik tam skirtose prieplaukose, prie aikštelės Grabučiškėse ir krantinės Samyluose. Draudžiama tvenkinio dalyje nuo Samylų k. įlankos iki Arlaviškių pusiasalio (ties Kruonio HAE) savaeigėmis plaukiojimo priemonėmis priplaukti prie kranto ne prieplaukose, poilsiavietėse ar stovyklavietėse. Draudžiama plaukioti savaeigėmis ir nesavaeigėmis plaukiojimo priemonėmis nuo plaukiojimo sezono pradžios iki rugpjūčio 1 d. mažesniu kaip 50 m atstumu nuo Arlaviškių ornitologinio ir Dabintos botaninio-zoologinio draustinio ribos.</w:t>
                </w:r>
              </w:p>
            </w:tc>
          </w:tr>
          <w:tr>
            <w:trPr>
              <w:trHeight w:val="936"/>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5.</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Klaipėdos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Karaliaus Vilhelmo kanalas</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20020001</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Leidžiama plaukioti savaeigėmis plaukiojimo priemonėmis tik mažiausiuoju savaeigės plaukiojimo priemonės greičiu.</w:t>
                </w:r>
              </w:p>
            </w:tc>
          </w:tr>
          <w:tr>
            <w:trPr>
              <w:trHeight w:val="540"/>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6.</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Kupiškio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Notigalės ežeras</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92,9</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42030022</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19</w:t>
                </w:r>
                <w:r>
                  <w:rPr>
                    <w:sz w:val="22"/>
                    <w:szCs w:val="22"/>
                  </w:rPr>
                  <w:t>-</w:t>
                </w:r>
                <w:r>
                  <w:rPr>
                    <w:color w:val="000000"/>
                    <w:sz w:val="22"/>
                    <w:szCs w:val="22"/>
                  </w:rPr>
                  <w:t>4</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541"/>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7.</w:t>
                </w:r>
              </w:p>
            </w:tc>
            <w:tc>
              <w:tcPr>
                <w:tcW w:w="12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Lazdijų r.</w:t>
                </w:r>
              </w:p>
            </w:tc>
            <w:tc>
              <w:tcPr>
                <w:tcW w:w="1417"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color w:val="000000"/>
                    <w:sz w:val="22"/>
                    <w:szCs w:val="22"/>
                    <w:lang w:eastAsia="lt-LT"/>
                  </w:rPr>
                  <w:t>Dusios ežeras (Metelių RP)</w:t>
                </w:r>
              </w:p>
            </w:tc>
            <w:tc>
              <w:tcPr>
                <w:tcW w:w="849"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2334</w:t>
                </w:r>
              </w:p>
            </w:tc>
            <w:tc>
              <w:tcPr>
                <w:tcW w:w="99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color w:val="000000"/>
                    <w:sz w:val="22"/>
                    <w:szCs w:val="22"/>
                    <w:lang w:eastAsia="lt-LT"/>
                  </w:rPr>
                  <w:t>15040123</w:t>
                </w:r>
              </w:p>
            </w:tc>
            <w:tc>
              <w:tcPr>
                <w:tcW w:w="85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61-12</w:t>
                </w:r>
              </w:p>
            </w:tc>
            <w:tc>
              <w:tcPr>
                <w:tcW w:w="46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Nuo plaukiojimo sezono pradžios iki birželio 20 d. draudžiama plaukioti savaeigėmis plaukiojimo priemonėmis. Nuo birželio 21 d. iki plaukiojimo sezono pabaigos leidžiama plaukioti savaeigėmis plaukiojimo priemonėmis, kurių galingumas 5 AG (4 kW) ir mažesnis, laikantis šių sąlygų:</w:t>
                </w:r>
              </w:p>
              <w:p>
                <w:pPr>
                  <w:rPr>
                    <w:sz w:val="22"/>
                    <w:szCs w:val="22"/>
                    <w:lang w:eastAsia="lt-LT"/>
                  </w:rPr>
                </w:pPr>
                <w:r>
                  <w:rPr>
                    <w:sz w:val="22"/>
                    <w:szCs w:val="22"/>
                    <w:lang w:eastAsia="lt-LT"/>
                  </w:rPr>
                  <w:t>1. neplaukiojama 300 m atstumu nuo kranto, išskyrus išplaukimą ar parplaukimą mažiausiuoju savaeigės plaukiojimo priemonės greičiu;</w:t>
                </w:r>
              </w:p>
              <w:p>
                <w:pPr>
                  <w:rPr>
                    <w:sz w:val="22"/>
                    <w:szCs w:val="22"/>
                    <w:lang w:eastAsia="lt-LT"/>
                  </w:rPr>
                </w:pPr>
                <w:r>
                  <w:rPr>
                    <w:sz w:val="22"/>
                    <w:szCs w:val="22"/>
                    <w:lang w:eastAsia="lt-LT"/>
                  </w:rPr>
                  <w:t>2. išplaukimas ir parplaukimas vykdomas tik Metelių regioninio parko teritorijų planavimo dokumentuose nustatytose išplaukimo ir parplaukimo vietose (prieplaukose).</w:t>
                </w:r>
              </w:p>
              <w:p>
                <w:pPr>
                  <w:rPr>
                    <w:sz w:val="22"/>
                    <w:szCs w:val="22"/>
                    <w:lang w:eastAsia="lt-LT"/>
                  </w:rPr>
                </w:pPr>
                <w:r>
                  <w:rPr>
                    <w:sz w:val="22"/>
                    <w:szCs w:val="22"/>
                    <w:lang w:eastAsia="lt-LT"/>
                  </w:rPr>
                  <w:t>Plaukiojant nesavaeigėmis plaukiojimo priemonėmis su elektriniais varikliais ir burinėmis plaukiojimo priemonėmis su elektriniais varikliais privalu laikytis 1 ir 2 punktuose nurodytų sąlygų visą plaukiojimo</w:t>
                </w:r>
                <w:r>
                  <w:rPr>
                    <w:b/>
                    <w:sz w:val="22"/>
                    <w:szCs w:val="22"/>
                    <w:lang w:eastAsia="lt-LT"/>
                  </w:rPr>
                  <w:t xml:space="preserve"> </w:t>
                </w:r>
                <w:r>
                  <w:rPr>
                    <w:sz w:val="22"/>
                    <w:szCs w:val="22"/>
                    <w:lang w:eastAsia="lt-LT"/>
                  </w:rPr>
                  <w:t>sezoną.</w:t>
                </w:r>
              </w:p>
              <w:p>
                <w:pPr>
                  <w:rPr>
                    <w:sz w:val="22"/>
                    <w:szCs w:val="22"/>
                    <w:lang w:eastAsia="lt-LT"/>
                  </w:rPr>
                </w:pPr>
                <w:r>
                  <w:rPr>
                    <w:sz w:val="22"/>
                    <w:szCs w:val="22"/>
                    <w:lang w:eastAsia="lt-LT"/>
                  </w:rPr>
                  <w:t>Draudimas netaikomas teikiant viešąsias paslaugas savaeigėmis plaukiojimo priemonėmis, kurių bendras variklių galingumas neviršija 150 AG (110 kW), pažintinio vandens turizmo trasa, nustatyta Metelių regioninio parko teritorijų planavimo dokumentuose ir vadovaujantis Valstybinės saugomų teritorijų tarnybos prie Aplinkos ministerijos patvirtintu Metelių regioninio parko pažintinio vandens turizmo schemos Dusios ežere tvarkos aprašu.</w:t>
                </w:r>
              </w:p>
            </w:tc>
          </w:tr>
          <w:tr>
            <w:trPr>
              <w:trHeight w:val="1078"/>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8.</w:t>
                </w:r>
              </w:p>
            </w:tc>
            <w:tc>
              <w:tcPr>
                <w:tcW w:w="12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Lazdijų r.</w:t>
                </w:r>
              </w:p>
            </w:tc>
            <w:tc>
              <w:tcPr>
                <w:tcW w:w="1417"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Metelio ežeras (Metelių RP)</w:t>
                </w:r>
              </w:p>
            </w:tc>
            <w:tc>
              <w:tcPr>
                <w:tcW w:w="849"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1289,5</w:t>
                </w:r>
              </w:p>
            </w:tc>
            <w:tc>
              <w:tcPr>
                <w:tcW w:w="99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10040582</w:t>
                </w:r>
              </w:p>
            </w:tc>
            <w:tc>
              <w:tcPr>
                <w:tcW w:w="85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61</w:t>
                </w:r>
                <w:r>
                  <w:rPr>
                    <w:sz w:val="22"/>
                    <w:szCs w:val="22"/>
                  </w:rPr>
                  <w:t>-</w:t>
                </w:r>
                <w:r>
                  <w:rPr>
                    <w:color w:val="000000"/>
                    <w:sz w:val="22"/>
                    <w:szCs w:val="22"/>
                  </w:rPr>
                  <w:t>39</w:t>
                </w:r>
              </w:p>
            </w:tc>
            <w:tc>
              <w:tcPr>
                <w:tcW w:w="46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 xml:space="preserve">Nuo </w:t>
                </w:r>
                <w:r>
                  <w:rPr>
                    <w:sz w:val="22"/>
                    <w:szCs w:val="22"/>
                    <w:lang w:eastAsia="lt-LT"/>
                  </w:rPr>
                  <w:t>plaukiojimo</w:t>
                </w:r>
                <w:r>
                  <w:rPr>
                    <w:b/>
                    <w:sz w:val="22"/>
                    <w:szCs w:val="22"/>
                    <w:lang w:eastAsia="lt-LT"/>
                  </w:rPr>
                  <w:t xml:space="preserve"> </w:t>
                </w:r>
                <w:r>
                  <w:rPr>
                    <w:color w:val="000000"/>
                    <w:sz w:val="22"/>
                    <w:szCs w:val="22"/>
                  </w:rPr>
                  <w:t>sezono pradžios iki liepos 31 d. draudžiama plaukioti savaeigėmis plaukiojimo priemonėmis; nuo rugpjūčio 1 d. iki spalio 31 d. draudžiama plaukioti burinėmis plaukiojimo priemonėmis arčiau kaip 300 m nuo kranto ir savaeigėmis plaukiojimo priemonėmis, kurių galingumas didesnis kaip 8 kW, ir išskyrus išplaukimą ar parplaukimą mažiausiuoju savaeigės plaukiojimo priemonės greičiu.</w:t>
                </w:r>
              </w:p>
            </w:tc>
          </w:tr>
          <w:tr>
            <w:trPr>
              <w:trHeight w:val="814"/>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9.</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Lazdijų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Snaigyno ežeras (Veisiejų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207,5</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10030250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61</w:t>
                </w:r>
                <w:r>
                  <w:rPr>
                    <w:sz w:val="22"/>
                    <w:szCs w:val="22"/>
                  </w:rPr>
                  <w:t>-</w:t>
                </w:r>
                <w:r>
                  <w:rPr>
                    <w:color w:val="000000"/>
                    <w:sz w:val="22"/>
                    <w:szCs w:val="22"/>
                  </w:rPr>
                  <w:t>83</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604"/>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10.</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Lazdijų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Ilgio ežeras (Veisiejų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61,6</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10030181</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61</w:t>
                </w:r>
                <w:r>
                  <w:rPr>
                    <w:sz w:val="22"/>
                    <w:szCs w:val="22"/>
                  </w:rPr>
                  <w:t>-</w:t>
                </w:r>
                <w:r>
                  <w:rPr>
                    <w:color w:val="000000"/>
                    <w:sz w:val="22"/>
                    <w:szCs w:val="22"/>
                  </w:rPr>
                  <w:t>131</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285"/>
            </w:trPr>
            <w:tc>
              <w:tcPr>
                <w:tcW w:w="427" w:type="dxa"/>
                <w:tcBorders>
                  <w:top w:val="single" w:sz="4" w:space="0" w:color="auto"/>
                  <w:left w:val="single" w:sz="4" w:space="0" w:color="auto"/>
                  <w:bottom w:val="single" w:sz="4" w:space="0" w:color="auto"/>
                  <w:right w:val="single" w:sz="4" w:space="0" w:color="auto"/>
                </w:tcBorders>
              </w:tcPr>
              <w:p>
                <w:pPr>
                  <w:snapToGrid w:val="0"/>
                  <w:jc w:val="center"/>
                  <w:rPr>
                    <w:rFonts w:eastAsia="Calibri"/>
                    <w:i/>
                    <w:color w:val="000000" w:themeColor="text1"/>
                    <w:sz w:val="22"/>
                    <w:szCs w:val="22"/>
                  </w:rPr>
                </w:pPr>
                <w:r>
                  <w:rPr>
                    <w:color w:val="000000" w:themeColor="text1"/>
                    <w:sz w:val="22"/>
                    <w:szCs w:val="22"/>
                  </w:rPr>
                  <w:t>11.</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themeColor="text1"/>
                    <w:sz w:val="22"/>
                    <w:szCs w:val="22"/>
                  </w:rPr>
                </w:pPr>
                <w:r>
                  <w:rPr>
                    <w:color w:val="000000" w:themeColor="text1"/>
                    <w:sz w:val="22"/>
                    <w:szCs w:val="22"/>
                  </w:rPr>
                  <w:t>Lazdijų r.</w:t>
                </w:r>
              </w:p>
            </w:tc>
            <w:tc>
              <w:tcPr>
                <w:tcW w:w="1417" w:type="dxa"/>
                <w:tcBorders>
                  <w:top w:val="single" w:sz="4" w:space="0" w:color="auto"/>
                  <w:left w:val="single" w:sz="4" w:space="0" w:color="auto"/>
                  <w:bottom w:val="single" w:sz="4" w:space="0" w:color="auto"/>
                  <w:right w:val="single" w:sz="4" w:space="0" w:color="auto"/>
                </w:tcBorders>
                <w:hideMark/>
              </w:tcPr>
              <w:p>
                <w:pPr>
                  <w:pStyle w:val="Lentelsturinys"/>
                  <w:snapToGrid w:val="0"/>
                  <w:spacing w:line="276" w:lineRule="auto"/>
                  <w:jc w:val="center"/>
                  <w:rPr>
                    <w:rFonts w:eastAsia="Times New Roman"/>
                    <w:color w:val="000000" w:themeColor="text1"/>
                    <w:sz w:val="22"/>
                    <w:szCs w:val="22"/>
                  </w:rPr>
                </w:pPr>
                <w:r>
                  <w:rPr>
                    <w:rFonts w:eastAsia="Times New Roman"/>
                    <w:color w:val="000000" w:themeColor="text1"/>
                    <w:sz w:val="22"/>
                    <w:szCs w:val="22"/>
                  </w:rPr>
                  <w:t xml:space="preserve">Balsio ež. </w:t>
                </w:r>
              </w:p>
              <w:p>
                <w:pPr>
                  <w:snapToGrid w:val="0"/>
                  <w:spacing w:line="276" w:lineRule="auto"/>
                  <w:rPr>
                    <w:rFonts w:eastAsia="Calibri"/>
                    <w:color w:val="000000" w:themeColor="text1"/>
                    <w:sz w:val="22"/>
                    <w:szCs w:val="22"/>
                  </w:rPr>
                </w:pPr>
                <w:r>
                  <w:rPr>
                    <w:color w:val="000000" w:themeColor="text1"/>
                    <w:sz w:val="22"/>
                    <w:szCs w:val="22"/>
                  </w:rPr>
                  <w:t>(Veisiejų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themeColor="text1"/>
                    <w:sz w:val="22"/>
                    <w:szCs w:val="22"/>
                  </w:rPr>
                </w:pPr>
                <w:r>
                  <w:rPr>
                    <w:color w:val="000000" w:themeColor="text1"/>
                    <w:sz w:val="22"/>
                    <w:szCs w:val="22"/>
                  </w:rPr>
                  <w:t>45</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themeColor="text1"/>
                    <w:sz w:val="22"/>
                    <w:szCs w:val="22"/>
                  </w:rPr>
                </w:pPr>
                <w:r>
                  <w:rPr>
                    <w:color w:val="000000" w:themeColor="text1"/>
                    <w:sz w:val="22"/>
                    <w:szCs w:val="22"/>
                  </w:rPr>
                  <w:t>10030021</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themeColor="text1"/>
                    <w:sz w:val="22"/>
                    <w:szCs w:val="22"/>
                  </w:rPr>
                </w:pPr>
                <w:r>
                  <w:rPr>
                    <w:color w:val="000000" w:themeColor="text1"/>
                    <w:sz w:val="22"/>
                    <w:szCs w:val="22"/>
                  </w:rPr>
                  <w:t>61-72</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themeColor="text1"/>
                    <w:sz w:val="22"/>
                    <w:szCs w:val="22"/>
                  </w:rPr>
                </w:pPr>
                <w:r>
                  <w:rPr>
                    <w:color w:val="000000" w:themeColor="text1"/>
                    <w:sz w:val="22"/>
                    <w:szCs w:val="22"/>
                  </w:rPr>
                  <w:t>Draudžiama plaukioti savaeigėmis plaukiojimo priemonėmis</w:t>
                </w:r>
              </w:p>
            </w:tc>
          </w:tr>
          <w:tr>
            <w:trPr>
              <w:trHeight w:val="97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12.</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Molėtų r., Švenčionių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Asvejos (Dubingių) ežeras (Asvejos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982,2</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12130039</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42</w:t>
                </w:r>
                <w:r>
                  <w:rPr>
                    <w:sz w:val="22"/>
                    <w:szCs w:val="22"/>
                  </w:rPr>
                  <w:t>-</w:t>
                </w:r>
                <w:r>
                  <w:rPr>
                    <w:color w:val="000000"/>
                    <w:sz w:val="22"/>
                    <w:szCs w:val="22"/>
                  </w:rPr>
                  <w:t>109</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lang w:eastAsia="lt-LT"/>
                  </w:rPr>
                  <w:t xml:space="preserve">Draudžiama plaukioti savaeigėmis plaukiojimo priemonėmis Žalktynės </w:t>
                </w:r>
                <w:r>
                  <w:rPr>
                    <w:bCs/>
                    <w:color w:val="000000"/>
                    <w:sz w:val="22"/>
                    <w:szCs w:val="22"/>
                    <w:lang w:eastAsia="lt-LT"/>
                  </w:rPr>
                  <w:t>ir Vyriogalos įlankose.</w:t>
                </w:r>
              </w:p>
            </w:tc>
          </w:tr>
          <w:tr>
            <w:trPr>
              <w:trHeight w:val="70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13.</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Molėtų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Kertuojų ežeras (Labanoro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545,2</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12140320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43-173</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67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14.</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Plungės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Ilgio ežeras (Žemaitijos NP)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113,8</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17030041</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w:t>
                </w:r>
                <w:r>
                  <w:rPr>
                    <w:sz w:val="22"/>
                    <w:szCs w:val="22"/>
                  </w:rPr>
                  <w:t>-</w:t>
                </w:r>
                <w:r>
                  <w:rPr>
                    <w:color w:val="000000"/>
                    <w:sz w:val="22"/>
                    <w:szCs w:val="22"/>
                  </w:rPr>
                  <w:t>13</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369"/>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15.</w:t>
                </w:r>
              </w:p>
            </w:tc>
            <w:tc>
              <w:tcPr>
                <w:tcW w:w="12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Plungės r.</w:t>
                </w:r>
              </w:p>
            </w:tc>
            <w:tc>
              <w:tcPr>
                <w:tcW w:w="1417"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Platelių ežeras (Žemaitijos NP)</w:t>
                </w:r>
              </w:p>
            </w:tc>
            <w:tc>
              <w:tcPr>
                <w:tcW w:w="849"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1181,5</w:t>
                </w:r>
              </w:p>
            </w:tc>
            <w:tc>
              <w:tcPr>
                <w:tcW w:w="99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17040030</w:t>
                </w:r>
              </w:p>
            </w:tc>
            <w:tc>
              <w:tcPr>
                <w:tcW w:w="85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2-5</w:t>
                </w:r>
              </w:p>
            </w:tc>
            <w:tc>
              <w:tcPr>
                <w:tcW w:w="46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 xml:space="preserve">Draudžiama plaukioti savaeigėmis plaukiojimo priemonėmis, išskyrus atvejus nurodytus Aplinkosaugos sąlygų plaukioti vandens telkiniuose, patvirtintų Lietuvos Respublikos aplinkos ministro 2004 m. balandžio 15 d. įsakymu Nr. D1-187 „Dėl Aplinkosaugos sąlygų plaukioti vandens telkiniuose patvirtinimo“, priede. </w:t>
                </w:r>
              </w:p>
            </w:tc>
          </w:tr>
          <w:tr>
            <w:trPr>
              <w:trHeight w:val="67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16.</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Rokiškio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Rašų ežeras (Sartų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188,5</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12230018</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20</w:t>
                </w:r>
                <w:r>
                  <w:rPr>
                    <w:sz w:val="22"/>
                    <w:szCs w:val="22"/>
                  </w:rPr>
                  <w:t>-</w:t>
                </w:r>
                <w:r>
                  <w:rPr>
                    <w:color w:val="000000"/>
                    <w:sz w:val="22"/>
                    <w:szCs w:val="22"/>
                  </w:rPr>
                  <w:t>95</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61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17.</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Šiaulių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Bijotės ežeras (Kurtuvėnų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60,7</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14040005</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15</w:t>
                </w:r>
                <w:r>
                  <w:rPr>
                    <w:sz w:val="22"/>
                    <w:szCs w:val="22"/>
                  </w:rPr>
                  <w:t>-</w:t>
                </w:r>
                <w:r>
                  <w:rPr>
                    <w:color w:val="000000"/>
                    <w:sz w:val="22"/>
                    <w:szCs w:val="22"/>
                  </w:rPr>
                  <w:t>36</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615"/>
            </w:trPr>
            <w:tc>
              <w:tcPr>
                <w:tcW w:w="427" w:type="dxa"/>
                <w:tcBorders>
                  <w:top w:val="single" w:sz="4" w:space="0" w:color="auto"/>
                  <w:left w:val="single" w:sz="4" w:space="0" w:color="auto"/>
                  <w:bottom w:val="single" w:sz="4" w:space="0" w:color="auto"/>
                  <w:right w:val="single" w:sz="4" w:space="0" w:color="auto"/>
                </w:tcBorders>
                <w:hideMark/>
              </w:tcPr>
              <w:p>
                <w:pPr>
                  <w:snapToGrid w:val="0"/>
                  <w:jc w:val="center"/>
                  <w:rPr>
                    <w:rFonts w:eastAsia="Calibri"/>
                    <w:color w:val="000000"/>
                    <w:sz w:val="22"/>
                    <w:szCs w:val="22"/>
                  </w:rPr>
                </w:pPr>
                <w:r>
                  <w:rPr>
                    <w:color w:val="000000"/>
                    <w:sz w:val="22"/>
                    <w:szCs w:val="22"/>
                  </w:rPr>
                  <w:t>18.</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Šilutės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Nemuno deltos šakos (Nemuno deltos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w:t>
                </w:r>
              </w:p>
            </w:tc>
            <w:tc>
              <w:tcPr>
                <w:tcW w:w="991" w:type="dxa"/>
                <w:tcBorders>
                  <w:top w:val="single" w:sz="4" w:space="0" w:color="auto"/>
                  <w:left w:val="single" w:sz="4" w:space="0" w:color="auto"/>
                  <w:bottom w:val="single" w:sz="4" w:space="0" w:color="auto"/>
                  <w:right w:val="single" w:sz="4" w:space="0" w:color="auto"/>
                </w:tcBorders>
                <w:hideMark/>
              </w:tcPr>
              <w:p>
                <w:pPr>
                  <w:snapToGrid w:val="0"/>
                  <w:jc w:val="center"/>
                  <w:rPr>
                    <w:rFonts w:eastAsia="Calibri"/>
                    <w:color w:val="000000"/>
                    <w:sz w:val="22"/>
                    <w:szCs w:val="22"/>
                  </w:rPr>
                </w:pPr>
                <w:r>
                  <w:rPr>
                    <w:color w:val="000000"/>
                    <w:sz w:val="22"/>
                    <w:szCs w:val="22"/>
                  </w:rPr>
                  <w:t>̶</w:t>
                </w:r>
              </w:p>
            </w:tc>
            <w:tc>
              <w:tcPr>
                <w:tcW w:w="851" w:type="dxa"/>
                <w:tcBorders>
                  <w:top w:val="single" w:sz="4" w:space="0" w:color="auto"/>
                  <w:left w:val="single" w:sz="4" w:space="0" w:color="auto"/>
                  <w:bottom w:val="single" w:sz="4" w:space="0" w:color="auto"/>
                  <w:right w:val="single" w:sz="4" w:space="0" w:color="auto"/>
                </w:tcBorders>
                <w:hideMark/>
              </w:tcPr>
              <w:p>
                <w:pPr>
                  <w:snapToGrid w:val="0"/>
                  <w:jc w:val="center"/>
                  <w:rPr>
                    <w:rFonts w:eastAsia="Calibri"/>
                    <w:color w:val="000000"/>
                    <w:sz w:val="22"/>
                    <w:szCs w:val="22"/>
                  </w:rPr>
                </w:pPr>
                <w:r>
                  <w:rPr>
                    <w:color w:val="000000"/>
                    <w:sz w:val="22"/>
                    <w:szCs w:val="22"/>
                  </w:rPr>
                  <w:t>̶</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 Skirvytėje (Tiesioji), Aukštumalėje ir Purvalankyje.</w:t>
                </w:r>
              </w:p>
            </w:tc>
          </w:tr>
          <w:tr>
            <w:trPr>
              <w:trHeight w:val="690"/>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19.</w:t>
                </w:r>
              </w:p>
            </w:tc>
            <w:tc>
              <w:tcPr>
                <w:tcW w:w="12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Švenčionių r.</w:t>
                </w:r>
              </w:p>
            </w:tc>
            <w:tc>
              <w:tcPr>
                <w:tcW w:w="1417"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Kretuono ežeras (Aukštaitijos NP)</w:t>
                </w:r>
              </w:p>
            </w:tc>
            <w:tc>
              <w:tcPr>
                <w:tcW w:w="849"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sz w:val="22"/>
                    <w:szCs w:val="22"/>
                  </w:rPr>
                </w:pPr>
                <w:r>
                  <w:rPr>
                    <w:sz w:val="22"/>
                    <w:szCs w:val="22"/>
                  </w:rPr>
                  <w:t>861</w:t>
                </w:r>
              </w:p>
            </w:tc>
            <w:tc>
              <w:tcPr>
                <w:tcW w:w="99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sz w:val="22"/>
                    <w:szCs w:val="22"/>
                  </w:rPr>
                </w:pPr>
                <w:r>
                  <w:rPr>
                    <w:sz w:val="22"/>
                    <w:szCs w:val="22"/>
                  </w:rPr>
                  <w:t>12130044</w:t>
                </w:r>
              </w:p>
            </w:tc>
            <w:tc>
              <w:tcPr>
                <w:tcW w:w="85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44</w:t>
                </w:r>
                <w:r>
                  <w:rPr>
                    <w:sz w:val="22"/>
                    <w:szCs w:val="22"/>
                  </w:rPr>
                  <w:t>-</w:t>
                </w:r>
                <w:r>
                  <w:rPr>
                    <w:color w:val="000000"/>
                    <w:sz w:val="22"/>
                    <w:szCs w:val="22"/>
                  </w:rPr>
                  <w:t>25</w:t>
                </w:r>
              </w:p>
            </w:tc>
            <w:tc>
              <w:tcPr>
                <w:tcW w:w="46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 xml:space="preserve">Draudžiama plaukioti savaeigėmis plaukiojimo priemonėmis nuo </w:t>
                </w:r>
                <w:r>
                  <w:rPr>
                    <w:sz w:val="22"/>
                    <w:szCs w:val="22"/>
                    <w:lang w:eastAsia="lt-LT"/>
                  </w:rPr>
                  <w:t>plaukiojimo</w:t>
                </w:r>
                <w:r>
                  <w:rPr>
                    <w:b/>
                    <w:sz w:val="22"/>
                    <w:szCs w:val="22"/>
                    <w:lang w:eastAsia="lt-LT"/>
                  </w:rPr>
                  <w:t xml:space="preserve"> </w:t>
                </w:r>
                <w:r>
                  <w:rPr>
                    <w:color w:val="000000"/>
                    <w:sz w:val="22"/>
                    <w:szCs w:val="22"/>
                  </w:rPr>
                  <w:t>sezono pradžios iki liepos 1 d.</w:t>
                </w:r>
              </w:p>
            </w:tc>
          </w:tr>
          <w:tr>
            <w:trPr>
              <w:trHeight w:val="2067"/>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20.</w:t>
                </w:r>
              </w:p>
            </w:tc>
            <w:tc>
              <w:tcPr>
                <w:tcW w:w="12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Švenčionių r.</w:t>
                </w:r>
              </w:p>
            </w:tc>
            <w:tc>
              <w:tcPr>
                <w:tcW w:w="1417" w:type="dxa"/>
                <w:tcBorders>
                  <w:top w:val="single" w:sz="4" w:space="0" w:color="auto"/>
                  <w:left w:val="single" w:sz="4" w:space="0" w:color="auto"/>
                  <w:bottom w:val="single" w:sz="4" w:space="0" w:color="auto"/>
                  <w:right w:val="single" w:sz="4" w:space="0" w:color="auto"/>
                </w:tcBorders>
              </w:tcPr>
              <w:p>
                <w:pPr>
                  <w:snapToGrid w:val="0"/>
                  <w:rPr>
                    <w:rFonts w:eastAsia="Calibri"/>
                    <w:color w:val="000000"/>
                    <w:sz w:val="22"/>
                    <w:szCs w:val="22"/>
                  </w:rPr>
                </w:pPr>
                <w:r>
                  <w:rPr>
                    <w:color w:val="000000"/>
                    <w:sz w:val="22"/>
                    <w:szCs w:val="22"/>
                  </w:rPr>
                  <w:t>Mažojo Siaurio ežeras</w:t>
                </w:r>
              </w:p>
              <w:p>
                <w:pPr>
                  <w:snapToGrid w:val="0"/>
                  <w:spacing w:line="276" w:lineRule="auto"/>
                  <w:rPr>
                    <w:rFonts w:eastAsia="Calibri"/>
                    <w:color w:val="000000"/>
                    <w:sz w:val="22"/>
                    <w:szCs w:val="22"/>
                  </w:rPr>
                </w:pPr>
                <w:r>
                  <w:rPr>
                    <w:color w:val="000000"/>
                    <w:sz w:val="22"/>
                    <w:szCs w:val="22"/>
                  </w:rPr>
                  <w:t>(Labanoro RP)</w:t>
                </w:r>
              </w:p>
            </w:tc>
            <w:tc>
              <w:tcPr>
                <w:tcW w:w="849"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57,8</w:t>
                </w:r>
              </w:p>
            </w:tc>
            <w:tc>
              <w:tcPr>
                <w:tcW w:w="99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12131140</w:t>
                </w:r>
              </w:p>
            </w:tc>
            <w:tc>
              <w:tcPr>
                <w:tcW w:w="85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43</w:t>
                </w:r>
                <w:r>
                  <w:rPr>
                    <w:sz w:val="22"/>
                    <w:szCs w:val="22"/>
                  </w:rPr>
                  <w:t>-</w:t>
                </w:r>
                <w:r>
                  <w:rPr>
                    <w:color w:val="000000"/>
                    <w:sz w:val="22"/>
                    <w:szCs w:val="22"/>
                  </w:rPr>
                  <w:t>192</w:t>
                </w:r>
              </w:p>
            </w:tc>
            <w:tc>
              <w:tcPr>
                <w:tcW w:w="46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Draudžiama plaukioti savaeigėmis plaukiojimo priemonėmis pietinėje ežero įlankoje nuo sąsmaukos ties kvartaline linija tarp Pasiaurės girininkijos miško 8 kvartalo ir Prūdiškės girininkijos miško 104 kvartalo (Švenčionėlių miškų urėdija). Draudžiama plaukioti savaeigėmis plaukiojimo priemonėmis ir nesavaeigėmis – nuo plaukiojimo sezono pradžios iki birželio 20 d.</w:t>
                </w:r>
              </w:p>
            </w:tc>
          </w:tr>
          <w:tr>
            <w:trPr>
              <w:trHeight w:val="930"/>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21.</w:t>
                </w:r>
              </w:p>
            </w:tc>
            <w:tc>
              <w:tcPr>
                <w:tcW w:w="12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Švenčionių r.</w:t>
                </w:r>
              </w:p>
            </w:tc>
            <w:tc>
              <w:tcPr>
                <w:tcW w:w="1417"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Salaičių ežeras (Labanoro RP)</w:t>
                </w:r>
              </w:p>
            </w:tc>
            <w:tc>
              <w:tcPr>
                <w:tcW w:w="849"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26,4</w:t>
                </w:r>
              </w:p>
            </w:tc>
            <w:tc>
              <w:tcPr>
                <w:tcW w:w="99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12130733</w:t>
                </w:r>
              </w:p>
            </w:tc>
            <w:tc>
              <w:tcPr>
                <w:tcW w:w="85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43-100</w:t>
                </w:r>
              </w:p>
            </w:tc>
            <w:tc>
              <w:tcPr>
                <w:tcW w:w="46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 xml:space="preserve">Draudžiama plaukioti savaeigėmis plaukiojimo priemonėmis. Nesavaeigėmis plaukiojimo priemonėmis draudžiama plaukioti nuo </w:t>
                </w:r>
                <w:r>
                  <w:rPr>
                    <w:color w:val="000000"/>
                    <w:sz w:val="22"/>
                    <w:szCs w:val="22"/>
                  </w:rPr>
                  <w:t xml:space="preserve">plaukiojimo </w:t>
                </w:r>
                <w:r>
                  <w:rPr>
                    <w:sz w:val="22"/>
                    <w:szCs w:val="22"/>
                    <w:lang w:eastAsia="lt-LT"/>
                  </w:rPr>
                  <w:t>sezono pradžios iki liepos 1 d.</w:t>
                </w:r>
              </w:p>
            </w:tc>
          </w:tr>
          <w:tr>
            <w:trPr>
              <w:trHeight w:val="652"/>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22.</w:t>
                </w:r>
              </w:p>
            </w:tc>
            <w:tc>
              <w:tcPr>
                <w:tcW w:w="12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Švenčionių r.</w:t>
                </w:r>
              </w:p>
            </w:tc>
            <w:tc>
              <w:tcPr>
                <w:tcW w:w="1417"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Ešerinio ežeras (Labanoro RP)</w:t>
                </w:r>
              </w:p>
            </w:tc>
            <w:tc>
              <w:tcPr>
                <w:tcW w:w="849"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19,7</w:t>
                </w:r>
              </w:p>
            </w:tc>
            <w:tc>
              <w:tcPr>
                <w:tcW w:w="99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12130737</w:t>
                </w:r>
              </w:p>
            </w:tc>
            <w:tc>
              <w:tcPr>
                <w:tcW w:w="85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43-205</w:t>
                </w:r>
              </w:p>
            </w:tc>
            <w:tc>
              <w:tcPr>
                <w:tcW w:w="46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Draudžiama plaukioti savaeigėmis plaukiojimo priemonėmis. Nesavaeigėmis plaukiojimo priemonėmis draudžiama plaukioti nuo plaukiojimo sezono pradžios iki rugpjūčio 1 d.</w:t>
                </w:r>
              </w:p>
            </w:tc>
          </w:tr>
          <w:tr>
            <w:trPr>
              <w:trHeight w:val="91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23.</w:t>
                </w:r>
              </w:p>
            </w:tc>
            <w:tc>
              <w:tcPr>
                <w:tcW w:w="12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Telšių r.</w:t>
                </w:r>
              </w:p>
            </w:tc>
            <w:tc>
              <w:tcPr>
                <w:tcW w:w="1417"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Biržulio ežeras (Varnių RP)</w:t>
                </w:r>
              </w:p>
            </w:tc>
            <w:tc>
              <w:tcPr>
                <w:tcW w:w="849"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114,2</w:t>
                </w:r>
              </w:p>
            </w:tc>
            <w:tc>
              <w:tcPr>
                <w:tcW w:w="99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30040060</w:t>
                </w:r>
              </w:p>
            </w:tc>
            <w:tc>
              <w:tcPr>
                <w:tcW w:w="85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13</w:t>
                </w:r>
                <w:r>
                  <w:rPr>
                    <w:sz w:val="22"/>
                    <w:szCs w:val="22"/>
                  </w:rPr>
                  <w:t>-</w:t>
                </w:r>
                <w:r>
                  <w:rPr>
                    <w:color w:val="000000"/>
                    <w:sz w:val="22"/>
                    <w:szCs w:val="22"/>
                  </w:rPr>
                  <w:t>35</w:t>
                </w:r>
              </w:p>
            </w:tc>
            <w:tc>
              <w:tcPr>
                <w:tcW w:w="46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Draudžiama plaukioti savaeigėmis plaukiojimo priemonėmis; nesavaeigėmis – nuo plaukiojimo sezono pradžios iki liepos 31 d.</w:t>
                </w:r>
              </w:p>
            </w:tc>
          </w:tr>
          <w:tr>
            <w:trPr>
              <w:trHeight w:val="91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23</w:t>
                </w:r>
                <w:r>
                  <w:rPr>
                    <w:color w:val="000000"/>
                    <w:sz w:val="22"/>
                    <w:szCs w:val="22"/>
                    <w:vertAlign w:val="superscript"/>
                  </w:rPr>
                  <w:t>1</w:t>
                </w:r>
                <w:r>
                  <w:rPr>
                    <w:color w:val="000000"/>
                    <w:sz w:val="22"/>
                    <w:szCs w:val="22"/>
                  </w:rPr>
                  <w:t>.</w:t>
                </w:r>
              </w:p>
            </w:tc>
            <w:tc>
              <w:tcPr>
                <w:tcW w:w="1275" w:type="dxa"/>
                <w:tcBorders>
                  <w:top w:val="single" w:sz="4" w:space="0" w:color="auto"/>
                  <w:left w:val="single" w:sz="4" w:space="0" w:color="auto"/>
                  <w:bottom w:val="single" w:sz="4" w:space="0" w:color="auto"/>
                  <w:right w:val="single" w:sz="4" w:space="0" w:color="auto"/>
                </w:tcBorders>
              </w:tcPr>
              <w:p>
                <w:pPr>
                  <w:snapToGrid w:val="0"/>
                  <w:spacing w:line="276" w:lineRule="auto"/>
                  <w:rPr>
                    <w:color w:val="000000"/>
                    <w:sz w:val="22"/>
                    <w:szCs w:val="22"/>
                  </w:rPr>
                </w:pPr>
                <w:r>
                  <w:rPr>
                    <w:color w:val="000000"/>
                    <w:sz w:val="22"/>
                    <w:szCs w:val="22"/>
                  </w:rPr>
                  <w:t>Telšių r.</w:t>
                </w:r>
              </w:p>
            </w:tc>
            <w:tc>
              <w:tcPr>
                <w:tcW w:w="1417" w:type="dxa"/>
                <w:tcBorders>
                  <w:top w:val="single" w:sz="4" w:space="0" w:color="auto"/>
                  <w:left w:val="single" w:sz="4" w:space="0" w:color="auto"/>
                  <w:bottom w:val="single" w:sz="4" w:space="0" w:color="auto"/>
                  <w:right w:val="single" w:sz="4" w:space="0" w:color="auto"/>
                </w:tcBorders>
              </w:tcPr>
              <w:p>
                <w:pPr>
                  <w:snapToGrid w:val="0"/>
                  <w:spacing w:line="276" w:lineRule="auto"/>
                  <w:rPr>
                    <w:color w:val="000000"/>
                    <w:sz w:val="22"/>
                    <w:szCs w:val="22"/>
                  </w:rPr>
                </w:pPr>
                <w:r>
                  <w:rPr>
                    <w:color w:val="000000"/>
                    <w:sz w:val="22"/>
                    <w:szCs w:val="22"/>
                  </w:rPr>
                  <w:t>Germanto ežeras (Germanto kraštovaizdžio draustinis)</w:t>
                </w:r>
              </w:p>
            </w:tc>
            <w:tc>
              <w:tcPr>
                <w:tcW w:w="849"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color w:val="000000"/>
                    <w:sz w:val="22"/>
                    <w:szCs w:val="22"/>
                  </w:rPr>
                </w:pPr>
                <w:r>
                  <w:rPr>
                    <w:color w:val="000000"/>
                    <w:sz w:val="22"/>
                    <w:szCs w:val="22"/>
                  </w:rPr>
                  <w:t>166,3</w:t>
                </w:r>
              </w:p>
            </w:tc>
            <w:tc>
              <w:tcPr>
                <w:tcW w:w="99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color w:val="000000"/>
                    <w:sz w:val="22"/>
                    <w:szCs w:val="22"/>
                  </w:rPr>
                </w:pPr>
                <w:r>
                  <w:rPr>
                    <w:color w:val="000000"/>
                    <w:sz w:val="22"/>
                    <w:szCs w:val="22"/>
                  </w:rPr>
                  <w:t>30030146</w:t>
                </w:r>
              </w:p>
            </w:tc>
            <w:tc>
              <w:tcPr>
                <w:tcW w:w="85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color w:val="000000"/>
                    <w:sz w:val="22"/>
                    <w:szCs w:val="22"/>
                  </w:rPr>
                </w:pPr>
                <w:r>
                  <w:rPr>
                    <w:color w:val="000000"/>
                    <w:sz w:val="22"/>
                    <w:szCs w:val="22"/>
                  </w:rPr>
                  <w:t>13-16</w:t>
                </w:r>
              </w:p>
            </w:tc>
            <w:tc>
              <w:tcPr>
                <w:tcW w:w="4675" w:type="dxa"/>
                <w:tcBorders>
                  <w:top w:val="single" w:sz="4" w:space="0" w:color="auto"/>
                  <w:left w:val="single" w:sz="4" w:space="0" w:color="auto"/>
                  <w:bottom w:val="single" w:sz="4" w:space="0" w:color="auto"/>
                  <w:right w:val="single" w:sz="4" w:space="0" w:color="auto"/>
                </w:tcBorders>
              </w:tcPr>
              <w:p>
                <w:pPr>
                  <w:snapToGrid w:val="0"/>
                  <w:spacing w:line="276" w:lineRule="auto"/>
                  <w:rPr>
                    <w:color w:val="000000"/>
                    <w:sz w:val="22"/>
                    <w:szCs w:val="22"/>
                  </w:rPr>
                </w:pPr>
                <w:r>
                  <w:rPr>
                    <w:color w:val="000000"/>
                    <w:sz w:val="22"/>
                    <w:szCs w:val="22"/>
                  </w:rPr>
                  <w:t>Draudžiama plaukioti savaeigėmis plaukiojimo priemonėmis.</w:t>
                </w:r>
              </w:p>
            </w:tc>
          </w:tr>
          <w:tr>
            <w:trPr>
              <w:trHeight w:val="568"/>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24.</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Telšių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Saloto ežeras (Varnių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76,3</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17030014</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13-10</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58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25.</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Trakų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Akmenos ežeras (Trakų INP)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268,7</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12030220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57</w:t>
                </w:r>
                <w:r>
                  <w:rPr>
                    <w:sz w:val="22"/>
                    <w:szCs w:val="22"/>
                  </w:rPr>
                  <w:t>-</w:t>
                </w:r>
                <w:r>
                  <w:rPr>
                    <w:color w:val="000000"/>
                    <w:sz w:val="22"/>
                    <w:szCs w:val="22"/>
                  </w:rPr>
                  <w:t>122</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630"/>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26.</w:t>
                </w:r>
              </w:p>
            </w:tc>
            <w:tc>
              <w:tcPr>
                <w:tcW w:w="12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Trakų r.</w:t>
                </w:r>
              </w:p>
            </w:tc>
            <w:tc>
              <w:tcPr>
                <w:tcW w:w="1417"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color w:val="000000"/>
                    <w:sz w:val="22"/>
                    <w:szCs w:val="22"/>
                    <w:lang w:eastAsia="lt-LT"/>
                  </w:rPr>
                  <w:t>Lukos ežeras (Trakų INP)</w:t>
                </w:r>
              </w:p>
            </w:tc>
            <w:tc>
              <w:tcPr>
                <w:tcW w:w="849"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87,7</w:t>
                </w:r>
              </w:p>
            </w:tc>
            <w:tc>
              <w:tcPr>
                <w:tcW w:w="99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12030200</w:t>
                </w:r>
              </w:p>
            </w:tc>
            <w:tc>
              <w:tcPr>
                <w:tcW w:w="85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57-138</w:t>
                </w:r>
              </w:p>
            </w:tc>
            <w:tc>
              <w:tcPr>
                <w:tcW w:w="46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Draudžiama plaukioti savaeigėmis plaukiojimo priemonėmis. Draudimas netaikomas teisės aktų nustatyta tvarka teikiant viešąsias paslaugas savaeigėmis plaukiojimo priemonėmis, kurių bendras variklių galingumas neviršija 150 AG (110 kW), vadovaujantis Trakų rajono savivaldybės tarybos patvirtintu Ekologinių turizmo transporto grandžių Trakų istorinio nacionalinio parko teritorijoje specialiuoju planu, nustatančiu vandens turizmo maršrutus.</w:t>
                </w:r>
              </w:p>
            </w:tc>
          </w:tr>
          <w:tr>
            <w:trPr>
              <w:trHeight w:val="61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27.</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Trakų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Skaisčio ežeras (Trakų INP)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282</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12030202</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57</w:t>
                </w:r>
                <w:r>
                  <w:rPr>
                    <w:sz w:val="22"/>
                    <w:szCs w:val="22"/>
                  </w:rPr>
                  <w:t>-</w:t>
                </w:r>
                <w:r>
                  <w:rPr>
                    <w:color w:val="000000"/>
                    <w:sz w:val="22"/>
                    <w:szCs w:val="22"/>
                  </w:rPr>
                  <w:t>124</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themeColor="text1"/>
                    <w:sz w:val="22"/>
                    <w:szCs w:val="22"/>
                  </w:rPr>
                  <w:t>Draudžiama plaukioti savaeigėmis plaukiojimo priemonėmis.</w:t>
                </w:r>
                <w:r>
                  <w:rPr>
                    <w:b/>
                    <w:color w:val="FF0000"/>
                    <w:sz w:val="22"/>
                    <w:szCs w:val="22"/>
                  </w:rPr>
                  <w:t xml:space="preserve"> </w:t>
                </w:r>
              </w:p>
            </w:tc>
          </w:tr>
          <w:tr>
            <w:trPr>
              <w:trHeight w:val="839"/>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28.</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Trakų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Totoriškių ežeras (Trakų INP)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76</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12030219</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57</w:t>
                </w:r>
                <w:r>
                  <w:rPr>
                    <w:sz w:val="22"/>
                    <w:szCs w:val="22"/>
                  </w:rPr>
                  <w:t>-</w:t>
                </w:r>
                <w:r>
                  <w:rPr>
                    <w:color w:val="000000"/>
                    <w:sz w:val="22"/>
                    <w:szCs w:val="22"/>
                  </w:rPr>
                  <w:t>127</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940"/>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29.</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 xml:space="preserve">Utenos r. </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 xml:space="preserve">Alaušo ežeras </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1071,8</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12231126</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31</w:t>
                </w:r>
                <w:r>
                  <w:rPr>
                    <w:sz w:val="22"/>
                    <w:szCs w:val="22"/>
                  </w:rPr>
                  <w:t>-</w:t>
                </w:r>
                <w:r>
                  <w:rPr>
                    <w:color w:val="000000"/>
                    <w:sz w:val="22"/>
                    <w:szCs w:val="22"/>
                  </w:rPr>
                  <w:t>24</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 arčiau kaip 200 m nuo ežero ir jame esančių salų krantų.</w:t>
                </w:r>
              </w:p>
            </w:tc>
          </w:tr>
          <w:tr>
            <w:trPr>
              <w:trHeight w:val="2948"/>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30.</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Varėnos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Ūlos–Pelesos upė (Dzūkijos NP)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11010550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Plaukioti Ūlos upe leidžiama tik irklinėmis valtimis, baidarėmis ir kanojomis nuo gegužės 1 d. iki rugsėjo 31 d. Ūlos upės atkarpoje, esančioje Dzūkijos NP – vadovaujantis Lietuvos Respublikos Vyriausybės 1997 m. balandžio 29 d. nutarimu Nr. 419 „Dėl Dzūkijos nacionalinio parko planavimo schemos“ patvirtinta Dzūkijos NP planavimo schema. Plaukiojimą nurodytomis plaukiojimo priemonėmis organizuoja ir informaciją teikia Dzūkijos NP ir Čepkelių valstybinio gamtinio rezervato direkcija.</w:t>
                </w:r>
              </w:p>
            </w:tc>
          </w:tr>
          <w:tr>
            <w:trPr>
              <w:trHeight w:val="861"/>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31.</w:t>
                </w:r>
              </w:p>
            </w:tc>
            <w:tc>
              <w:tcPr>
                <w:tcW w:w="127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Zarasų r.</w:t>
                </w:r>
              </w:p>
            </w:tc>
            <w:tc>
              <w:tcPr>
                <w:tcW w:w="141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Šiurpio ežeras (Gražutės RP)</w:t>
                </w:r>
              </w:p>
            </w:tc>
            <w:tc>
              <w:tcPr>
                <w:tcW w:w="849"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66,9</w:t>
                </w:r>
              </w:p>
            </w:tc>
            <w:tc>
              <w:tcPr>
                <w:tcW w:w="99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12230322</w:t>
                </w:r>
              </w:p>
            </w:tc>
            <w:tc>
              <w:tcPr>
                <w:tcW w:w="85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32-13</w:t>
                </w:r>
              </w:p>
            </w:tc>
            <w:tc>
              <w:tcPr>
                <w:tcW w:w="467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Draudžiama plaukioti savaeigėmis plaukiojimo priemonėmis. Nesavaeigėmis plaukiojimo priemonėmis draudžiama plaukioti nuo plaukiojimo</w:t>
                </w:r>
                <w:r>
                  <w:rPr>
                    <w:b/>
                    <w:sz w:val="22"/>
                    <w:szCs w:val="22"/>
                    <w:lang w:eastAsia="lt-LT"/>
                  </w:rPr>
                  <w:t xml:space="preserve"> </w:t>
                </w:r>
                <w:r>
                  <w:rPr>
                    <w:sz w:val="22"/>
                    <w:szCs w:val="22"/>
                    <w:lang w:eastAsia="lt-LT"/>
                  </w:rPr>
                  <w:t>sezono pradžios iki liepos 1 d.</w:t>
                </w:r>
              </w:p>
            </w:tc>
          </w:tr>
          <w:tr>
            <w:trPr>
              <w:trHeight w:val="818"/>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32.</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Zarasų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Švento ežeras (Gražutės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425,9</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12230256</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32</w:t>
                </w:r>
                <w:r>
                  <w:rPr>
                    <w:sz w:val="22"/>
                    <w:szCs w:val="22"/>
                  </w:rPr>
                  <w:t>-</w:t>
                </w:r>
                <w:r>
                  <w:rPr>
                    <w:color w:val="000000"/>
                    <w:sz w:val="22"/>
                    <w:szCs w:val="22"/>
                  </w:rPr>
                  <w:t>45</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208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33.</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Zarasų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 xml:space="preserve">Drūkšių ežeras </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3532,91</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50040100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33</w:t>
                </w:r>
                <w:r>
                  <w:rPr>
                    <w:sz w:val="22"/>
                    <w:szCs w:val="22"/>
                  </w:rPr>
                  <w:t>-</w:t>
                </w:r>
                <w:r>
                  <w:rPr>
                    <w:color w:val="000000"/>
                    <w:sz w:val="22"/>
                    <w:szCs w:val="22"/>
                  </w:rPr>
                  <w:t>7</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 nuo plaukiojimo</w:t>
                </w:r>
                <w:r>
                  <w:rPr>
                    <w:b/>
                    <w:color w:val="000000"/>
                    <w:sz w:val="22"/>
                    <w:szCs w:val="22"/>
                  </w:rPr>
                  <w:t xml:space="preserve"> </w:t>
                </w:r>
                <w:r>
                  <w:rPr>
                    <w:color w:val="000000"/>
                    <w:sz w:val="22"/>
                    <w:szCs w:val="22"/>
                  </w:rPr>
                  <w:t xml:space="preserve">sezono pradžios iki birželio 20 d. arčiau kaip 200 m nuo kranto šiaurinėje ežero dalyje, nuo Mištautų miško rytinio pakraščio iki Padrūkšės kaimo, vakarinėje ežero dalyje – nuo Ignalinos atominės elektrinės išleidimo kanalo iki Mačionių kaimo. </w:t>
                </w:r>
              </w:p>
            </w:tc>
          </w:tr>
          <w:tr>
            <w:trPr>
              <w:trHeight w:val="1177"/>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34.</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Zarasų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Šventelio ežeras (Gražutės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13,7</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12230255</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32-44</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Draudžiama plaukioti savaeigėmis plaukiojimo priemonėmis. Nesavaeigėmis plaukiojimo priemonėmis draudžiama plaukioti nuo plaukiojimo sezono pradžios iki liepos 1 d.</w:t>
                </w:r>
              </w:p>
            </w:tc>
          </w:tr>
          <w:tr>
            <w:trPr>
              <w:trHeight w:val="1177"/>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35.</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Zarasų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Šiurpelio ežeras (Gražutės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29,8</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12230320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32-11</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Draudžiama plaukioti savaeigėmis plaukiojimo priemonėmis. Nesavaeigėmis plaukiojimo priemonėmis draudžiama plaukioti nuo plaukiojimo</w:t>
                </w:r>
                <w:r>
                  <w:rPr>
                    <w:b/>
                    <w:color w:val="000000"/>
                    <w:sz w:val="22"/>
                    <w:szCs w:val="22"/>
                  </w:rPr>
                  <w:t xml:space="preserve"> s</w:t>
                </w:r>
                <w:r>
                  <w:rPr>
                    <w:color w:val="000000"/>
                    <w:sz w:val="22"/>
                    <w:szCs w:val="22"/>
                  </w:rPr>
                  <w:t>ezono pradžios iki liepos 1 d.</w:t>
                </w:r>
              </w:p>
            </w:tc>
          </w:tr>
          <w:tr>
            <w:trPr>
              <w:trHeight w:val="1177"/>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36.</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Lazdijų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 xml:space="preserve">Galadusio ežeras </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 xml:space="preserve">159,5  </w:t>
                </w:r>
                <w:r>
                  <w:rPr>
                    <w:color w:val="000000"/>
                    <w:sz w:val="20"/>
                  </w:rPr>
                  <w:t>(Lietuvos Respubli-kos teritorijo-je)</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10030111</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60–15</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Draudžiama plaukioti savaeigėmis plaukiojimo priemonėmis, kurių bendras variklių galingumas didesnis kaip 10 AG (8 kW).</w:t>
                </w:r>
              </w:p>
              <w:p>
                <w:pPr>
                  <w:snapToGrid w:val="0"/>
                  <w:spacing w:line="276" w:lineRule="auto"/>
                  <w:rPr>
                    <w:color w:val="000000"/>
                    <w:sz w:val="22"/>
                    <w:szCs w:val="22"/>
                  </w:rPr>
                </w:pPr>
                <w:r>
                  <w:rPr>
                    <w:color w:val="000000"/>
                    <w:sz w:val="22"/>
                    <w:szCs w:val="22"/>
                  </w:rPr>
                  <w:t>Savaeigėmis plaukiojimo priemonėmis, kurių bendras variklių galingumas neviršija 100 AG (75 kW), leidžiama plaukioti tik mažiausiuoju savaeigės plaukiojimo priemonės greičiu visą plaukiojimo sezoną Lazdijų rajono savivaldybės nustatytomis pažintinio vandens turizmo trasomis, teikiant viešąją paslaugą – pažintinį plaukiojimą pramoginiu laivu.</w:t>
                </w:r>
              </w:p>
            </w:tc>
          </w:tr>
        </w:tbl>
        <w:p>
          <w:pPr>
            <w:pStyle w:val="Pagrindinistekstas1"/>
            <w:tabs>
              <w:tab w:val="left" w:pos="2748"/>
              <w:tab w:val="left" w:pos="3664"/>
              <w:tab w:val="left" w:pos="3969"/>
              <w:tab w:val="left" w:pos="4580"/>
              <w:tab w:val="left" w:pos="5496"/>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ind w:firstLine="0"/>
            <w:jc w:val="center"/>
            <w:rPr>
              <w:rFonts w:ascii="Times New Roman" w:hAnsi="Times New Roman"/>
              <w:sz w:val="24"/>
              <w:szCs w:val="24"/>
              <w:lang w:val="lt-LT"/>
            </w:rPr>
          </w:pPr>
        </w:p>
        <w:p>
          <w:pPr>
            <w:pStyle w:val="Pagrindinistekstas1"/>
            <w:tabs>
              <w:tab w:val="left" w:pos="2748"/>
              <w:tab w:val="left" w:pos="3664"/>
              <w:tab w:val="left" w:pos="3969"/>
              <w:tab w:val="left" w:pos="4580"/>
              <w:tab w:val="left" w:pos="5496"/>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ind w:firstLine="0"/>
            <w:jc w:val="left"/>
            <w:rPr>
              <w:rFonts w:ascii="Times New Roman" w:hAnsi="Times New Roman"/>
              <w:sz w:val="24"/>
              <w:szCs w:val="24"/>
              <w:lang w:val="lt-LT"/>
            </w:rPr>
          </w:pPr>
          <w:r>
            <w:rPr>
              <w:rFonts w:ascii="Times New Roman" w:hAnsi="Times New Roman"/>
              <w:sz w:val="24"/>
              <w:szCs w:val="24"/>
              <w:lang w:val="lt-LT"/>
            </w:rPr>
            <w:t>*RP – regioninis parkas, NP – nacionalinis parkas, INP – istorinis nacionalinis parkas.</w:t>
          </w:r>
        </w:p>
        <w:p>
          <w:pPr>
            <w:pStyle w:val="Pagrindinistekstas1"/>
            <w:tabs>
              <w:tab w:val="left" w:pos="2748"/>
              <w:tab w:val="left" w:pos="3664"/>
              <w:tab w:val="left" w:pos="3969"/>
              <w:tab w:val="left" w:pos="4580"/>
              <w:tab w:val="left" w:pos="5496"/>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jc w:val="center"/>
          </w:pPr>
          <w:r>
            <w:rPr>
              <w:rFonts w:ascii="Times New Roman" w:hAnsi="Times New Roman"/>
              <w:sz w:val="24"/>
              <w:szCs w:val="24"/>
              <w:lang w:val="lt-LT"/>
            </w:rPr>
            <w:t>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28ddc01b2d11e586708c6593c243ce">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2015-06-22,
paskelbta TAR 2015-06-25, i. k. 2015-10132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957280230f11e684adf059272c7587">
            <w:r w:rsidRPr="00532B9F">
              <w:rPr>
                <w:rFonts w:ascii="Times New Roman" w:eastAsia="MS Mincho" w:hAnsi="Times New Roman"/>
                <w:sz w:val="20"/>
                <w:i/>
                <w:iCs/>
                <w:color w:val="0000FF" w:themeColor="hyperlink"/>
                <w:u w:val="single"/>
              </w:rPr>
              <w:t>D1-380</w:t>
            </w:r>
          </w:fldSimple>
          <w:r>
            <w:rPr>
              <w:rFonts w:ascii="Times New Roman" w:eastAsia="MS Mincho" w:hAnsi="Times New Roman"/>
              <w:sz w:val="20"/>
              <w:i/>
              <w:iCs/>
            </w:rPr>
            <w:t>,
2016-05-25,
paskelbta TAR 2016-05-26, i. k. 2016-14038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c34bb0ec6d11e6bf03a1097d29892a">
            <w:r w:rsidRPr="00532B9F">
              <w:rPr>
                <w:rFonts w:ascii="Times New Roman" w:eastAsia="MS Mincho" w:hAnsi="Times New Roman"/>
                <w:sz w:val="20"/>
                <w:i/>
                <w:iCs/>
                <w:color w:val="0000FF" w:themeColor="hyperlink"/>
                <w:u w:val="single"/>
              </w:rPr>
              <w:t>D1-115</w:t>
            </w:r>
          </w:fldSimple>
          <w:r>
            <w:rPr>
              <w:rFonts w:ascii="Times New Roman" w:eastAsia="MS Mincho" w:hAnsi="Times New Roman"/>
              <w:sz w:val="20"/>
              <w:i/>
              <w:iCs/>
            </w:rPr>
            <w:t>,
2017-02-06,
paskelbta TAR 2017-02-06, i. k. 2017-02179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23f160757511e9b81587fcbd5a76f6">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2019-05-13,
paskelbta TAR 2019-05-13, i. k. 2019-07624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28ddc01b2d11e586708c6593c243ce">
            <w:r w:rsidRPr="00532B9F">
              <w:rPr>
                <w:rFonts w:ascii="Times New Roman" w:eastAsia="MS Mincho" w:hAnsi="Times New Roman"/>
                <w:sz w:val="20"/>
                <w:iCs/>
                <w:color w:val="0000FF" w:themeColor="hyperlink"/>
                <w:u w:val="single"/>
              </w:rPr>
              <w:t>D1-480</w:t>
            </w:r>
          </w:fldSimple>
          <w:r>
            <w:rPr>
              <w:rFonts w:ascii="Times New Roman" w:eastAsia="MS Mincho" w:hAnsi="Times New Roman"/>
              <w:sz w:val="20"/>
              <w:iCs/>
            </w:rPr>
            <w:t>,
2015-06-22,
paskelbta TAR 2015-06-25, i. k. 2015-10132                </w:t>
          </w:r>
        </w:p>
        <w:p>
          <w:pPr>
            <w:jc w:val="both"/>
            <w:rPr>
              <w:rFonts w:ascii="Times New Roman" w:hAnsi="Times New Roman"/>
            </w:rPr>
          </w:pPr>
          <w:r>
            <w:rPr>
              <w:rFonts w:ascii="Times New Roman" w:hAnsi="Times New Roman"/>
              <w:sz w:val="20"/>
            </w:rPr>
            <w:t>Dėl Lietuvos Respublikos aplinkos ministro 2014 m. balandžio 8 d. įsakymo Nr. D1-337 „Dėl Vandens telkinių, kuriuose plaukiojimas tam tikro tipo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957280230f11e684adf059272c7587">
            <w:r w:rsidRPr="00532B9F">
              <w:rPr>
                <w:rFonts w:ascii="Times New Roman" w:eastAsia="MS Mincho" w:hAnsi="Times New Roman"/>
                <w:sz w:val="20"/>
                <w:iCs/>
                <w:color w:val="0000FF" w:themeColor="hyperlink"/>
                <w:u w:val="single"/>
              </w:rPr>
              <w:t>D1-380</w:t>
            </w:r>
          </w:fldSimple>
          <w:r>
            <w:rPr>
              <w:rFonts w:ascii="Times New Roman" w:eastAsia="MS Mincho" w:hAnsi="Times New Roman"/>
              <w:sz w:val="20"/>
              <w:iCs/>
            </w:rPr>
            <w:t>,
2016-05-25,
paskelbta TAR 2016-05-26, i. k. 2016-14038                </w:t>
          </w:r>
        </w:p>
        <w:p>
          <w:pPr>
            <w:jc w:val="both"/>
            <w:rPr>
              <w:rFonts w:ascii="Times New Roman" w:hAnsi="Times New Roman"/>
            </w:rPr>
          </w:pPr>
          <w:r>
            <w:rPr>
              <w:rFonts w:ascii="Times New Roman" w:hAnsi="Times New Roman"/>
              <w:sz w:val="20"/>
            </w:rPr>
            <w:t>Dėl Lietuvos Respublikos aplinkos ministro 2014 m. balandžio 8 d. įsakymo Nr. D1-337 „Dėl Vandens telkinių, kuriuose plaukiojimas tam tikro tipo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c34bb0ec6d11e6bf03a1097d29892a">
            <w:r w:rsidRPr="00532B9F">
              <w:rPr>
                <w:rFonts w:ascii="Times New Roman" w:eastAsia="MS Mincho" w:hAnsi="Times New Roman"/>
                <w:sz w:val="20"/>
                <w:iCs/>
                <w:color w:val="0000FF" w:themeColor="hyperlink"/>
                <w:u w:val="single"/>
              </w:rPr>
              <w:t>D1-115</w:t>
            </w:r>
          </w:fldSimple>
          <w:r>
            <w:rPr>
              <w:rFonts w:ascii="Times New Roman" w:eastAsia="MS Mincho" w:hAnsi="Times New Roman"/>
              <w:sz w:val="20"/>
              <w:iCs/>
            </w:rPr>
            <w:t>,
2017-02-06,
paskelbta TAR 2017-02-06, i. k. 2017-02179                </w:t>
          </w:r>
        </w:p>
        <w:p>
          <w:pPr>
            <w:jc w:val="both"/>
            <w:rPr>
              <w:rFonts w:ascii="Times New Roman" w:hAnsi="Times New Roman"/>
            </w:rPr>
          </w:pPr>
          <w:r>
            <w:rPr>
              <w:rFonts w:ascii="Times New Roman" w:hAnsi="Times New Roman"/>
              <w:sz w:val="20"/>
            </w:rPr>
            <w:t>Dėl Lietuvos Respublikos aplinkos ministro 2014 m. balandžio 8 d. įsakymo Nr. D1-337 „Dėl Vandens telkinių, kuriuose plaukiojimas tam tikro tipo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23f160757511e9b81587fcbd5a76f6">
            <w:r w:rsidRPr="00532B9F">
              <w:rPr>
                <w:rFonts w:ascii="Times New Roman" w:eastAsia="MS Mincho" w:hAnsi="Times New Roman"/>
                <w:sz w:val="20"/>
                <w:iCs/>
                <w:color w:val="0000FF" w:themeColor="hyperlink"/>
                <w:u w:val="single"/>
              </w:rPr>
              <w:t>D1-283</w:t>
            </w:r>
          </w:fldSimple>
          <w:r>
            <w:rPr>
              <w:rFonts w:ascii="Times New Roman" w:eastAsia="MS Mincho" w:hAnsi="Times New Roman"/>
              <w:sz w:val="20"/>
              <w:iCs/>
            </w:rPr>
            <w:t>,
2019-05-13,
paskelbta TAR 2019-05-13, i. k. 2019-07624                </w:t>
          </w:r>
        </w:p>
        <w:p>
          <w:pPr>
            <w:jc w:val="both"/>
            <w:rPr>
              <w:rFonts w:ascii="Times New Roman" w:hAnsi="Times New Roman"/>
            </w:rPr>
          </w:pPr>
          <w:r>
            <w:rPr>
              <w:rFonts w:ascii="Times New Roman" w:hAnsi="Times New Roman"/>
              <w:sz w:val="20"/>
            </w:rPr>
            <w:t>Dėl Lietuvos Respublikos aplinkos ministro 2014 m. balandžio 8 d. įsakymo Nr. D1-337 „Dėl Vandens telkinių, kuriuose plaukiojimas tam tikro tipo plaukiojimo priemonėmis draudžiamas ar ribojamas,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footnotePr>
        <w:pos w:val="beneathText"/>
      </w:footnotePr>
      <w:pgSz w:w="11905" w:h="16837"/>
      <w:pgMar w:top="1134" w:right="567" w:bottom="1134" w:left="1276" w:header="567" w:footer="0" w:gutter="0"/>
      <w:pgNumType w:start="1" w:chapStyle="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AFF" w:usb1="C0007843" w:usb2="00000009" w:usb3="00000000" w:csb0="000001FF" w:csb1="00000000"/>
  </w:font>
  <w:font w:name="TimesLT">
    <w:altName w:val="Times New Roman"/>
    <w:charset w:val="BA"/>
    <w:family w:val="roman"/>
    <w:pitch w:val="variable"/>
    <w:sig w:usb0="00000287" w:usb1="00000000" w:usb2="00000000" w:usb3="00000000" w:csb0="0000009F" w:csb1="00000000"/>
  </w:font>
  <w:font w:name="Andale Sans UI">
    <w:altName w:val="Arial Unicode MS"/>
    <w:charset w:val="BA"/>
    <w:family w:val="auto"/>
    <w:pitch w:val="variable"/>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jc w:val="center"/>
      <w:rPr>
        <w:sz w:val="20"/>
        <w:lang w:val="en-GB" w:eastAsia="ar-SA"/>
      </w:rPr>
    </w:pPr>
    <w:r>
      <w:rPr>
        <w:sz w:val="20"/>
        <w:lang w:eastAsia="ar-SA"/>
      </w:rPr>
      <w:t>2</w:t>
    </w:r>
  </w:p>
  <w:p>
    <w:pPr>
      <w:tabs>
        <w:tab w:val="center" w:pos="4819"/>
        <w:tab w:val="right" w:pos="9638"/>
      </w:tabs>
      <w:suppressAutoHyphens/>
      <w:rPr>
        <w:sz w:val="20"/>
        <w:lang w:val="en-GB" w:eastAsia="ar-SA"/>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jc w:val="center"/>
      <w:rPr>
        <w:sz w:val="20"/>
        <w:lang w:val="en-GB" w:eastAsia="ar-SA"/>
      </w:rPr>
    </w:pPr>
    <w:r>
      <w:rPr>
        <w:sz w:val="20"/>
        <w:lang w:eastAsia="ar-SA"/>
      </w:rPr>
      <w:t>2</w:t>
    </w:r>
  </w:p>
  <w:p>
    <w:pPr>
      <w:tabs>
        <w:tab w:val="center" w:pos="4819"/>
        <w:tab w:val="right" w:pos="9638"/>
      </w:tabs>
      <w:suppressAutoHyphens/>
      <w:rPr>
        <w:sz w:val="20"/>
        <w:lang w:val="en-GB" w:eastAsia="ar-SA"/>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jc w:val="center"/>
      <w:rPr>
        <w:sz w:val="20"/>
        <w:lang w:val="en-GB" w:eastAsia="ar-SA"/>
      </w:rPr>
    </w:pPr>
    <w:r>
      <w:rPr>
        <w:sz w:val="20"/>
        <w:lang w:eastAsia="ar-SA"/>
      </w:rPr>
      <w:t>2</w:t>
    </w:r>
  </w:p>
  <w:p>
    <w:pPr>
      <w:tabs>
        <w:tab w:val="center" w:pos="4819"/>
        <w:tab w:val="right" w:pos="9638"/>
      </w:tabs>
      <w:suppressAutoHyphens/>
      <w:rPr>
        <w:sz w:val="20"/>
        <w:lang w:val="en-GB" w:eastAsia="ar-SA"/>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characterSpacingControl w:val="doNotCompress"/>
  <w:hdrShapeDefaults>
    <o:shapedefaults v:ext="edit" spidmax="25601"/>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797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5601"/>
    <o:shapelayout v:ext="edit">
      <o:idmap v:ext="edit" data="1"/>
    </o:shapelayout>
  </w:shapeDefaults>
  <w:decimalSymbol w:val=","/>
  <w:listSeparator w:val=";"/>
  <w14:docId w14:val="59423A4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TML Preformatted"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HTMLiankstoformatuotas">
    <w:name w:val="HTML Preformatted"/>
    <w:basedOn w:val="prastasis"/>
    <w:link w:val="HTMLiankstoformatuotasDiagrama"/>
    <w:uiPriority w:val="99"/>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sz w:val="20"/>
      <w:lang w:eastAsia="ar-SA"/>
    </w:rPr>
  </w:style>
  <w:style w:type="character" w:customStyle="1" w:styleId="HTMLiankstoformatuotasDiagrama">
    <w:name w:val="HTML iš anksto formatuotas Diagrama"/>
    <w:basedOn w:val="Numatytasispastraiposriftas"/>
    <w:link w:val="HTMLiankstoformatuotas"/>
    <w:uiPriority w:val="99"/>
    <w:rPr>
      <w:rFonts w:ascii="Courier New" w:hAnsi="Courier New"/>
      <w:sz w:val="20"/>
      <w:lang w:eastAsia="ar-SA"/>
    </w:rPr>
  </w:style>
  <w:style w:type="paragraph" w:customStyle="1" w:styleId="ISTATYMAS">
    <w:name w:val="ISTATYMAS"/>
    <w:pPr>
      <w:suppressAutoHyphens/>
      <w:autoSpaceDE w:val="0"/>
      <w:jc w:val="center"/>
    </w:pPr>
    <w:rPr>
      <w:rFonts w:ascii="TimesLT" w:hAnsi="TimesLT"/>
      <w:sz w:val="20"/>
      <w:lang w:val="en-US" w:eastAsia="ar-SA"/>
    </w:rPr>
  </w:style>
  <w:style w:type="paragraph" w:customStyle="1" w:styleId="Patvirtinta">
    <w:name w:val="Patvirtinta"/>
    <w:pPr>
      <w:tabs>
        <w:tab w:val="left" w:pos="7257"/>
        <w:tab w:val="left" w:pos="7410"/>
        <w:tab w:val="left" w:pos="7557"/>
        <w:tab w:val="left" w:pos="7710"/>
      </w:tabs>
      <w:suppressAutoHyphens/>
      <w:autoSpaceDE w:val="0"/>
      <w:ind w:left="5953"/>
    </w:pPr>
    <w:rPr>
      <w:rFonts w:ascii="TimesLT" w:hAnsi="TimesLT"/>
      <w:sz w:val="20"/>
      <w:lang w:val="en-US" w:eastAsia="ar-SA"/>
    </w:rPr>
  </w:style>
  <w:style w:type="paragraph" w:customStyle="1" w:styleId="Lentelsturinys">
    <w:name w:val="Lentelės turinys"/>
    <w:basedOn w:val="prastasis"/>
    <w:pPr>
      <w:widowControl w:val="0"/>
      <w:suppressLineNumbers/>
      <w:suppressAutoHyphens/>
    </w:pPr>
    <w:rPr>
      <w:rFonts w:eastAsia="Andale Sans UI"/>
      <w:kern w:val="2"/>
      <w:szCs w:val="24"/>
    </w:rPr>
  </w:style>
  <w:style w:type="paragraph" w:customStyle="1" w:styleId="Pagrindinistekstas1">
    <w:name w:val="Pagrindinis tekstas1"/>
    <w:pPr>
      <w:suppressAutoHyphens/>
      <w:autoSpaceDE w:val="0"/>
      <w:ind w:firstLine="312"/>
      <w:jc w:val="both"/>
    </w:pPr>
    <w:rPr>
      <w:rFonts w:ascii="TimesLT" w:hAnsi="TimesLT"/>
      <w:sz w:val="20"/>
      <w:lang w:val="en-US" w:eastAsia="ar-SA"/>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TML Preformatted"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HTMLiankstoformatuotas">
    <w:name w:val="HTML Preformatted"/>
    <w:basedOn w:val="prastasis"/>
    <w:link w:val="HTMLiankstoformatuotasDiagrama"/>
    <w:uiPriority w:val="99"/>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sz w:val="20"/>
      <w:lang w:eastAsia="ar-SA"/>
    </w:rPr>
  </w:style>
  <w:style w:type="character" w:customStyle="1" w:styleId="HTMLiankstoformatuotasDiagrama">
    <w:name w:val="HTML iš anksto formatuotas Diagrama"/>
    <w:basedOn w:val="Numatytasispastraiposriftas"/>
    <w:link w:val="HTMLiankstoformatuotas"/>
    <w:uiPriority w:val="99"/>
    <w:rPr>
      <w:rFonts w:ascii="Courier New" w:hAnsi="Courier New"/>
      <w:sz w:val="20"/>
      <w:lang w:eastAsia="ar-SA"/>
    </w:rPr>
  </w:style>
  <w:style w:type="paragraph" w:customStyle="1" w:styleId="ISTATYMAS">
    <w:name w:val="ISTATYMAS"/>
    <w:pPr>
      <w:suppressAutoHyphens/>
      <w:autoSpaceDE w:val="0"/>
      <w:jc w:val="center"/>
    </w:pPr>
    <w:rPr>
      <w:rFonts w:ascii="TimesLT" w:hAnsi="TimesLT"/>
      <w:sz w:val="20"/>
      <w:lang w:val="en-US" w:eastAsia="ar-SA"/>
    </w:rPr>
  </w:style>
  <w:style w:type="paragraph" w:customStyle="1" w:styleId="Patvirtinta">
    <w:name w:val="Patvirtinta"/>
    <w:pPr>
      <w:tabs>
        <w:tab w:val="left" w:pos="7257"/>
        <w:tab w:val="left" w:pos="7410"/>
        <w:tab w:val="left" w:pos="7557"/>
        <w:tab w:val="left" w:pos="7710"/>
      </w:tabs>
      <w:suppressAutoHyphens/>
      <w:autoSpaceDE w:val="0"/>
      <w:ind w:left="5953"/>
    </w:pPr>
    <w:rPr>
      <w:rFonts w:ascii="TimesLT" w:hAnsi="TimesLT"/>
      <w:sz w:val="20"/>
      <w:lang w:val="en-US" w:eastAsia="ar-SA"/>
    </w:rPr>
  </w:style>
  <w:style w:type="paragraph" w:customStyle="1" w:styleId="Lentelsturinys">
    <w:name w:val="Lentelės turinys"/>
    <w:basedOn w:val="prastasis"/>
    <w:pPr>
      <w:widowControl w:val="0"/>
      <w:suppressLineNumbers/>
      <w:suppressAutoHyphens/>
    </w:pPr>
    <w:rPr>
      <w:rFonts w:eastAsia="Andale Sans UI"/>
      <w:kern w:val="2"/>
      <w:szCs w:val="24"/>
    </w:rPr>
  </w:style>
  <w:style w:type="paragraph" w:customStyle="1" w:styleId="Pagrindinistekstas1">
    <w:name w:val="Pagrindinis tekstas1"/>
    <w:pPr>
      <w:suppressAutoHyphens/>
      <w:autoSpaceDE w:val="0"/>
      <w:ind w:firstLine="312"/>
      <w:jc w:val="both"/>
    </w:pPr>
    <w:rPr>
      <w:rFonts w:ascii="TimesLT" w:hAnsi="TimesLT"/>
      <w:sz w:val="20"/>
      <w:lang w:val="en-US" w:eastAsia="ar-SA"/>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999970279">
      <w:bodyDiv w:val="1"/>
      <w:marLeft w:val="0"/>
      <w:marRight w:val="0"/>
      <w:marTop w:val="0"/>
      <w:marBottom w:val="0"/>
      <w:divBdr>
        <w:top w:val="none" w:sz="0" w:space="0" w:color="auto"/>
        <w:left w:val="none" w:sz="0" w:space="0" w:color="auto"/>
        <w:bottom w:val="none" w:sz="0" w:space="0" w:color="auto"/>
        <w:right w:val="none" w:sz="0" w:space="0" w:color="auto"/>
      </w:divBdr>
    </w:div>
    <w:div w:id="13874861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header" Target="header7.xml"/>
  <Relationship Id="rId18" Type="http://schemas.openxmlformats.org/officeDocument/2006/relationships/header" Target="header8.xml"/>
  <Relationship Id="rId19" Type="http://schemas.openxmlformats.org/officeDocument/2006/relationships/footer" Target="footer7.xml"/>
  <Relationship Id="rId2" Type="http://schemas.openxmlformats.org/officeDocument/2006/relationships/endnotes" Target="endnotes.xml"/>
  <Relationship Id="rId20" Type="http://schemas.openxmlformats.org/officeDocument/2006/relationships/footer" Target="footer8.xml"/>
  <Relationship Id="rId21" Type="http://schemas.openxmlformats.org/officeDocument/2006/relationships/header" Target="header9.xml"/>
  <Relationship Id="rId22" Type="http://schemas.openxmlformats.org/officeDocument/2006/relationships/footer" Target="footer9.xml"/>
  <Relationship Id="rId23"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1E696AA2-EDA9-45E4-ADCF-8A07B30C18F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AFF" w:usb1="C0007843" w:usb2="00000009" w:usb3="00000000" w:csb0="000001FF" w:csb1="00000000"/>
  </w:font>
  <w:font w:name="TimesLT">
    <w:altName w:val="Times New Roman"/>
    <w:charset w:val="BA"/>
    <w:family w:val="roman"/>
    <w:pitch w:val="variable"/>
    <w:sig w:usb0="00000287" w:usb1="00000000" w:usb2="00000000" w:usb3="00000000" w:csb0="0000009F" w:csb1="00000000"/>
  </w:font>
  <w:font w:name="Andale Sans UI">
    <w:altName w:val="Arial Unicode MS"/>
    <w:charset w:val="BA"/>
    <w:family w:val="auto"/>
    <w:pitch w:val="variable"/>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6D21"/>
    <w:rsid w:val="00426D21"/>
    <w:rsid w:val="00E177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78E7E3E3"/>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177DF"/>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177DF"/>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edbce83908440258b73fb1f6daa86b3" PartId="a00f749fa70c451984e47661a4a089cd">
    <Part Type="preambule" DocPartId="8e941a57791a4b0e9446a2c7fc1121fa" PartId="43c94d80f0154364a853ded07f2cf031"/>
    <Part Type="punktas" Nr="1" Abbr="1 p." DocPartId="1f4136f17ba84c4c9d2adae587be5988" PartId="a872fbf466714e6185063e64570dc19a"/>
    <Part Type="punktas" Nr="2" Abbr="2 p." DocPartId="9d29f9f9e32d464e851d442916b25a60" PartId="65abf2599f114c8591e97dc4fa51cbc9">
      <Part Type="punktas" Nr="2.1" Abbr="2.1 p." DocPartId="9c784d2f6eae455ea2b5812d8a223916" PartId="d20e520025904c6b9e4fd136c3c02014"/>
      <Part Type="punktas" Nr="2.2" Abbr="2.2 p." DocPartId="0d0bee61a8ee46069fd4849d6f22d179" PartId="f74b91222aa443dda04e3a6ae296ecb3"/>
    </Part>
    <Part Type="signatura" DocPartId="a5d88de5e3f24f2ba93f900326fdff0c" PartId="efd47aec6a0040c4840de4a0eb7444cd"/>
  </Part>
  <Part Type="patvirtinta" Title="VANDENS TELKINIŲ, KURIUOSE PLAUKIOJIMAS TAM TIKROMIS PLAUKIOJIMO PRIEMONĖMIS DRAUDŽIAMAS AR RIBOJAMAS, SĄRAŠAS" DocPartId="7f67d2f70ba444379208ea98a804e6ea" PartId="2c3474817b884617990d38fa9b11ae85"/>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58D9E609-1DD4-4532-9C1A-8FEE77562B6D}">
  <ds:schemaRefs>
    <ds:schemaRef ds:uri="http://lrs.lt/TAIS/DocParts"/>
  </ds:schemaRefs>
</ds:datastoreItem>
</file>

<file path=customXml/itemProps2.xml><?xml version="1.0" encoding="utf-8"?>
<ds:datastoreItem xmlns:ds="http://schemas.openxmlformats.org/officeDocument/2006/customXml" ds:itemID="{9E49AA7B-AB08-41D5-A914-53ECEF99EAC3}">
  <ds:schemaRefs>
    <ds:schemaRef ds:uri="http://schemas.openxmlformats.org/officeDocument/2006/bibliography"/>
  </ds:schemaRefs>
</ds:datastoreItem>
</file>

<file path=customXml/itemProps3.xml><?xml version="1.0" encoding="utf-8"?>
<ds:datastoreItem xmlns:ds="http://schemas.openxmlformats.org/officeDocument/2006/customXml" ds:itemID="{039219A4-701A-4A7C-A519-4580B9A047C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21</TotalTime>
  <Pages>11</Pages>
  <Words>15280</Words>
  <Characters>8710</Characters>
  <Application>Microsoft Office Word</Application>
  <DocSecurity>0</DocSecurity>
  <Lines>72</Lines>
  <Paragraphs>47</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Hewlett-Packard Company</Company>
  <LinksUpToDate>false</LinksUpToDate>
  <CharactersWithSpaces>23943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2014-04-09T13:27:00Z</dcterms:created>
  <dc:creator>Dalius Krinickas</dc:creator>
  <lastModifiedBy>JUOSPONIENĖ Karolina</lastModifiedBy>
  <lastPrinted>2014-03-18T08:57:00Z</lastPrinted>
  <dcterms:modified xsi:type="dcterms:W3CDTF">2019-05-14T07:46:00Z</dcterms:modified>
  <revision>10</revision>
</coreProperties>
</file>