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2021-09-14 iki 2021-09-20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274882e76d24390a87f1b0c68c67593"/>
        <w:lock w:val="sdtLocked"/>
        <w:richText/>
      </w:sdtPr>
      <w:sdtContent>
        <w:p>
          <w:pPr>
            <w:tabs>
              <w:tab w:val="right" w:pos="9356"/>
            </w:tabs>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276" w:header="567" w:footer="284" w:gutter="0"/>
              <w:pgNumType w:start="1"/>
              <w:cols w:space="1296"/>
              <w:titlePg/>
              <w:docGrid w:linePitch="360"/>
            </w:sectPr>
          </w:pPr>
        </w:p>
        <w:p>
          <w:pPr>
            <w:tabs>
              <w:tab w:val="right" w:pos="9356"/>
            </w:tabs>
            <w:ind w:left="9072"/>
            <w:rPr>
              <w:szCs w:val="24"/>
            </w:rPr>
          </w:pPr>
          <w:r>
            <w:rPr>
              <w:szCs w:val="24"/>
            </w:rPr>
            <w:t xml:space="preserve">Sveikatos priežiūros paslaugų dėl COVID-19 ligos                      </w:t>
          </w:r>
        </w:p>
        <w:p>
          <w:pPr>
            <w:tabs>
              <w:tab w:val="right" w:pos="9356"/>
            </w:tabs>
            <w:ind w:left="9072"/>
            <w:rPr>
              <w:szCs w:val="24"/>
            </w:rPr>
          </w:pPr>
          <w:r>
            <w:rPr>
              <w:szCs w:val="24"/>
            </w:rPr>
            <w:t>(koronaviruso infekcijos) organizavimo tvarkos aprašo</w:t>
          </w:r>
        </w:p>
        <w:p>
          <w:pPr>
            <w:ind w:left="9072"/>
            <w:rPr>
              <w:szCs w:val="24"/>
            </w:rPr>
          </w:pPr>
          <w:sdt>
            <w:sdtPr>
              <w:alias w:val="Numeris"/>
              <w:tag w:val="nr_9274882e76d24390a87f1b0c68c67593"/>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9274882e76d24390a87f1b0c68c67593"/>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58</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80</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rFonts w:eastAsia="Calibri"/>
                    <w:szCs w:val="24"/>
                    <w:lang w:eastAsia="lt-LT"/>
                  </w:rPr>
                </w:pPr>
                <w:r>
                  <w:rPr>
                    <w:rFonts w:eastAsia="Calibri"/>
                    <w:szCs w:val="24"/>
                    <w:lang w:eastAsia="lt-LT"/>
                  </w:rPr>
                  <w:t>VšĮ Respublikinė Vilniaus universitetinė ligoninė</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val="en-US" w:eastAsia="lt-LT"/>
                  </w:rPr>
                </w:pPr>
                <w:r>
                  <w:rPr>
                    <w:rFonts w:eastAsia="Calibri"/>
                    <w:szCs w:val="24"/>
                    <w:lang w:val="en-US" w:eastAsia="lt-LT"/>
                  </w:rPr>
                  <w:t>4</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5</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1.5.</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40</w:t>
                </w:r>
              </w:p>
            </w:tc>
            <w:tc>
              <w:tcPr>
                <w:tcW w:w="777" w:type="pct"/>
              </w:tcPr>
              <w:p>
                <w:pPr>
                  <w:jc w:val="center"/>
                  <w:rPr>
                    <w:rFonts w:eastAsia="Calibri"/>
                    <w:szCs w:val="24"/>
                    <w:lang w:val="en-US" w:eastAsia="lt-LT"/>
                  </w:rPr>
                </w:pPr>
                <w:r>
                  <w:rPr>
                    <w:rFonts w:eastAsia="Calibri"/>
                    <w:szCs w:val="24"/>
                    <w:lang w:val="en-US" w:eastAsia="lt-LT"/>
                  </w:rPr>
                  <w:t>5</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1.6.</w:t>
                </w:r>
              </w:p>
            </w:tc>
            <w:tc>
              <w:tcPr>
                <w:tcW w:w="971" w:type="pct"/>
              </w:tcPr>
              <w:p>
                <w:pPr>
                  <w:rPr>
                    <w:spacing w:val="-6"/>
                    <w:kern w:val="2"/>
                    <w:szCs w:val="24"/>
                  </w:rPr>
                </w:pPr>
                <w:r>
                  <w:rPr>
                    <w:spacing w:val="-6"/>
                    <w:kern w:val="2"/>
                    <w:szCs w:val="24"/>
                  </w:rPr>
                  <w:t>VšĮ Ukmergės ligoninė</w:t>
                </w:r>
              </w:p>
            </w:tc>
            <w:tc>
              <w:tcPr>
                <w:tcW w:w="874" w:type="pct"/>
              </w:tcPr>
              <w:p>
                <w:pPr>
                  <w:jc w:val="center"/>
                  <w:rPr>
                    <w:rFonts w:eastAsia="Calibri"/>
                    <w:szCs w:val="24"/>
                    <w:lang w:eastAsia="lt-LT"/>
                  </w:rPr>
                </w:pPr>
                <w:r>
                  <w:rPr>
                    <w:rFonts w:eastAsia="Calibri"/>
                    <w:szCs w:val="24"/>
                    <w:lang w:eastAsia="lt-LT"/>
                  </w:rPr>
                  <w:t>15</w:t>
                </w:r>
              </w:p>
              <w:p>
                <w:pPr>
                  <w:rPr>
                    <w:rFonts w:eastAsia="Calibri"/>
                    <w:szCs w:val="24"/>
                    <w:lang w:eastAsia="lt-LT"/>
                  </w:rPr>
                </w:pP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1.7.</w:t>
                </w:r>
              </w:p>
            </w:tc>
            <w:tc>
              <w:tcPr>
                <w:tcW w:w="971" w:type="pct"/>
              </w:tcPr>
              <w:p>
                <w:pPr>
                  <w:rPr>
                    <w:spacing w:val="-6"/>
                    <w:kern w:val="2"/>
                    <w:szCs w:val="24"/>
                  </w:rPr>
                </w:pPr>
                <w:r>
                  <w:rPr>
                    <w:spacing w:val="-6"/>
                    <w:kern w:val="2"/>
                    <w:szCs w:val="24"/>
                  </w:rPr>
                  <w:t>VšĮ Elektrėnų ligoninė</w:t>
                </w:r>
              </w:p>
            </w:tc>
            <w:tc>
              <w:tcPr>
                <w:tcW w:w="874" w:type="pct"/>
              </w:tcPr>
              <w:p>
                <w:pPr>
                  <w:jc w:val="center"/>
                  <w:rPr>
                    <w:rFonts w:eastAsia="Calibri"/>
                    <w:szCs w:val="24"/>
                    <w:lang w:eastAsia="lt-LT"/>
                  </w:rPr>
                </w:pPr>
                <w:r>
                  <w:rPr>
                    <w:rFonts w:eastAsia="Calibri"/>
                    <w:szCs w:val="24"/>
                    <w:lang w:eastAsia="lt-LT"/>
                  </w:rPr>
                  <w:t xml:space="preserve">40 </w:t>
                </w:r>
              </w:p>
            </w:tc>
            <w:tc>
              <w:tcPr>
                <w:tcW w:w="777" w:type="pct"/>
              </w:tcPr>
              <w:p>
                <w:pPr>
                  <w:jc w:val="center"/>
                  <w:rPr>
                    <w:rFonts w:eastAsia="Calibri"/>
                    <w:szCs w:val="24"/>
                    <w:lang w:val="en-US" w:eastAsia="lt-LT"/>
                  </w:rPr>
                </w:pPr>
                <w:r>
                  <w:rPr>
                    <w:rFonts w:eastAsia="Calibri"/>
                    <w:szCs w:val="24"/>
                    <w:lang w:val="en-US" w:eastAsia="lt-LT"/>
                  </w:rPr>
                  <w:t>6</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1.8. </w:t>
                </w:r>
              </w:p>
            </w:tc>
            <w:tc>
              <w:tcPr>
                <w:tcW w:w="971" w:type="pct"/>
              </w:tcPr>
              <w:p>
                <w:pPr>
                  <w:rPr>
                    <w:rFonts w:eastAsia="Calibri"/>
                    <w:szCs w:val="24"/>
                    <w:lang w:eastAsia="lt-LT"/>
                  </w:rPr>
                </w:pPr>
                <w:r>
                  <w:rPr>
                    <w:rFonts w:eastAsia="Calibri"/>
                    <w:szCs w:val="24"/>
                    <w:lang w:eastAsia="lt-LT"/>
                  </w:rPr>
                  <w:t>VšĮ Druskininkų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261</w:t>
                </w:r>
              </w:p>
            </w:tc>
            <w:tc>
              <w:tcPr>
                <w:tcW w:w="777" w:type="pct"/>
              </w:tcPr>
              <w:p>
                <w:pPr>
                  <w:jc w:val="center"/>
                  <w:rPr>
                    <w:rFonts w:eastAsia="Calibri"/>
                    <w:b/>
                    <w:bCs/>
                    <w:szCs w:val="24"/>
                    <w:lang w:val="en-US" w:eastAsia="lt-LT"/>
                  </w:rPr>
                </w:pPr>
                <w:r>
                  <w:rPr>
                    <w:rFonts w:eastAsia="Calibri"/>
                    <w:b/>
                    <w:bCs/>
                    <w:szCs w:val="24"/>
                    <w:lang w:val="en-US" w:eastAsia="lt-LT"/>
                  </w:rPr>
                  <w:t>42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95</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8</w:t>
                </w:r>
              </w:p>
            </w:tc>
            <w:tc>
              <w:tcPr>
                <w:tcW w:w="777" w:type="pct"/>
              </w:tcPr>
              <w:p>
                <w:pPr>
                  <w:jc w:val="center"/>
                  <w:rPr>
                    <w:rFonts w:eastAsia="Calibri"/>
                    <w:szCs w:val="24"/>
                    <w:lang w:eastAsia="lt-LT"/>
                  </w:rPr>
                </w:pPr>
                <w:r>
                  <w:rPr>
                    <w:rFonts w:eastAsia="Calibri"/>
                    <w:szCs w:val="24"/>
                    <w:lang w:eastAsia="lt-LT"/>
                  </w:rPr>
                  <w:t>10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2.3.</w:t>
                </w:r>
              </w:p>
            </w:tc>
            <w:tc>
              <w:tcPr>
                <w:tcW w:w="971" w:type="pct"/>
              </w:tcPr>
              <w:p>
                <w:pPr>
                  <w:rPr>
                    <w:rFonts w:eastAsia="Calibri"/>
                    <w:szCs w:val="24"/>
                    <w:lang w:eastAsia="lt-LT"/>
                  </w:rPr>
                </w:pPr>
                <w:r>
                  <w:rPr>
                    <w:rFonts w:eastAsia="Calibri"/>
                    <w:szCs w:val="24"/>
                    <w:lang w:eastAsia="lt-LT"/>
                  </w:rPr>
                  <w:t>VšĮ Jurbarko ligoninė</w:t>
                </w:r>
              </w:p>
            </w:tc>
            <w:tc>
              <w:tcPr>
                <w:tcW w:w="874" w:type="pct"/>
              </w:tcPr>
              <w:p>
                <w:pPr>
                  <w:jc w:val="center"/>
                  <w:rPr>
                    <w:rFonts w:eastAsia="Calibri"/>
                    <w:szCs w:val="24"/>
                    <w:lang w:eastAsia="lt-LT"/>
                  </w:rPr>
                </w:pPr>
                <w:r>
                  <w:rPr>
                    <w:rFonts w:eastAsia="Calibri"/>
                    <w:szCs w:val="24"/>
                    <w:lang w:eastAsia="lt-LT"/>
                  </w:rPr>
                  <w:t xml:space="preserve">20 </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2.4.</w:t>
                </w:r>
              </w:p>
            </w:tc>
            <w:tc>
              <w:tcPr>
                <w:tcW w:w="971" w:type="pct"/>
              </w:tcPr>
              <w:p>
                <w:pPr>
                  <w:rPr>
                    <w:rFonts w:eastAsia="Calibri"/>
                    <w:szCs w:val="24"/>
                    <w:lang w:eastAsia="lt-LT"/>
                  </w:rPr>
                </w:pPr>
                <w:r>
                  <w:rPr>
                    <w:rFonts w:eastAsia="Calibri"/>
                    <w:szCs w:val="24"/>
                    <w:lang w:eastAsia="lt-LT"/>
                  </w:rPr>
                  <w:t>VšĮ Marijampolės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2.5.</w:t>
                </w:r>
              </w:p>
            </w:tc>
            <w:tc>
              <w:tcPr>
                <w:tcW w:w="971" w:type="pct"/>
              </w:tcPr>
              <w:p>
                <w:pPr>
                  <w:rPr>
                    <w:rFonts w:eastAsia="Calibri"/>
                    <w:szCs w:val="24"/>
                    <w:lang w:eastAsia="lt-LT"/>
                  </w:rPr>
                </w:pPr>
                <w:r>
                  <w:rPr>
                    <w:rFonts w:eastAsia="Calibri"/>
                    <w:szCs w:val="24"/>
                    <w:lang w:eastAsia="lt-LT"/>
                  </w:rPr>
                  <w:t>VšĮ Prienų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2.6. </w:t>
                </w:r>
              </w:p>
            </w:tc>
            <w:tc>
              <w:tcPr>
                <w:tcW w:w="971" w:type="pct"/>
              </w:tcPr>
              <w:p>
                <w:pPr>
                  <w:rPr>
                    <w:rFonts w:eastAsia="Calibri"/>
                    <w:szCs w:val="24"/>
                    <w:lang w:eastAsia="lt-LT"/>
                  </w:rPr>
                </w:pPr>
                <w:r>
                  <w:rPr>
                    <w:rFonts w:eastAsia="Calibri"/>
                    <w:szCs w:val="24"/>
                    <w:lang w:eastAsia="lt-LT"/>
                  </w:rPr>
                  <w:t>VšĮ Kėdainių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178</w:t>
                </w:r>
              </w:p>
            </w:tc>
            <w:tc>
              <w:tcPr>
                <w:tcW w:w="777" w:type="pct"/>
              </w:tcPr>
              <w:p>
                <w:pPr>
                  <w:jc w:val="center"/>
                  <w:rPr>
                    <w:rFonts w:eastAsia="Calibri"/>
                    <w:b/>
                    <w:bCs/>
                    <w:szCs w:val="24"/>
                    <w:lang w:eastAsia="lt-LT"/>
                  </w:rPr>
                </w:pPr>
                <w:r>
                  <w:rPr>
                    <w:rFonts w:eastAsia="Calibri"/>
                    <w:b/>
                    <w:bCs/>
                    <w:szCs w:val="24"/>
                    <w:lang w:eastAsia="lt-LT"/>
                  </w:rPr>
                  <w:t>21</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110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8</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60</w:t>
                </w:r>
              </w:p>
            </w:tc>
            <w:tc>
              <w:tcPr>
                <w:tcW w:w="777" w:type="pct"/>
              </w:tcPr>
              <w:p>
                <w:pPr>
                  <w:jc w:val="center"/>
                  <w:rPr>
                    <w:rFonts w:eastAsia="Calibri"/>
                    <w:szCs w:val="24"/>
                    <w:lang w:eastAsia="lt-LT"/>
                  </w:rPr>
                </w:pPr>
                <w:r>
                  <w:rPr>
                    <w:rFonts w:eastAsia="Calibri"/>
                    <w:szCs w:val="24"/>
                    <w:lang w:eastAsia="lt-LT"/>
                  </w:rPr>
                  <w:t>10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highlight w:val="yellow"/>
                    <w:lang w:val="en-US" w:eastAsia="lt-LT"/>
                  </w:rPr>
                </w:pPr>
                <w:r>
                  <w:rPr>
                    <w:rFonts w:eastAsia="Calibri"/>
                    <w:b/>
                    <w:bCs/>
                    <w:szCs w:val="24"/>
                    <w:lang w:val="en-US" w:eastAsia="lt-LT"/>
                  </w:rPr>
                  <w:t>298</w:t>
                </w:r>
              </w:p>
            </w:tc>
            <w:tc>
              <w:tcPr>
                <w:tcW w:w="777" w:type="pct"/>
              </w:tcPr>
              <w:p>
                <w:pPr>
                  <w:jc w:val="center"/>
                  <w:rPr>
                    <w:rFonts w:eastAsia="Calibri"/>
                    <w:b/>
                    <w:bCs/>
                    <w:szCs w:val="24"/>
                    <w:lang w:eastAsia="lt-LT"/>
                  </w:rPr>
                </w:pPr>
                <w:r>
                  <w:rPr>
                    <w:rFonts w:eastAsia="Calibri"/>
                    <w:b/>
                    <w:bCs/>
                    <w:szCs w:val="24"/>
                    <w:lang w:eastAsia="lt-LT"/>
                  </w:rPr>
                  <w:t>46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80</w:t>
                </w:r>
              </w:p>
            </w:tc>
            <w:tc>
              <w:tcPr>
                <w:tcW w:w="777" w:type="pct"/>
              </w:tcPr>
              <w:p>
                <w:pPr>
                  <w:jc w:val="center"/>
                  <w:rPr>
                    <w:rFonts w:eastAsia="Calibri"/>
                    <w:szCs w:val="24"/>
                    <w:lang w:eastAsia="lt-LT"/>
                  </w:rPr>
                </w:pPr>
                <w:r>
                  <w:rPr>
                    <w:rFonts w:eastAsia="Calibri"/>
                    <w:szCs w:val="24"/>
                    <w:lang w:eastAsia="lt-LT"/>
                  </w:rPr>
                  <w:t>20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4.2.</w:t>
                </w:r>
              </w:p>
            </w:tc>
            <w:tc>
              <w:tcPr>
                <w:tcW w:w="971" w:type="pct"/>
              </w:tcPr>
              <w:p>
                <w:pPr>
                  <w:rPr>
                    <w:rFonts w:eastAsia="Calibri"/>
                    <w:szCs w:val="24"/>
                    <w:lang w:eastAsia="lt-LT"/>
                  </w:rPr>
                </w:pPr>
                <w:r>
                  <w:rPr>
                    <w:rFonts w:eastAsia="Calibri"/>
                    <w:szCs w:val="24"/>
                    <w:lang w:eastAsia="lt-LT"/>
                  </w:rPr>
                  <w:t>VšĮ Regioninė Mažeikių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4.3.</w:t>
                </w:r>
              </w:p>
            </w:tc>
            <w:tc>
              <w:tcPr>
                <w:tcW w:w="971" w:type="pct"/>
              </w:tcPr>
              <w:p>
                <w:pPr>
                  <w:rPr>
                    <w:rFonts w:eastAsia="Calibri"/>
                    <w:szCs w:val="24"/>
                    <w:lang w:eastAsia="lt-LT"/>
                  </w:rPr>
                </w:pPr>
                <w:r>
                  <w:rPr>
                    <w:rFonts w:eastAsia="Calibri"/>
                    <w:szCs w:val="24"/>
                    <w:lang w:eastAsia="lt-LT"/>
                  </w:rPr>
                  <w:t>VšĮ Regioninė Telšių ligoninė</w:t>
                </w:r>
              </w:p>
            </w:tc>
            <w:tc>
              <w:tcPr>
                <w:tcW w:w="874" w:type="pct"/>
              </w:tcPr>
              <w:p>
                <w:pPr>
                  <w:jc w:val="center"/>
                  <w:rPr>
                    <w:rFonts w:eastAsia="Calibri"/>
                    <w:szCs w:val="24"/>
                    <w:lang w:val="en-US" w:eastAsia="lt-LT"/>
                  </w:rPr>
                </w:pPr>
                <w:r>
                  <w:rPr>
                    <w:rFonts w:eastAsia="Calibri"/>
                    <w:szCs w:val="24"/>
                    <w:lang w:val="en-US" w:eastAsia="lt-LT"/>
                  </w:rPr>
                  <w:t>23</w:t>
                </w:r>
              </w:p>
            </w:tc>
            <w:tc>
              <w:tcPr>
                <w:tcW w:w="777" w:type="pct"/>
              </w:tcPr>
              <w:p>
                <w:pPr>
                  <w:jc w:val="center"/>
                  <w:rPr>
                    <w:rFonts w:eastAsia="Calibri"/>
                    <w:szCs w:val="24"/>
                    <w:lang w:eastAsia="lt-LT"/>
                  </w:rPr>
                </w:pPr>
                <w:r>
                  <w:rPr>
                    <w:rFonts w:eastAsia="Calibri"/>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4.4. </w:t>
                </w:r>
              </w:p>
            </w:tc>
            <w:tc>
              <w:tcPr>
                <w:tcW w:w="971" w:type="pct"/>
              </w:tcPr>
              <w:p>
                <w:pPr>
                  <w:rPr>
                    <w:rFonts w:eastAsia="Calibri"/>
                    <w:szCs w:val="24"/>
                    <w:lang w:eastAsia="lt-LT"/>
                  </w:rPr>
                </w:pPr>
                <w:r>
                  <w:rPr>
                    <w:rFonts w:eastAsia="Calibri"/>
                    <w:szCs w:val="24"/>
                    <w:lang w:eastAsia="lt-LT"/>
                  </w:rPr>
                  <w:t>VšĮ Joniškio ligoninė</w:t>
                </w:r>
              </w:p>
            </w:tc>
            <w:tc>
              <w:tcPr>
                <w:tcW w:w="874" w:type="pct"/>
              </w:tcPr>
              <w:p>
                <w:pPr>
                  <w:jc w:val="center"/>
                  <w:rPr>
                    <w:rFonts w:eastAsia="Calibri"/>
                    <w:szCs w:val="24"/>
                    <w:lang w:val="en-US" w:eastAsia="lt-LT"/>
                  </w:rPr>
                </w:pPr>
                <w:r>
                  <w:rPr>
                    <w:rFonts w:eastAsia="Calibri"/>
                    <w:szCs w:val="24"/>
                    <w:lang w:val="en-US" w:eastAsia="lt-LT"/>
                  </w:rPr>
                  <w:t>16</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4.5. </w:t>
                </w:r>
              </w:p>
            </w:tc>
            <w:tc>
              <w:tcPr>
                <w:tcW w:w="971" w:type="pct"/>
              </w:tcPr>
              <w:p>
                <w:pPr>
                  <w:rPr>
                    <w:rFonts w:eastAsia="Calibri"/>
                    <w:szCs w:val="24"/>
                    <w:lang w:eastAsia="lt-LT"/>
                  </w:rPr>
                </w:pPr>
                <w:r>
                  <w:rPr>
                    <w:rFonts w:eastAsia="Calibri"/>
                    <w:szCs w:val="24"/>
                    <w:lang w:eastAsia="lt-LT"/>
                  </w:rPr>
                  <w:t>VšĮ Plungės rajono savivaldybės ligoninė</w:t>
                </w:r>
              </w:p>
            </w:tc>
            <w:tc>
              <w:tcPr>
                <w:tcW w:w="874" w:type="pct"/>
              </w:tcPr>
              <w:p>
                <w:pPr>
                  <w:jc w:val="center"/>
                  <w:rPr>
                    <w:rFonts w:eastAsia="Calibri"/>
                    <w:szCs w:val="24"/>
                    <w:lang w:val="en-US" w:eastAsia="lt-LT"/>
                  </w:rPr>
                </w:pPr>
                <w:r>
                  <w:rPr>
                    <w:rFonts w:eastAsia="Calibri"/>
                    <w:szCs w:val="24"/>
                    <w:lang w:val="en-US" w:eastAsia="lt-LT"/>
                  </w:rPr>
                  <w:t>17</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10"/>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176</w:t>
                </w:r>
              </w:p>
            </w:tc>
            <w:tc>
              <w:tcPr>
                <w:tcW w:w="777" w:type="pct"/>
              </w:tcPr>
              <w:p>
                <w:pPr>
                  <w:jc w:val="center"/>
                  <w:rPr>
                    <w:rFonts w:eastAsia="Calibri"/>
                    <w:b/>
                    <w:bCs/>
                    <w:szCs w:val="24"/>
                    <w:lang w:eastAsia="lt-LT"/>
                  </w:rPr>
                </w:pPr>
                <w:r>
                  <w:rPr>
                    <w:rFonts w:eastAsia="Calibri"/>
                    <w:b/>
                    <w:bCs/>
                    <w:szCs w:val="24"/>
                    <w:lang w:eastAsia="lt-LT"/>
                  </w:rPr>
                  <w:t>28</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75</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12</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val="en-US" w:eastAsia="lt-LT"/>
                  </w:rPr>
                </w:pPr>
                <w:r>
                  <w:rPr>
                    <w:rFonts w:eastAsia="Calibri"/>
                    <w:szCs w:val="24"/>
                    <w:lang w:val="en-US" w:eastAsia="lt-LT"/>
                  </w:rPr>
                  <w:t xml:space="preserve">5.3. </w:t>
                </w:r>
              </w:p>
            </w:tc>
            <w:tc>
              <w:tcPr>
                <w:tcW w:w="971" w:type="pct"/>
              </w:tcPr>
              <w:p>
                <w:pPr>
                  <w:rPr>
                    <w:rFonts w:eastAsia="Calibri"/>
                    <w:szCs w:val="24"/>
                    <w:lang w:eastAsia="lt-LT"/>
                  </w:rPr>
                </w:pPr>
                <w:r>
                  <w:rPr>
                    <w:rFonts w:eastAsia="Calibri"/>
                    <w:szCs w:val="24"/>
                    <w:lang w:eastAsia="lt-LT"/>
                  </w:rPr>
                  <w:t>VšĮ Visagino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highlight w:val="yellow"/>
                    <w:lang w:val="en-US" w:eastAsia="lt-LT"/>
                  </w:rPr>
                </w:pPr>
                <w:r>
                  <w:rPr>
                    <w:rFonts w:eastAsia="Calibri"/>
                    <w:b/>
                    <w:bCs/>
                    <w:szCs w:val="24"/>
                    <w:lang w:val="en-US" w:eastAsia="lt-LT"/>
                  </w:rPr>
                  <w:t>115</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8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tcPr>
              <w:p>
                <w:pPr>
                  <w:jc w:val="center"/>
                  <w:rPr>
                    <w:rFonts w:eastAsia="Calibri"/>
                    <w:b/>
                    <w:bCs/>
                    <w:szCs w:val="24"/>
                    <w:lang w:val="en-US" w:eastAsia="lt-LT"/>
                  </w:rPr>
                </w:pPr>
                <w:r>
                  <w:rPr>
                    <w:rFonts w:eastAsia="Calibri"/>
                    <w:b/>
                    <w:bCs/>
                    <w:szCs w:val="24"/>
                    <w:lang w:val="en-US" w:eastAsia="lt-LT"/>
                  </w:rPr>
                  <w:t>1028</w:t>
                </w:r>
              </w:p>
            </w:tc>
            <w:tc>
              <w:tcPr>
                <w:tcW w:w="777" w:type="pct"/>
              </w:tcPr>
              <w:p>
                <w:pPr>
                  <w:jc w:val="center"/>
                  <w:rPr>
                    <w:rFonts w:eastAsia="Calibri"/>
                    <w:b/>
                    <w:bCs/>
                    <w:szCs w:val="24"/>
                    <w:lang w:eastAsia="lt-LT"/>
                  </w:rPr>
                </w:pPr>
                <w:r>
                  <w:rPr>
                    <w:rFonts w:eastAsia="Calibri"/>
                    <w:b/>
                    <w:bCs/>
                    <w:szCs w:val="24"/>
                    <w:lang w:eastAsia="lt-LT"/>
                  </w:rPr>
                  <w:t>151</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jc w:val="center"/>
            <w:rPr>
              <w:szCs w:val="24"/>
            </w:rPr>
          </w:pPr>
          <w:r>
            <w:rPr>
              <w:szCs w:val="24"/>
            </w:rPr>
            <w:t>_____________</w:t>
          </w:r>
        </w:p>
        <w:p>
          <w:pPr>
            <w:tabs>
              <w:tab w:val="right" w:pos="9356"/>
            </w:tabs>
            <w:ind w:left="4820"/>
            <w:rPr>
              <w:szCs w:val="24"/>
            </w:rPr>
          </w:pPr>
        </w:p>
        <w:p>
          <w:pPr>
            <w:tabs>
              <w:tab w:val="right" w:pos="9356"/>
            </w:tabs>
            <w:rPr>
              <w:szCs w:val="24"/>
            </w:rPr>
          </w:pPr>
        </w:p>
        <w:p>
          <w:pPr>
            <w:tabs>
              <w:tab w:val="right" w:pos="9356"/>
            </w:tabs>
            <w:ind w:left="48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sdtContent>
    </w:sdt>
    <w:sdt>
      <w:sdtPr>
        <w:alias w:val="3 pr."/>
        <w:tag w:val="part_e5c901b4d715430593c2b1338064073a"/>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e5c901b4d715430593c2b1338064073a"/>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e5c901b4d715430593c2b1338064073a"/>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5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51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190.xml"/>
  <Relationship Id="rId29" Type="http://schemas.openxmlformats.org/officeDocument/2006/relationships/header" Target="header191.xml"/>
  <Relationship Id="rId3" Type="http://schemas.openxmlformats.org/officeDocument/2006/relationships/fontTable" Target="fontTable.xml"/>
  <Relationship Id="rId30" Type="http://schemas.openxmlformats.org/officeDocument/2006/relationships/footer" Target="footer190.xml"/>
  <Relationship Id="rId31" Type="http://schemas.openxmlformats.org/officeDocument/2006/relationships/footer" Target="footer191.xml"/>
  <Relationship Id="rId32" Type="http://schemas.openxmlformats.org/officeDocument/2006/relationships/header" Target="header192.xml"/>
  <Relationship Id="rId33" Type="http://schemas.openxmlformats.org/officeDocument/2006/relationships/footer" Target="footer192.xml"/>
  <Relationship Id="rId34" Type="http://schemas.openxmlformats.org/officeDocument/2006/relationships/header" Target="header206.xml"/>
  <Relationship Id="rId35" Type="http://schemas.openxmlformats.org/officeDocument/2006/relationships/header" Target="header207.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274882e76d24390a87f1b0c68c67593"/>
  <Part Type="priedas" Nr="3" Abbr="3 pr." Title="PLANINIŲ ASMENS SVEIKATOS PRIEŽIŪROS PASLAUGŲ TEIKIMO ATNAUJINIMO KRITERIJAI" DocPartId="9c5e2817f3ec4b85997d69835f095310" PartId="e5c901b4d715430593c2b1338064073a">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4F0969B-8ADF-49CE-8389-3818D6DDB187}">
  <ds:schemaRefs>
    <ds:schemaRef ds:uri="http://lrs.lt/TAIS/DocParts"/>
  </ds:schemaRefs>
</ds:datastoreItem>
</file>

<file path=customXml/itemProps3.xml><?xml version="1.0" encoding="utf-8"?>
<ds:datastoreItem xmlns:ds="http://schemas.openxmlformats.org/officeDocument/2006/customXml" ds:itemID="{60FD5EC7-12F0-450C-900D-5715405E5D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63</TotalTime>
  <Pages>17</Pages>
  <Words>4552</Words>
  <Characters>33403</Characters>
  <Application>Microsoft Office Word</Application>
  <DocSecurity>0</DocSecurity>
  <Lines>278</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37880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2021-09-14T05:35:00Z</dcterms:modified>
  <revision>77</revision>
  <dc:title>2001-05-00</dc:title>
</coreProperties>
</file>