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2022-10-08 iki 2022-10-12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5bf2b0680c704b5abcb5c9c40e351b42"/>
                <w:lock w:val="sdtLocked"/>
                <w:richText/>
              </w:sdtPr>
              <w:sdtContent>
                <w:p>
                  <w:pPr>
                    <w:ind w:firstLine="709"/>
                    <w:jc w:val="both"/>
                  </w:pPr>
                  <w:sdt>
                    <w:sdtPr>
                      <w:alias w:val="Numeris"/>
                      <w:tag w:val="nr_5bf2b0680c704b5abcb5c9c40e351b42"/>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w:t>
                  </w:r>
                  <w:r>
                    <w:rPr>
                      <w:color w:val="000000"/>
                      <w:szCs w:val="24"/>
                    </w:rPr>
                    <w:t>už pastarųjų 24 val. laikotarpį kiekvieną darbo dieną nuo 16.00 iki 17.00 val.</w:t>
                  </w:r>
                  <w:r>
                    <w:t xml:space="preserve"> į Valstybės duomenų valdysenos informacinę sistemą teikia Aprašo </w:t>
                  </w:r>
                  <w:r>
                    <w:rPr>
                      <w:lang w:val="en-US"/>
                    </w:rPr>
                    <w:t>4 priede nurodytą</w:t>
                  </w:r>
                  <w:r>
                    <w:t xml:space="preserve"> informaciją apie COVID-19 pacientams gydyti skirtų lovų skaičių ir jų užimtumą.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027bc940ff554f38bf9d7a289f5a81f2"/>
        <w:lock w:val="sdtLocked"/>
        <w:richText/>
      </w:sdtPr>
      <w:sdtContent>
        <w:p>
          <w:pPr>
            <w:tabs>
              <w:tab w:val="right" w:pos="9356"/>
            </w:tabs>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4820" w:firstLine="3720"/>
            <w:rPr>
              <w:szCs w:val="24"/>
            </w:rPr>
          </w:pPr>
          <w:r>
            <w:rPr>
              <w:szCs w:val="24"/>
            </w:rPr>
            <w:t xml:space="preserve">Sveikatos priežiūros paslaugų dėl COVID-19 ligos </w:t>
          </w:r>
        </w:p>
        <w:p>
          <w:pPr>
            <w:tabs>
              <w:tab w:val="right" w:pos="9356"/>
            </w:tabs>
            <w:ind w:left="4820" w:firstLine="3720"/>
            <w:rPr>
              <w:szCs w:val="24"/>
            </w:rPr>
          </w:pPr>
          <w:r>
            <w:rPr>
              <w:szCs w:val="24"/>
            </w:rPr>
            <w:t>(koronaviruso infekcijos) organizavimo tvarkos aprašo</w:t>
          </w:r>
        </w:p>
        <w:p>
          <w:pPr>
            <w:ind w:firstLine="8540"/>
            <w:rPr>
              <w:szCs w:val="24"/>
            </w:rPr>
          </w:pPr>
          <w:sdt>
            <w:sdtPr>
              <w:alias w:val="Numeris"/>
              <w:tag w:val="nr_027bc940ff554f38bf9d7a289f5a81f2"/>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left="1069" w:right="-283"/>
            <w:jc w:val="center"/>
            <w:rPr>
              <w:b/>
              <w:bCs/>
              <w:szCs w:val="24"/>
              <w:lang w:val="en-US"/>
            </w:rPr>
          </w:pPr>
          <w:sdt>
            <w:sdtPr>
              <w:alias w:val="Pavadinimas"/>
              <w:tag w:val="title_027bc940ff554f38bf9d7a289f5a81f2"/>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8"/>
            <w:gridCol w:w="2871"/>
            <w:gridCol w:w="2585"/>
            <w:gridCol w:w="2298"/>
            <w:gridCol w:w="2440"/>
            <w:gridCol w:w="3874"/>
          </w:tblGrid>
          <w:tr>
            <w:tc>
              <w:tcPr>
                <w:tcW w:w="243" w:type="pct"/>
              </w:tcPr>
              <w:p>
                <w:pPr>
                  <w:jc w:val="center"/>
                  <w:rPr>
                    <w:rFonts w:eastAsia="Calibri"/>
                    <w:szCs w:val="24"/>
                    <w:lang w:eastAsia="lt-LT"/>
                  </w:rPr>
                </w:pPr>
                <w:r>
                  <w:rPr>
                    <w:rFonts w:eastAsia="Calibri"/>
                    <w:szCs w:val="24"/>
                    <w:lang w:eastAsia="lt-LT"/>
                  </w:rPr>
                  <w:t>Eil. Nr.</w:t>
                </w:r>
              </w:p>
            </w:tc>
            <w:tc>
              <w:tcPr>
                <w:tcW w:w="971" w:type="pct"/>
              </w:tcPr>
              <w:p>
                <w:pPr>
                  <w:jc w:val="center"/>
                  <w:rPr>
                    <w:rFonts w:eastAsia="Calibri"/>
                    <w:szCs w:val="24"/>
                    <w:lang w:eastAsia="lt-LT"/>
                  </w:rPr>
                </w:pPr>
                <w:r>
                  <w:rPr>
                    <w:rFonts w:eastAsia="Calibri"/>
                    <w:szCs w:val="24"/>
                    <w:lang w:eastAsia="lt-LT"/>
                  </w:rPr>
                  <w:t>Regionas ir asmens sveikatos priežiūros įstaigos</w:t>
                </w:r>
              </w:p>
            </w:tc>
            <w:tc>
              <w:tcPr>
                <w:tcW w:w="874" w:type="pct"/>
              </w:tcPr>
              <w:p>
                <w:pPr>
                  <w:jc w:val="center"/>
                  <w:rPr>
                    <w:rFonts w:eastAsia="Calibri"/>
                    <w:szCs w:val="24"/>
                    <w:lang w:eastAsia="lt-LT"/>
                  </w:rPr>
                </w:pPr>
                <w:r>
                  <w:rPr>
                    <w:rFonts w:eastAsia="Calibri"/>
                    <w:szCs w:val="24"/>
                    <w:lang w:eastAsia="lt-LT"/>
                  </w:rPr>
                  <w:t>Lovų su deguonies tiekimo įranga skaičius (ne mažiau kaip)</w:t>
                </w:r>
              </w:p>
            </w:tc>
            <w:tc>
              <w:tcPr>
                <w:tcW w:w="777"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825" w:type="pct"/>
              </w:tcPr>
              <w:p>
                <w:pPr>
                  <w:jc w:val="center"/>
                  <w:rPr>
                    <w:rFonts w:eastAsia="Calibri"/>
                    <w:szCs w:val="24"/>
                    <w:lang w:eastAsia="lt-LT"/>
                  </w:rPr>
                </w:pPr>
                <w:r>
                  <w:rPr>
                    <w:rFonts w:eastAsia="Calibri"/>
                    <w:szCs w:val="24"/>
                    <w:lang w:eastAsia="lt-LT"/>
                  </w:rPr>
                  <w:t>Lovų be deguonies tiekimo įrangos skaičius</w:t>
                </w:r>
              </w:p>
            </w:tc>
            <w:tc>
              <w:tcPr>
                <w:tcW w:w="1311" w:type="pct"/>
              </w:tcPr>
              <w:p>
                <w:pPr>
                  <w:jc w:val="center"/>
                  <w:rPr>
                    <w:rFonts w:eastAsia="Calibri"/>
                    <w:szCs w:val="24"/>
                    <w:lang w:eastAsia="lt-LT"/>
                  </w:rPr>
                </w:pPr>
                <w:r>
                  <w:rPr>
                    <w:rFonts w:eastAsia="Calibri"/>
                    <w:szCs w:val="24"/>
                    <w:lang w:eastAsia="lt-LT"/>
                  </w:rPr>
                  <w:t>Lovų plėtra</w:t>
                </w:r>
              </w:p>
            </w:tc>
          </w:tr>
          <w:tr>
            <w:tc>
              <w:tcPr>
                <w:tcW w:w="243" w:type="pct"/>
              </w:tcPr>
              <w:p>
                <w:pPr>
                  <w:rPr>
                    <w:rFonts w:eastAsia="Calibri"/>
                    <w:szCs w:val="24"/>
                    <w:lang w:val="en-US" w:eastAsia="lt-LT"/>
                  </w:rPr>
                </w:pPr>
                <w:r>
                  <w:rPr>
                    <w:rFonts w:eastAsia="Calibri"/>
                    <w:szCs w:val="24"/>
                    <w:lang w:val="en-US" w:eastAsia="lt-LT"/>
                  </w:rPr>
                  <w:t xml:space="preserve">1. </w:t>
                </w:r>
              </w:p>
            </w:tc>
            <w:tc>
              <w:tcPr>
                <w:tcW w:w="971" w:type="pct"/>
              </w:tcPr>
              <w:p>
                <w:pPr>
                  <w:jc w:val="both"/>
                  <w:rPr>
                    <w:rFonts w:eastAsia="Calibri"/>
                    <w:szCs w:val="24"/>
                    <w:lang w:eastAsia="lt-LT"/>
                  </w:rPr>
                </w:pPr>
                <w:r>
                  <w:rPr>
                    <w:rFonts w:eastAsia="Calibri"/>
                    <w:szCs w:val="24"/>
                    <w:lang w:eastAsia="lt-LT"/>
                  </w:rPr>
                  <w:t>Vilniaus regionas</w:t>
                </w:r>
              </w:p>
            </w:tc>
            <w:tc>
              <w:tcPr>
                <w:tcW w:w="874" w:type="pct"/>
              </w:tcPr>
              <w:p>
                <w:pPr>
                  <w:jc w:val="center"/>
                  <w:rPr>
                    <w:rFonts w:eastAsia="Calibri"/>
                    <w:szCs w:val="24"/>
                    <w:lang w:eastAsia="lt-LT"/>
                  </w:rPr>
                </w:pPr>
              </w:p>
            </w:tc>
            <w:tc>
              <w:tcPr>
                <w:tcW w:w="777" w:type="pct"/>
              </w:tcPr>
              <w:p>
                <w:pPr>
                  <w:jc w:val="center"/>
                  <w:rPr>
                    <w:rFonts w:eastAsia="Calibri"/>
                    <w:szCs w:val="24"/>
                    <w:lang w:eastAsia="lt-LT"/>
                  </w:rPr>
                </w:pPr>
              </w:p>
            </w:tc>
            <w:tc>
              <w:tcPr>
                <w:tcW w:w="825" w:type="pct"/>
              </w:tcPr>
              <w:p>
                <w:pPr>
                  <w:jc w:val="center"/>
                  <w:rPr>
                    <w:rFonts w:eastAsia="Calibri"/>
                    <w:szCs w:val="24"/>
                    <w:lang w:eastAsia="lt-LT"/>
                  </w:rPr>
                </w:pPr>
              </w:p>
            </w:tc>
            <w:tc>
              <w:tcPr>
                <w:tcW w:w="1311" w:type="pct"/>
              </w:tcPr>
              <w:p>
                <w:pPr>
                  <w:jc w:val="center"/>
                  <w:rPr>
                    <w:rFonts w:eastAsia="Calibri"/>
                    <w:szCs w:val="24"/>
                    <w:highlight w:val="yellow"/>
                    <w:lang w:eastAsia="lt-LT"/>
                  </w:rPr>
                </w:pPr>
              </w:p>
            </w:tc>
          </w:tr>
          <w:tr>
            <w:tc>
              <w:tcPr>
                <w:tcW w:w="243" w:type="pct"/>
              </w:tcPr>
              <w:p>
                <w:pPr>
                  <w:rPr>
                    <w:rFonts w:eastAsia="Calibri"/>
                    <w:szCs w:val="24"/>
                    <w:lang w:val="en-US" w:eastAsia="lt-LT"/>
                  </w:rPr>
                </w:pPr>
                <w:r>
                  <w:rPr>
                    <w:rFonts w:eastAsia="Calibri"/>
                    <w:szCs w:val="24"/>
                    <w:lang w:val="en-US" w:eastAsia="lt-LT"/>
                  </w:rPr>
                  <w:t>1.1.</w:t>
                </w:r>
              </w:p>
            </w:tc>
            <w:tc>
              <w:tcPr>
                <w:tcW w:w="971" w:type="pct"/>
              </w:tcPr>
              <w:p>
                <w:pPr>
                  <w:rPr>
                    <w:rFonts w:eastAsia="Calibri"/>
                    <w:szCs w:val="24"/>
                    <w:lang w:eastAsia="lt-LT"/>
                  </w:rPr>
                </w:pPr>
                <w:r>
                  <w:rPr>
                    <w:rFonts w:eastAsia="Calibri"/>
                    <w:szCs w:val="24"/>
                    <w:lang w:eastAsia="lt-LT"/>
                  </w:rPr>
                  <w:t>VšĮ Vilniaus universiteto ligoninė Santaros klinikos</w:t>
                </w:r>
              </w:p>
            </w:tc>
            <w:tc>
              <w:tcPr>
                <w:tcW w:w="874" w:type="pct"/>
              </w:tcPr>
              <w:p>
                <w:pPr>
                  <w:jc w:val="center"/>
                  <w:rPr>
                    <w:rFonts w:eastAsia="Calibri"/>
                    <w:szCs w:val="24"/>
                    <w:lang w:eastAsia="lt-LT"/>
                  </w:rPr>
                </w:pPr>
                <w:r>
                  <w:rPr>
                    <w:rFonts w:eastAsia="Calibri"/>
                    <w:szCs w:val="24"/>
                    <w:lang w:eastAsia="lt-LT"/>
                  </w:rPr>
                  <w:t>40</w:t>
                </w:r>
              </w:p>
            </w:tc>
            <w:tc>
              <w:tcPr>
                <w:tcW w:w="777" w:type="pct"/>
              </w:tcPr>
              <w:p>
                <w:pPr>
                  <w:jc w:val="center"/>
                  <w:rPr>
                    <w:rFonts w:eastAsia="Calibri"/>
                    <w:szCs w:val="24"/>
                    <w:lang w:eastAsia="lt-LT"/>
                  </w:rPr>
                </w:pPr>
                <w:r>
                  <w:rPr>
                    <w:rFonts w:eastAsia="Calibri"/>
                    <w:szCs w:val="24"/>
                    <w:lang w:eastAsia="lt-LT"/>
                  </w:rPr>
                  <w:t>5</w:t>
                </w:r>
              </w:p>
            </w:tc>
            <w:tc>
              <w:tcPr>
                <w:tcW w:w="825" w:type="pct"/>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1.2.</w:t>
                </w:r>
              </w:p>
            </w:tc>
            <w:tc>
              <w:tcPr>
                <w:tcW w:w="971" w:type="pct"/>
              </w:tcPr>
              <w:p>
                <w:pPr>
                  <w:rPr>
                    <w:spacing w:val="-6"/>
                    <w:kern w:val="2"/>
                    <w:szCs w:val="24"/>
                  </w:rPr>
                </w:pPr>
                <w:r>
                  <w:rPr>
                    <w:spacing w:val="-6"/>
                    <w:kern w:val="2"/>
                    <w:szCs w:val="24"/>
                  </w:rPr>
                  <w:t>VšĮ Respublikinė Vilniaus psichiatrijos ligoninė</w:t>
                </w:r>
              </w:p>
            </w:tc>
            <w:tc>
              <w:tcPr>
                <w:tcW w:w="874" w:type="pct"/>
              </w:tcPr>
              <w:p>
                <w:pPr>
                  <w:jc w:val="center"/>
                  <w:rPr>
                    <w:rFonts w:eastAsia="Calibri"/>
                    <w:szCs w:val="24"/>
                    <w:lang w:eastAsia="lt-LT"/>
                  </w:rPr>
                </w:pPr>
                <w:r>
                  <w:rPr>
                    <w:rFonts w:eastAsia="Calibri"/>
                    <w:szCs w:val="24"/>
                    <w:lang w:eastAsia="lt-LT"/>
                  </w:rPr>
                  <w:t>10</w:t>
                </w:r>
              </w:p>
            </w:tc>
            <w:tc>
              <w:tcPr>
                <w:tcW w:w="777" w:type="pct"/>
              </w:tcPr>
              <w:p>
                <w:pPr>
                  <w:jc w:val="center"/>
                  <w:rPr>
                    <w:rFonts w:eastAsia="Calibri"/>
                    <w:szCs w:val="24"/>
                    <w:lang w:val="en-US" w:eastAsia="lt-LT"/>
                  </w:rPr>
                </w:pPr>
                <w:r>
                  <w:rPr>
                    <w:rFonts w:eastAsia="Calibri"/>
                    <w:szCs w:val="24"/>
                    <w:lang w:val="en-US" w:eastAsia="lt-LT"/>
                  </w:rPr>
                  <w:t>1</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r>
                  <w:rPr>
                    <w:rFonts w:eastAsia="Calibri"/>
                    <w:szCs w:val="24"/>
                    <w:lang w:val="en-US" w:eastAsia="lt-LT"/>
                  </w:rPr>
                  <w:t xml:space="preserve">1.3. </w:t>
                </w:r>
              </w:p>
            </w:tc>
            <w:tc>
              <w:tcPr>
                <w:tcW w:w="971" w:type="pct"/>
              </w:tcPr>
              <w:p>
                <w:pPr>
                  <w:rPr>
                    <w:spacing w:val="-6"/>
                    <w:kern w:val="2"/>
                    <w:szCs w:val="24"/>
                  </w:rPr>
                </w:pPr>
                <w:r>
                  <w:rPr>
                    <w:spacing w:val="-6"/>
                    <w:kern w:val="2"/>
                    <w:szCs w:val="24"/>
                  </w:rPr>
                  <w:t>VšĮ Vilniaus miesto klinikinė ligoninė</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val="en-US" w:eastAsia="lt-LT"/>
                  </w:rPr>
                </w:pPr>
              </w:p>
            </w:tc>
            <w:tc>
              <w:tcPr>
                <w:tcW w:w="1311" w:type="pct"/>
                <w:vMerge/>
              </w:tcPr>
              <w:p>
                <w:pPr>
                  <w:jc w:val="center"/>
                  <w:rPr>
                    <w:rFonts w:eastAsia="Calibri"/>
                    <w:szCs w:val="24"/>
                    <w:lang w:val="en-US" w:eastAsia="lt-LT"/>
                  </w:rPr>
                </w:pPr>
              </w:p>
            </w:tc>
          </w:tr>
          <w:t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eastAsia="lt-LT"/>
                  </w:rPr>
                </w:pPr>
                <w:r>
                  <w:rPr>
                    <w:rFonts w:eastAsia="Calibri"/>
                    <w:b/>
                    <w:bCs/>
                    <w:szCs w:val="24"/>
                    <w:lang w:eastAsia="lt-LT"/>
                  </w:rPr>
                  <w:t>65</w:t>
                </w:r>
              </w:p>
            </w:tc>
            <w:tc>
              <w:tcPr>
                <w:tcW w:w="777" w:type="pct"/>
                <w:shd w:val="clear" w:color="auto" w:fill="auto"/>
              </w:tcPr>
              <w:p>
                <w:pPr>
                  <w:jc w:val="center"/>
                  <w:rPr>
                    <w:rFonts w:eastAsia="Calibri"/>
                    <w:b/>
                    <w:bCs/>
                    <w:szCs w:val="24"/>
                    <w:lang w:val="en-US" w:eastAsia="lt-LT"/>
                  </w:rPr>
                </w:pPr>
                <w:r>
                  <w:rPr>
                    <w:rFonts w:eastAsia="Calibri"/>
                    <w:b/>
                    <w:bCs/>
                    <w:szCs w:val="24"/>
                    <w:lang w:val="en-US" w:eastAsia="lt-LT"/>
                  </w:rPr>
                  <w:t>6</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w:t>
                </w:r>
              </w:p>
            </w:tc>
            <w:tc>
              <w:tcPr>
                <w:tcW w:w="971" w:type="pct"/>
              </w:tcPr>
              <w:p>
                <w:pPr>
                  <w:rPr>
                    <w:rFonts w:eastAsia="Calibri"/>
                    <w:szCs w:val="24"/>
                    <w:lang w:eastAsia="lt-LT"/>
                  </w:rPr>
                </w:pPr>
                <w:r>
                  <w:rPr>
                    <w:rFonts w:eastAsia="Calibri"/>
                    <w:szCs w:val="24"/>
                    <w:lang w:eastAsia="lt-LT"/>
                  </w:rPr>
                  <w:t>Kauno regionas</w:t>
                </w:r>
              </w:p>
            </w:tc>
            <w:tc>
              <w:tcPr>
                <w:tcW w:w="874" w:type="pct"/>
              </w:tcPr>
              <w:p>
                <w:pPr>
                  <w:jc w:val="center"/>
                  <w:rPr>
                    <w:rFonts w:eastAsia="Calibri"/>
                    <w:b/>
                    <w:bCs/>
                    <w:szCs w:val="24"/>
                    <w:lang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2.1.</w:t>
                </w:r>
              </w:p>
            </w:tc>
            <w:tc>
              <w:tcPr>
                <w:tcW w:w="971" w:type="pct"/>
              </w:tcPr>
              <w:p>
                <w:pPr>
                  <w:rPr>
                    <w:rFonts w:eastAsia="Calibri"/>
                    <w:szCs w:val="24"/>
                    <w:lang w:eastAsia="lt-LT"/>
                  </w:rPr>
                </w:pPr>
                <w:r>
                  <w:rPr>
                    <w:rFonts w:eastAsia="Calibri"/>
                    <w:szCs w:val="24"/>
                    <w:lang w:eastAsia="lt-LT"/>
                  </w:rPr>
                  <w:t>VšĮ Lietuvos sveikatos mokslų universiteto Kauno ligoninė</w:t>
                </w:r>
              </w:p>
            </w:tc>
            <w:tc>
              <w:tcPr>
                <w:tcW w:w="874" w:type="pct"/>
              </w:tcPr>
              <w:p>
                <w:pPr>
                  <w:jc w:val="center"/>
                  <w:rPr>
                    <w:rFonts w:eastAsia="Calibri"/>
                    <w:szCs w:val="24"/>
                    <w:lang w:eastAsia="lt-LT"/>
                  </w:rPr>
                </w:pPr>
                <w:r>
                  <w:rPr>
                    <w:rFonts w:eastAsia="Calibri"/>
                    <w:szCs w:val="24"/>
                    <w:lang w:eastAsia="lt-LT"/>
                  </w:rPr>
                  <w:t>60</w:t>
                </w:r>
              </w:p>
            </w:tc>
            <w:tc>
              <w:tcPr>
                <w:tcW w:w="777" w:type="pct"/>
              </w:tcPr>
              <w:p>
                <w:pPr>
                  <w:jc w:val="center"/>
                  <w:rPr>
                    <w:rFonts w:eastAsia="Calibri"/>
                    <w:szCs w:val="24"/>
                    <w:lang w:eastAsia="lt-LT"/>
                  </w:rPr>
                </w:pPr>
                <w:r>
                  <w:rPr>
                    <w:rFonts w:eastAsia="Calibri"/>
                    <w:szCs w:val="24"/>
                    <w:lang w:eastAsia="lt-LT"/>
                  </w:rPr>
                  <w:t>2</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2.2.</w:t>
                </w:r>
              </w:p>
            </w:tc>
            <w:tc>
              <w:tcPr>
                <w:tcW w:w="971" w:type="pct"/>
              </w:tcPr>
              <w:p>
                <w:pPr>
                  <w:rPr>
                    <w:rFonts w:eastAsia="Calibri"/>
                    <w:szCs w:val="24"/>
                    <w:lang w:eastAsia="lt-LT"/>
                  </w:rPr>
                </w:pPr>
                <w:r>
                  <w:rPr>
                    <w:rFonts w:eastAsia="Calibri"/>
                    <w:szCs w:val="24"/>
                    <w:lang w:eastAsia="lt-LT"/>
                  </w:rPr>
                  <w:t>Lietuvos sveikatos mokslų universiteto ligoninė Kauno klinikos</w:t>
                </w:r>
              </w:p>
            </w:tc>
            <w:tc>
              <w:tcPr>
                <w:tcW w:w="874" w:type="pct"/>
              </w:tcPr>
              <w:p>
                <w:pPr>
                  <w:jc w:val="center"/>
                  <w:rPr>
                    <w:rFonts w:eastAsia="Calibri"/>
                    <w:szCs w:val="24"/>
                    <w:lang w:eastAsia="lt-LT"/>
                  </w:rPr>
                </w:pPr>
                <w:r>
                  <w:rPr>
                    <w:rFonts w:eastAsia="Calibri"/>
                    <w:szCs w:val="24"/>
                    <w:lang w:eastAsia="lt-LT"/>
                  </w:rPr>
                  <w:t>15</w:t>
                </w:r>
              </w:p>
            </w:tc>
            <w:tc>
              <w:tcPr>
                <w:tcW w:w="777" w:type="pct"/>
              </w:tcPr>
              <w:p>
                <w:pPr>
                  <w:jc w:val="center"/>
                  <w:rPr>
                    <w:rFonts w:eastAsia="Calibri"/>
                    <w:szCs w:val="24"/>
                    <w:lang w:eastAsia="lt-LT"/>
                  </w:rPr>
                </w:pPr>
                <w:r>
                  <w:rPr>
                    <w:rFonts w:eastAsia="Calibri"/>
                    <w:szCs w:val="24"/>
                    <w:lang w:eastAsia="lt-LT"/>
                  </w:rPr>
                  <w:t>1</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eastAsia="lt-LT"/>
                  </w:rPr>
                </w:pPr>
                <w:r>
                  <w:rPr>
                    <w:rFonts w:eastAsia="Calibri"/>
                    <w:b/>
                    <w:bCs/>
                    <w:szCs w:val="24"/>
                    <w:lang w:eastAsia="lt-LT"/>
                  </w:rPr>
                  <w:t>75</w:t>
                </w:r>
              </w:p>
            </w:tc>
            <w:tc>
              <w:tcPr>
                <w:tcW w:w="777" w:type="pct"/>
                <w:shd w:val="clear" w:color="auto" w:fill="auto"/>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w:t>
                </w:r>
              </w:p>
            </w:tc>
            <w:tc>
              <w:tcPr>
                <w:tcW w:w="971" w:type="pct"/>
              </w:tcPr>
              <w:p>
                <w:pPr>
                  <w:jc w:val="both"/>
                  <w:rPr>
                    <w:rFonts w:eastAsia="Calibri"/>
                    <w:szCs w:val="24"/>
                    <w:lang w:eastAsia="lt-LT"/>
                  </w:rPr>
                </w:pPr>
                <w:r>
                  <w:rPr>
                    <w:rFonts w:eastAsia="Calibri"/>
                    <w:szCs w:val="24"/>
                    <w:lang w:eastAsia="lt-LT"/>
                  </w:rPr>
                  <w:t>Klaipėdos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3.1.</w:t>
                </w:r>
              </w:p>
            </w:tc>
            <w:tc>
              <w:tcPr>
                <w:tcW w:w="971" w:type="pct"/>
              </w:tcPr>
              <w:p>
                <w:pPr>
                  <w:rPr>
                    <w:rFonts w:eastAsia="Calibri"/>
                    <w:szCs w:val="24"/>
                    <w:lang w:eastAsia="lt-LT"/>
                  </w:rPr>
                </w:pPr>
                <w:r>
                  <w:rPr>
                    <w:rFonts w:eastAsia="Calibri"/>
                    <w:szCs w:val="24"/>
                    <w:lang w:eastAsia="lt-LT"/>
                  </w:rPr>
                  <w:t>VšĮ Klaipėdos universitetinė ligoninė</w:t>
                </w:r>
              </w:p>
            </w:tc>
            <w:tc>
              <w:tcPr>
                <w:tcW w:w="874" w:type="pct"/>
              </w:tcPr>
              <w:p>
                <w:pPr>
                  <w:jc w:val="center"/>
                  <w:rPr>
                    <w:rFonts w:eastAsia="Calibri"/>
                    <w:szCs w:val="24"/>
                    <w:lang w:val="en-US" w:eastAsia="lt-LT"/>
                  </w:rPr>
                </w:pPr>
                <w:r>
                  <w:rPr>
                    <w:rFonts w:eastAsia="Calibri"/>
                    <w:szCs w:val="24"/>
                    <w:lang w:val="en-US" w:eastAsia="lt-LT"/>
                  </w:rPr>
                  <w:t>30</w:t>
                </w:r>
              </w:p>
            </w:tc>
            <w:tc>
              <w:tcPr>
                <w:tcW w:w="777" w:type="pct"/>
              </w:tcPr>
              <w:p>
                <w:pPr>
                  <w:jc w:val="center"/>
                  <w:rPr>
                    <w:rFonts w:eastAsia="Calibri"/>
                    <w:szCs w:val="24"/>
                    <w:lang w:eastAsia="lt-LT"/>
                  </w:rPr>
                </w:pPr>
                <w:r>
                  <w:rPr>
                    <w:rFonts w:eastAsia="Calibri"/>
                    <w:szCs w:val="24"/>
                    <w:lang w:eastAsia="lt-LT"/>
                  </w:rPr>
                  <w:t>10</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3.2.</w:t>
                </w:r>
              </w:p>
            </w:tc>
            <w:tc>
              <w:tcPr>
                <w:tcW w:w="971" w:type="pct"/>
              </w:tcPr>
              <w:p>
                <w:pPr>
                  <w:rPr>
                    <w:rFonts w:eastAsia="Calibri"/>
                    <w:szCs w:val="24"/>
                    <w:lang w:eastAsia="lt-LT"/>
                  </w:rPr>
                </w:pPr>
                <w:r>
                  <w:rPr>
                    <w:rFonts w:eastAsia="Calibri"/>
                    <w:szCs w:val="24"/>
                    <w:lang w:eastAsia="lt-LT"/>
                  </w:rPr>
                  <w:t>VšĮ Klaipėdos jūrininkų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3.3.</w:t>
                </w:r>
              </w:p>
            </w:tc>
            <w:tc>
              <w:tcPr>
                <w:tcW w:w="971" w:type="pct"/>
              </w:tcPr>
              <w:p>
                <w:pPr>
                  <w:rPr>
                    <w:rFonts w:eastAsia="Calibri"/>
                    <w:szCs w:val="24"/>
                    <w:lang w:eastAsia="lt-LT"/>
                  </w:rPr>
                </w:pPr>
                <w:r>
                  <w:rPr>
                    <w:rFonts w:eastAsia="Calibri"/>
                    <w:szCs w:val="24"/>
                    <w:lang w:eastAsia="lt-LT"/>
                  </w:rPr>
                  <w:t>VšĮ Klaipėdos vaikų ligoninė</w:t>
                </w:r>
              </w:p>
            </w:tc>
            <w:tc>
              <w:tcPr>
                <w:tcW w:w="874" w:type="pct"/>
              </w:tcPr>
              <w:p>
                <w:pPr>
                  <w:jc w:val="center"/>
                  <w:rPr>
                    <w:rFonts w:eastAsia="Calibri"/>
                    <w:szCs w:val="24"/>
                    <w:lang w:val="en-US" w:eastAsia="lt-LT"/>
                  </w:rPr>
                </w:pPr>
                <w:r>
                  <w:rPr>
                    <w:rFonts w:eastAsia="Calibri"/>
                    <w:szCs w:val="24"/>
                    <w:lang w:val="en-US" w:eastAsia="lt-LT"/>
                  </w:rPr>
                  <w:t>5</w:t>
                </w:r>
              </w:p>
            </w:tc>
            <w:tc>
              <w:tcPr>
                <w:tcW w:w="777" w:type="pct"/>
              </w:tcPr>
              <w:p>
                <w:pPr>
                  <w:jc w:val="center"/>
                  <w:rPr>
                    <w:rFonts w:eastAsia="Calibri"/>
                    <w:szCs w:val="24"/>
                    <w:lang w:eastAsia="lt-LT"/>
                  </w:rPr>
                </w:pPr>
                <w:r>
                  <w:rPr>
                    <w:rFonts w:eastAsia="Calibri"/>
                    <w:szCs w:val="24"/>
                    <w:lang w:eastAsia="lt-LT"/>
                  </w:rPr>
                  <w:t>2</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rPr>
              <w:trHeight w:val="145"/>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40</w:t>
                </w:r>
              </w:p>
            </w:tc>
            <w:tc>
              <w:tcPr>
                <w:tcW w:w="777" w:type="pct"/>
              </w:tcPr>
              <w:p>
                <w:pPr>
                  <w:jc w:val="center"/>
                  <w:rPr>
                    <w:rFonts w:eastAsia="Calibri"/>
                    <w:b/>
                    <w:bCs/>
                    <w:szCs w:val="24"/>
                    <w:lang w:eastAsia="lt-LT"/>
                  </w:rPr>
                </w:pPr>
                <w:r>
                  <w:rPr>
                    <w:rFonts w:eastAsia="Calibri"/>
                    <w:b/>
                    <w:bCs/>
                    <w:szCs w:val="24"/>
                    <w:lang w:eastAsia="lt-LT"/>
                  </w:rPr>
                  <w:t>14</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w:t>
                </w:r>
              </w:p>
            </w:tc>
            <w:tc>
              <w:tcPr>
                <w:tcW w:w="971" w:type="pct"/>
              </w:tcPr>
              <w:p>
                <w:pPr>
                  <w:rPr>
                    <w:rFonts w:eastAsia="Calibri"/>
                    <w:szCs w:val="24"/>
                    <w:lang w:eastAsia="lt-LT"/>
                  </w:rPr>
                </w:pPr>
                <w:r>
                  <w:rPr>
                    <w:rFonts w:eastAsia="Calibri"/>
                    <w:szCs w:val="24"/>
                    <w:lang w:eastAsia="lt-LT"/>
                  </w:rPr>
                  <w:t>Šiaulių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4.1.</w:t>
                </w:r>
              </w:p>
            </w:tc>
            <w:tc>
              <w:tcPr>
                <w:tcW w:w="971" w:type="pct"/>
              </w:tcPr>
              <w:p>
                <w:pPr>
                  <w:rPr>
                    <w:rFonts w:eastAsia="Calibri"/>
                    <w:szCs w:val="24"/>
                    <w:lang w:eastAsia="lt-LT"/>
                  </w:rPr>
                </w:pPr>
                <w:r>
                  <w:rPr>
                    <w:rFonts w:eastAsia="Calibri"/>
                    <w:szCs w:val="24"/>
                    <w:lang w:eastAsia="lt-LT"/>
                  </w:rPr>
                  <w:t>VšĮ Respublikinė Šiaulių ligoninė</w:t>
                </w:r>
              </w:p>
            </w:tc>
            <w:tc>
              <w:tcPr>
                <w:tcW w:w="874" w:type="pct"/>
              </w:tcPr>
              <w:p>
                <w:pPr>
                  <w:jc w:val="center"/>
                  <w:rPr>
                    <w:rFonts w:eastAsia="Calibri"/>
                    <w:szCs w:val="24"/>
                    <w:lang w:val="en-US" w:eastAsia="lt-LT"/>
                  </w:rPr>
                </w:pPr>
                <w:r>
                  <w:rPr>
                    <w:rFonts w:eastAsia="Calibri"/>
                    <w:szCs w:val="24"/>
                    <w:lang w:val="en-US" w:eastAsia="lt-LT"/>
                  </w:rPr>
                  <w:t>20</w:t>
                </w:r>
              </w:p>
            </w:tc>
            <w:tc>
              <w:tcPr>
                <w:tcW w:w="777" w:type="pct"/>
              </w:tcPr>
              <w:p>
                <w:pPr>
                  <w:jc w:val="center"/>
                  <w:rPr>
                    <w:rFonts w:eastAsia="Calibri"/>
                    <w:szCs w:val="24"/>
                    <w:lang w:eastAsia="lt-LT"/>
                  </w:rPr>
                </w:pPr>
                <w:r>
                  <w:rPr>
                    <w:rFonts w:eastAsia="Calibri"/>
                    <w:szCs w:val="24"/>
                    <w:lang w:eastAsia="lt-LT"/>
                  </w:rPr>
                  <w:t>3</w:t>
                </w:r>
              </w:p>
            </w:tc>
            <w:tc>
              <w:tcPr>
                <w:tcW w:w="825" w:type="pct"/>
                <w:vMerge w:val="restart"/>
              </w:tcPr>
              <w:p>
                <w:pPr>
                  <w:jc w:val="center"/>
                  <w:rPr>
                    <w:rFonts w:eastAsia="Calibri"/>
                    <w:b/>
                    <w:bCs/>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243" w:type="pct"/>
              </w:tcPr>
              <w:p>
                <w:pPr>
                  <w:rPr>
                    <w:rFonts w:eastAsia="Calibri"/>
                    <w:szCs w:val="24"/>
                    <w:lang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tcPr>
              <w:p>
                <w:pPr>
                  <w:jc w:val="center"/>
                  <w:rPr>
                    <w:rFonts w:eastAsia="Calibri"/>
                    <w:b/>
                    <w:bCs/>
                    <w:szCs w:val="24"/>
                    <w:lang w:val="en-US" w:eastAsia="lt-LT"/>
                  </w:rPr>
                </w:pPr>
                <w:r>
                  <w:rPr>
                    <w:rFonts w:eastAsia="Calibri"/>
                    <w:b/>
                    <w:bCs/>
                    <w:szCs w:val="24"/>
                    <w:lang w:val="en-US" w:eastAsia="lt-LT"/>
                  </w:rPr>
                  <w:t>20</w:t>
                </w:r>
              </w:p>
            </w:tc>
            <w:tc>
              <w:tcPr>
                <w:tcW w:w="777" w:type="pct"/>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b/>
                    <w:bCs/>
                    <w:szCs w:val="24"/>
                    <w:lang w:eastAsia="lt-LT"/>
                  </w:rPr>
                </w:pPr>
              </w:p>
            </w:tc>
            <w:tc>
              <w:tcPr>
                <w:tcW w:w="1311" w:type="pct"/>
                <w:vMerge/>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w:t>
                </w:r>
              </w:p>
            </w:tc>
            <w:tc>
              <w:tcPr>
                <w:tcW w:w="971" w:type="pct"/>
              </w:tcPr>
              <w:p>
                <w:pPr>
                  <w:rPr>
                    <w:rFonts w:eastAsia="Calibri"/>
                    <w:szCs w:val="24"/>
                    <w:lang w:eastAsia="lt-LT"/>
                  </w:rPr>
                </w:pPr>
                <w:r>
                  <w:rPr>
                    <w:rFonts w:eastAsia="Calibri"/>
                    <w:szCs w:val="24"/>
                    <w:lang w:eastAsia="lt-LT"/>
                  </w:rPr>
                  <w:t>Panevėžio regionas</w:t>
                </w:r>
              </w:p>
            </w:tc>
            <w:tc>
              <w:tcPr>
                <w:tcW w:w="874" w:type="pct"/>
              </w:tcPr>
              <w:p>
                <w:pPr>
                  <w:jc w:val="center"/>
                  <w:rPr>
                    <w:rFonts w:eastAsia="Calibri"/>
                    <w:b/>
                    <w:bCs/>
                    <w:szCs w:val="24"/>
                    <w:lang w:val="en-US" w:eastAsia="lt-LT"/>
                  </w:rPr>
                </w:pPr>
              </w:p>
            </w:tc>
            <w:tc>
              <w:tcPr>
                <w:tcW w:w="777" w:type="pct"/>
              </w:tcPr>
              <w:p>
                <w:pPr>
                  <w:jc w:val="center"/>
                  <w:rPr>
                    <w:rFonts w:eastAsia="Calibri"/>
                    <w:b/>
                    <w:bCs/>
                    <w:szCs w:val="24"/>
                    <w:lang w:eastAsia="lt-LT"/>
                  </w:rPr>
                </w:pPr>
              </w:p>
            </w:tc>
            <w:tc>
              <w:tcPr>
                <w:tcW w:w="825" w:type="pct"/>
              </w:tcPr>
              <w:p>
                <w:pPr>
                  <w:jc w:val="center"/>
                  <w:rPr>
                    <w:rFonts w:eastAsia="Calibri"/>
                    <w:b/>
                    <w:bCs/>
                    <w:szCs w:val="24"/>
                    <w:lang w:eastAsia="lt-LT"/>
                  </w:rPr>
                </w:pPr>
              </w:p>
            </w:tc>
            <w:tc>
              <w:tcPr>
                <w:tcW w:w="1311" w:type="pct"/>
              </w:tcPr>
              <w:p>
                <w:pPr>
                  <w:jc w:val="center"/>
                  <w:rPr>
                    <w:rFonts w:eastAsia="Calibri"/>
                    <w:b/>
                    <w:bCs/>
                    <w:szCs w:val="24"/>
                    <w:lang w:eastAsia="lt-LT"/>
                  </w:rPr>
                </w:pPr>
              </w:p>
            </w:tc>
          </w:tr>
          <w:tr>
            <w:tc>
              <w:tcPr>
                <w:tcW w:w="243" w:type="pct"/>
              </w:tcPr>
              <w:p>
                <w:pPr>
                  <w:rPr>
                    <w:rFonts w:eastAsia="Calibri"/>
                    <w:szCs w:val="24"/>
                    <w:lang w:val="en-US" w:eastAsia="lt-LT"/>
                  </w:rPr>
                </w:pPr>
                <w:r>
                  <w:rPr>
                    <w:rFonts w:eastAsia="Calibri"/>
                    <w:szCs w:val="24"/>
                    <w:lang w:val="en-US" w:eastAsia="lt-LT"/>
                  </w:rPr>
                  <w:t>5.1.</w:t>
                </w:r>
              </w:p>
            </w:tc>
            <w:tc>
              <w:tcPr>
                <w:tcW w:w="971" w:type="pct"/>
              </w:tcPr>
              <w:p>
                <w:pPr>
                  <w:rPr>
                    <w:rFonts w:eastAsia="Calibri"/>
                    <w:szCs w:val="24"/>
                    <w:lang w:eastAsia="lt-LT"/>
                  </w:rPr>
                </w:pPr>
                <w:r>
                  <w:rPr>
                    <w:rFonts w:eastAsia="Calibri"/>
                    <w:szCs w:val="24"/>
                    <w:lang w:eastAsia="lt-LT"/>
                  </w:rPr>
                  <w:t>VšĮ Respublikinė Panevėžio ligoninė</w:t>
                </w:r>
              </w:p>
            </w:tc>
            <w:tc>
              <w:tcPr>
                <w:tcW w:w="874" w:type="pct"/>
              </w:tcPr>
              <w:p>
                <w:pPr>
                  <w:jc w:val="center"/>
                  <w:rPr>
                    <w:rFonts w:eastAsia="Calibri"/>
                    <w:szCs w:val="24"/>
                    <w:lang w:val="en-US" w:eastAsia="lt-LT"/>
                  </w:rPr>
                </w:pPr>
                <w:r>
                  <w:rPr>
                    <w:rFonts w:eastAsia="Calibri"/>
                    <w:szCs w:val="24"/>
                    <w:lang w:val="en-US" w:eastAsia="lt-LT"/>
                  </w:rPr>
                  <w:t>50</w:t>
                </w:r>
              </w:p>
              <w:p>
                <w:pPr>
                  <w:jc w:val="center"/>
                  <w:rPr>
                    <w:rFonts w:eastAsia="Calibri"/>
                    <w:szCs w:val="24"/>
                    <w:lang w:val="en-US" w:eastAsia="lt-LT"/>
                  </w:rPr>
                </w:pPr>
              </w:p>
            </w:tc>
            <w:tc>
              <w:tcPr>
                <w:tcW w:w="777" w:type="pct"/>
              </w:tcPr>
              <w:p>
                <w:pPr>
                  <w:jc w:val="center"/>
                  <w:rPr>
                    <w:rFonts w:eastAsia="Calibri"/>
                    <w:szCs w:val="24"/>
                    <w:lang w:val="en-US" w:eastAsia="lt-LT"/>
                  </w:rPr>
                </w:pPr>
                <w:r>
                  <w:rPr>
                    <w:rFonts w:eastAsia="Calibri"/>
                    <w:szCs w:val="24"/>
                    <w:lang w:val="en-US" w:eastAsia="lt-LT"/>
                  </w:rPr>
                  <w:t>3</w:t>
                </w:r>
              </w:p>
            </w:tc>
            <w:tc>
              <w:tcPr>
                <w:tcW w:w="825" w:type="pct"/>
                <w:vMerge w:val="restart"/>
              </w:tcPr>
              <w:p>
                <w:pPr>
                  <w:jc w:val="center"/>
                  <w:rPr>
                    <w:rFonts w:eastAsia="Calibri"/>
                    <w:szCs w:val="24"/>
                    <w:lang w:eastAsia="lt-LT"/>
                  </w:rPr>
                </w:pPr>
                <w:r>
                  <w:rPr>
                    <w:rFonts w:eastAsia="Calibri"/>
                    <w:szCs w:val="24"/>
                    <w:lang w:eastAsia="lt-LT"/>
                  </w:rPr>
                  <w:t>Pagal poreikį.</w:t>
                </w:r>
              </w:p>
            </w:tc>
            <w:tc>
              <w:tcPr>
                <w:tcW w:w="1311" w:type="pct"/>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243" w:type="pct"/>
              </w:tcPr>
              <w:p>
                <w:pPr>
                  <w:rPr>
                    <w:rFonts w:eastAsia="Calibri"/>
                    <w:szCs w:val="24"/>
                    <w:lang w:val="en-US" w:eastAsia="lt-LT"/>
                  </w:rPr>
                </w:pPr>
                <w:r>
                  <w:rPr>
                    <w:rFonts w:eastAsia="Calibri"/>
                    <w:szCs w:val="24"/>
                    <w:lang w:val="en-US" w:eastAsia="lt-LT"/>
                  </w:rPr>
                  <w:t xml:space="preserve">5.2. </w:t>
                </w:r>
              </w:p>
            </w:tc>
            <w:tc>
              <w:tcPr>
                <w:tcW w:w="971" w:type="pct"/>
              </w:tcPr>
              <w:p>
                <w:pPr>
                  <w:rPr>
                    <w:rFonts w:eastAsia="Calibri"/>
                    <w:szCs w:val="24"/>
                    <w:lang w:eastAsia="lt-LT"/>
                  </w:rPr>
                </w:pPr>
                <w:r>
                  <w:rPr>
                    <w:rFonts w:eastAsia="Calibri"/>
                    <w:szCs w:val="24"/>
                    <w:lang w:eastAsia="lt-LT"/>
                  </w:rPr>
                  <w:t>VšĮ Utenos ligoninė</w:t>
                </w:r>
              </w:p>
            </w:tc>
            <w:tc>
              <w:tcPr>
                <w:tcW w:w="874" w:type="pct"/>
              </w:tcPr>
              <w:p>
                <w:pPr>
                  <w:jc w:val="center"/>
                  <w:rPr>
                    <w:rFonts w:eastAsia="Calibri"/>
                    <w:szCs w:val="24"/>
                    <w:lang w:val="en-US" w:eastAsia="lt-LT"/>
                  </w:rPr>
                </w:pPr>
                <w:r>
                  <w:rPr>
                    <w:rFonts w:eastAsia="Calibri"/>
                    <w:szCs w:val="24"/>
                    <w:lang w:val="en-US" w:eastAsia="lt-LT"/>
                  </w:rPr>
                  <w:t>15</w:t>
                </w:r>
              </w:p>
            </w:tc>
            <w:tc>
              <w:tcPr>
                <w:tcW w:w="777" w:type="pct"/>
              </w:tcPr>
              <w:p>
                <w:pPr>
                  <w:jc w:val="center"/>
                  <w:rPr>
                    <w:rFonts w:eastAsia="Calibri"/>
                    <w:szCs w:val="24"/>
                    <w:lang w:val="en-US" w:eastAsia="lt-LT"/>
                  </w:rPr>
                </w:pPr>
                <w:r>
                  <w:rPr>
                    <w:rFonts w:eastAsia="Calibri"/>
                    <w:szCs w:val="24"/>
                    <w:lang w:val="en-US" w:eastAsia="lt-LT"/>
                  </w:rPr>
                  <w:t>0</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90"/>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 regione</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65</w:t>
                </w:r>
              </w:p>
            </w:tc>
            <w:tc>
              <w:tcPr>
                <w:tcW w:w="777" w:type="pct"/>
                <w:shd w:val="clear" w:color="auto" w:fill="auto"/>
              </w:tcPr>
              <w:p>
                <w:pPr>
                  <w:jc w:val="center"/>
                  <w:rPr>
                    <w:rFonts w:eastAsia="Calibri"/>
                    <w:b/>
                    <w:bCs/>
                    <w:szCs w:val="24"/>
                    <w:lang w:eastAsia="lt-LT"/>
                  </w:rPr>
                </w:pPr>
                <w:r>
                  <w:rPr>
                    <w:rFonts w:eastAsia="Calibri"/>
                    <w:b/>
                    <w:bCs/>
                    <w:szCs w:val="24"/>
                    <w:lang w:eastAsia="lt-LT"/>
                  </w:rPr>
                  <w:t>3</w:t>
                </w:r>
              </w:p>
            </w:tc>
            <w:tc>
              <w:tcPr>
                <w:tcW w:w="825" w:type="pct"/>
                <w:vMerge/>
              </w:tcPr>
              <w:p>
                <w:pPr>
                  <w:jc w:val="center"/>
                  <w:rPr>
                    <w:rFonts w:eastAsia="Calibri"/>
                    <w:szCs w:val="24"/>
                    <w:lang w:eastAsia="lt-LT"/>
                  </w:rPr>
                </w:pPr>
              </w:p>
            </w:tc>
            <w:tc>
              <w:tcPr>
                <w:tcW w:w="1311" w:type="pct"/>
                <w:vMerge/>
              </w:tcPr>
              <w:p>
                <w:pPr>
                  <w:jc w:val="center"/>
                  <w:rPr>
                    <w:rFonts w:eastAsia="Calibri"/>
                    <w:szCs w:val="24"/>
                    <w:lang w:eastAsia="lt-LT"/>
                  </w:rPr>
                </w:pPr>
              </w:p>
            </w:tc>
          </w:tr>
          <w:tr>
            <w:trPr>
              <w:trHeight w:val="197"/>
            </w:trPr>
            <w:tc>
              <w:tcPr>
                <w:tcW w:w="243" w:type="pct"/>
              </w:tcPr>
              <w:p>
                <w:pPr>
                  <w:rPr>
                    <w:rFonts w:eastAsia="Calibri"/>
                    <w:szCs w:val="24"/>
                    <w:lang w:val="en-US" w:eastAsia="lt-LT"/>
                  </w:rPr>
                </w:pPr>
              </w:p>
            </w:tc>
            <w:tc>
              <w:tcPr>
                <w:tcW w:w="971" w:type="pct"/>
              </w:tcPr>
              <w:p>
                <w:pPr>
                  <w:jc w:val="right"/>
                  <w:rPr>
                    <w:rFonts w:eastAsia="Calibri"/>
                    <w:szCs w:val="24"/>
                    <w:lang w:eastAsia="lt-LT"/>
                  </w:rPr>
                </w:pPr>
                <w:r>
                  <w:rPr>
                    <w:rFonts w:eastAsia="Calibri"/>
                    <w:szCs w:val="24"/>
                    <w:lang w:eastAsia="lt-LT"/>
                  </w:rPr>
                  <w:t>Iš viso</w:t>
                </w:r>
              </w:p>
            </w:tc>
            <w:tc>
              <w:tcPr>
                <w:tcW w:w="874" w:type="pct"/>
                <w:shd w:val="clear" w:color="auto" w:fill="auto"/>
              </w:tcPr>
              <w:p>
                <w:pPr>
                  <w:jc w:val="center"/>
                  <w:rPr>
                    <w:rFonts w:eastAsia="Calibri"/>
                    <w:b/>
                    <w:bCs/>
                    <w:szCs w:val="24"/>
                    <w:lang w:val="en-US" w:eastAsia="lt-LT"/>
                  </w:rPr>
                </w:pPr>
                <w:r>
                  <w:rPr>
                    <w:rFonts w:eastAsia="Calibri"/>
                    <w:b/>
                    <w:bCs/>
                    <w:szCs w:val="24"/>
                    <w:lang w:val="en-US" w:eastAsia="lt-LT"/>
                  </w:rPr>
                  <w:t>265</w:t>
                </w:r>
              </w:p>
            </w:tc>
            <w:tc>
              <w:tcPr>
                <w:tcW w:w="777" w:type="pct"/>
                <w:shd w:val="clear" w:color="auto" w:fill="auto"/>
              </w:tcPr>
              <w:p>
                <w:pPr>
                  <w:jc w:val="center"/>
                  <w:rPr>
                    <w:rFonts w:eastAsia="Calibri"/>
                    <w:b/>
                    <w:bCs/>
                    <w:szCs w:val="24"/>
                    <w:lang w:eastAsia="lt-LT"/>
                  </w:rPr>
                </w:pPr>
                <w:r>
                  <w:rPr>
                    <w:rFonts w:eastAsia="Calibri"/>
                    <w:b/>
                    <w:bCs/>
                    <w:szCs w:val="24"/>
                    <w:lang w:eastAsia="lt-LT"/>
                  </w:rPr>
                  <w:t>29</w:t>
                </w:r>
              </w:p>
            </w:tc>
            <w:tc>
              <w:tcPr>
                <w:tcW w:w="825" w:type="pct"/>
              </w:tcPr>
              <w:p>
                <w:pPr>
                  <w:jc w:val="center"/>
                  <w:rPr>
                    <w:rFonts w:eastAsia="Calibri"/>
                    <w:szCs w:val="24"/>
                    <w:lang w:eastAsia="lt-LT"/>
                  </w:rPr>
                </w:pPr>
              </w:p>
            </w:tc>
            <w:tc>
              <w:tcPr>
                <w:tcW w:w="1311" w:type="pct"/>
              </w:tcPr>
              <w:p>
                <w:pPr>
                  <w:jc w:val="center"/>
                  <w:rPr>
                    <w:rFonts w:eastAsia="Calibri"/>
                    <w:szCs w:val="24"/>
                    <w:lang w:eastAsia="lt-LT"/>
                  </w:rPr>
                </w:pPr>
              </w:p>
            </w:tc>
          </w:tr>
        </w:tbl>
        <w:p>
          <w:pPr>
            <w:ind w:left="720"/>
            <w:jc w:val="center"/>
            <w:rPr>
              <w:szCs w:val="24"/>
            </w:rPr>
          </w:pPr>
          <w:r>
            <w:rPr>
              <w:szCs w:val="24"/>
            </w:rPr>
            <w:t>_____________</w:t>
          </w:r>
        </w:p>
        <w:p>
          <w:pPr>
            <w:tabs>
              <w:tab w:val="right" w:pos="9356"/>
            </w:tabs>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4856e022ba11edb4cae1b158f98ea5">
            <w:r w:rsidRPr="00532B9F">
              <w:rPr>
                <w:rFonts w:ascii="Times New Roman" w:eastAsia="MS Mincho" w:hAnsi="Times New Roman"/>
                <w:sz w:val="20"/>
                <w:i/>
                <w:iCs/>
                <w:color w:val="0000FF" w:themeColor="hyperlink"/>
                <w:u w:val="single"/>
              </w:rPr>
              <w:t>V-1373</w:t>
            </w:r>
          </w:fldSimple>
          <w:r>
            <w:rPr>
              <w:rFonts w:ascii="Times New Roman" w:eastAsia="MS Mincho" w:hAnsi="Times New Roman"/>
              <w:sz w:val="20"/>
              <w:i/>
              <w:iCs/>
            </w:rPr>
            <w:t>,
2022-08-23,
paskelbta TAR 2022-08-23, i. k. 2022-17417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d2fa9038b411edbc04912defe897d1">
            <w:r w:rsidRPr="00532B9F">
              <w:rPr>
                <w:rFonts w:ascii="Times New Roman" w:eastAsia="MS Mincho" w:hAnsi="Times New Roman"/>
                <w:sz w:val="20"/>
                <w:i/>
                <w:iCs/>
                <w:color w:val="0000FF" w:themeColor="hyperlink"/>
                <w:u w:val="single"/>
              </w:rPr>
              <w:t>V-1469</w:t>
            </w:r>
          </w:fldSimple>
          <w:r>
            <w:rPr>
              <w:rFonts w:ascii="Times New Roman" w:eastAsia="MS Mincho" w:hAnsi="Times New Roman"/>
              <w:sz w:val="20"/>
              <w:i/>
              <w:iCs/>
            </w:rPr>
            <w:t>,
2022-09-20,
paskelbta TAR 2022-09-20, i. k. 2022-19155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9dc6045ff11edbc04912defe897d1">
            <w:r w:rsidRPr="00532B9F">
              <w:rPr>
                <w:rFonts w:ascii="Times New Roman" w:eastAsia="MS Mincho" w:hAnsi="Times New Roman"/>
                <w:sz w:val="20"/>
                <w:i/>
                <w:iCs/>
                <w:color w:val="0000FF" w:themeColor="hyperlink"/>
                <w:u w:val="single"/>
              </w:rPr>
              <w:t>V-1533</w:t>
            </w:r>
          </w:fldSimple>
          <w:r>
            <w:rPr>
              <w:rFonts w:ascii="Times New Roman" w:eastAsia="MS Mincho" w:hAnsi="Times New Roman"/>
              <w:sz w:val="20"/>
              <w:i/>
              <w:iCs/>
            </w:rPr>
            <w:t>,
2022-10-07,
paskelbta TAR 2022-10-07, i. k. 2022-20534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b47e032212fd4b2ca162eaf2f581119a"/>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b47e032212fd4b2ca162eaf2f581119a"/>
              <w:lock w:val="sdtLocked"/>
              <w:richText/>
            </w:sdtPr>
            <w:sdtContent>
              <w:r>
                <w:t>4</w:t>
              </w:r>
            </w:sdtContent>
          </w:sdt>
          <w:r>
            <w:t xml:space="preserve"> priedas</w:t>
          </w:r>
        </w:p>
        <w:p>
          <w:pPr>
            <w:ind w:right="-1"/>
            <w:jc w:val="both"/>
            <w:rPr>
              <w:color w:val="000000"/>
              <w:lang w:eastAsia="lt-LT"/>
            </w:rPr>
          </w:pPr>
        </w:p>
        <w:p>
          <w:pPr>
            <w:ind w:right="-1"/>
            <w:jc w:val="both"/>
            <w:rPr>
              <w:color w:val="000000"/>
              <w:lang w:eastAsia="lt-LT"/>
            </w:rPr>
          </w:pPr>
        </w:p>
        <w:p>
          <w:pPr>
            <w:jc w:val="center"/>
            <w:rPr>
              <w:b/>
              <w:bCs/>
            </w:rPr>
          </w:pPr>
          <w:sdt>
            <w:sdtPr>
              <w:alias w:val="Pavadinimas"/>
              <w:tag w:val="title_b47e032212fd4b2ca162eaf2f581119a"/>
              <w:lock w:val="sdtLocked"/>
              <w:richText/>
            </w:sdtPr>
            <w:sdtContent>
              <w:r>
                <w:rPr>
                  <w:b/>
                  <w:bCs/>
                </w:rPr>
                <w:t>ASMENS SVEIKATOS PRIEŽIŪROS ĮSTAIGŲ TEIKIAMI DUOMENYS</w:t>
              </w:r>
            </w:sdtContent>
          </w:sdt>
        </w:p>
        <w:p>
          <w:pPr>
            <w:rPr>
              <w:lang w:eastAsia="en-GB"/>
            </w:rPr>
          </w:pPr>
        </w:p>
        <w:tbl>
          <w:tblPr>
            <w:tblW w:w="9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053"/>
            <w:gridCol w:w="5387"/>
            <w:gridCol w:w="1909"/>
          </w:tblGrid>
          <w:tr>
            <w:trPr>
              <w:trHeight w:val="300"/>
            </w:trPr>
            <w:tc>
              <w:tcPr>
                <w:tcW w:w="704" w:type="dxa"/>
                <w:shd w:val="clear" w:color="auto" w:fill="auto"/>
                <w:noWrap/>
              </w:tcPr>
              <w:p>
                <w:pPr>
                  <w:jc w:val="center"/>
                  <w:rPr>
                    <w:b/>
                    <w:bCs/>
                    <w:szCs w:val="24"/>
                    <w:lang w:eastAsia="lt-LT"/>
                  </w:rPr>
                </w:pPr>
                <w:r>
                  <w:rPr>
                    <w:b/>
                    <w:bCs/>
                    <w:szCs w:val="24"/>
                    <w:lang w:eastAsia="lt-LT"/>
                  </w:rPr>
                  <w:t>Eil. Nr.</w:t>
                </w:r>
              </w:p>
            </w:tc>
            <w:tc>
              <w:tcPr>
                <w:tcW w:w="2053" w:type="dxa"/>
                <w:shd w:val="clear" w:color="auto" w:fill="auto"/>
              </w:tcPr>
              <w:p>
                <w:pPr>
                  <w:jc w:val="center"/>
                  <w:rPr>
                    <w:b/>
                    <w:bCs/>
                    <w:szCs w:val="24"/>
                    <w:lang w:eastAsia="lt-LT"/>
                  </w:rPr>
                </w:pPr>
                <w:r>
                  <w:rPr>
                    <w:b/>
                    <w:bCs/>
                    <w:szCs w:val="24"/>
                    <w:lang w:eastAsia="lt-LT"/>
                  </w:rPr>
                  <w:t>Teikiami duomenys</w:t>
                </w:r>
              </w:p>
            </w:tc>
            <w:tc>
              <w:tcPr>
                <w:tcW w:w="5387" w:type="dxa"/>
                <w:shd w:val="clear" w:color="auto" w:fill="auto"/>
                <w:noWrap/>
              </w:tcPr>
              <w:p>
                <w:pPr>
                  <w:jc w:val="center"/>
                  <w:rPr>
                    <w:b/>
                    <w:bCs/>
                    <w:color w:val="000000"/>
                    <w:szCs w:val="24"/>
                    <w:lang w:eastAsia="lt-LT"/>
                  </w:rPr>
                </w:pPr>
                <w:r>
                  <w:rPr>
                    <w:b/>
                    <w:bCs/>
                    <w:color w:val="000000"/>
                    <w:szCs w:val="24"/>
                    <w:lang w:eastAsia="lt-LT"/>
                  </w:rPr>
                  <w:t>Teikiamų duomenų paaiškinimas</w:t>
                </w:r>
              </w:p>
            </w:tc>
            <w:tc>
              <w:tcPr>
                <w:tcW w:w="1909" w:type="dxa"/>
              </w:tcPr>
              <w:p>
                <w:pPr>
                  <w:jc w:val="center"/>
                  <w:rPr>
                    <w:b/>
                    <w:bCs/>
                    <w:color w:val="000000"/>
                    <w:szCs w:val="24"/>
                    <w:lang w:eastAsia="lt-LT"/>
                  </w:rPr>
                </w:pPr>
                <w:r>
                  <w:rPr>
                    <w:b/>
                    <w:bCs/>
                    <w:color w:val="000000"/>
                    <w:szCs w:val="24"/>
                    <w:lang w:eastAsia="lt-LT"/>
                  </w:rPr>
                  <w:t>Duomenų pateikimo dažnumas</w:t>
                </w:r>
              </w:p>
            </w:tc>
          </w:tr>
          <w:tr>
            <w:trPr>
              <w:trHeight w:val="622"/>
            </w:trPr>
            <w:tc>
              <w:tcPr>
                <w:tcW w:w="10053" w:type="dxa"/>
                <w:gridSpan w:val="4"/>
                <w:shd w:val="clear" w:color="auto" w:fill="D9D9D9" w:themeFill="background1" w:themeFillShade="D9"/>
                <w:noWrap/>
                <w:vAlign w:val="center"/>
                <w:hideMark/>
              </w:tcPr>
              <w:p>
                <w:pPr>
                  <w:jc w:val="center"/>
                  <w:rPr>
                    <w:color w:val="000000"/>
                    <w:szCs w:val="24"/>
                    <w:lang w:eastAsia="lt-LT"/>
                  </w:rPr>
                </w:pPr>
                <w:r>
                  <w:rPr>
                    <w:b/>
                    <w:bCs/>
                    <w:szCs w:val="24"/>
                    <w:lang w:eastAsia="lt-LT"/>
                  </w:rPr>
                  <w:t>Bendra informacija apie ASPĮ užimtumą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w:t>
                </w:r>
              </w:p>
            </w:tc>
            <w:tc>
              <w:tcPr>
                <w:tcW w:w="2053" w:type="dxa"/>
                <w:shd w:val="clear" w:color="auto" w:fill="auto"/>
                <w:hideMark/>
              </w:tcPr>
              <w:p>
                <w:pPr>
                  <w:rPr>
                    <w:szCs w:val="24"/>
                    <w:lang w:eastAsia="lt-LT"/>
                  </w:rPr>
                </w:pPr>
                <w:r>
                  <w:rPr>
                    <w:szCs w:val="24"/>
                    <w:lang w:eastAsia="lt-LT"/>
                  </w:rPr>
                  <w:t>Stacionaro aktyvaus gydymo lovų skaičius</w:t>
                </w:r>
              </w:p>
            </w:tc>
            <w:tc>
              <w:tcPr>
                <w:tcW w:w="5387" w:type="dxa"/>
                <w:shd w:val="clear" w:color="auto" w:fill="auto"/>
                <w:hideMark/>
              </w:tcPr>
              <w:p>
                <w:pPr>
                  <w:rPr>
                    <w:szCs w:val="24"/>
                    <w:lang w:eastAsia="lt-LT"/>
                  </w:rPr>
                </w:pPr>
                <w:r>
                  <w:rPr>
                    <w:szCs w:val="24"/>
                    <w:lang w:eastAsia="lt-LT"/>
                  </w:rPr>
                  <w:t>Visų asmens sveikatos priežiūros įstaigoje (toliau – ASPĮ) esančių stacionaro aktyvaus gydymo lovų (išskyrus skirtas slaugos, reabilitacijos, tuberkuliozės ir psichiatrijos pacientams), kurios yra arba gali būti naudojamos paslaugoms teikti,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2.</w:t>
                </w:r>
              </w:p>
            </w:tc>
            <w:tc>
              <w:tcPr>
                <w:tcW w:w="2053" w:type="dxa"/>
                <w:shd w:val="clear" w:color="auto" w:fill="auto"/>
                <w:hideMark/>
              </w:tcPr>
              <w:p>
                <w:pPr>
                  <w:rPr>
                    <w:szCs w:val="24"/>
                    <w:lang w:eastAsia="lt-LT"/>
                  </w:rPr>
                </w:pPr>
                <w:r>
                  <w:rPr>
                    <w:szCs w:val="24"/>
                    <w:lang w:eastAsia="lt-LT"/>
                  </w:rPr>
                  <w:t>Užimtų stacionaro aktyvaus gydymo lovų skaičius</w:t>
                </w:r>
              </w:p>
            </w:tc>
            <w:tc>
              <w:tcPr>
                <w:tcW w:w="5387" w:type="dxa"/>
                <w:shd w:val="clear" w:color="auto" w:fill="auto"/>
                <w:hideMark/>
              </w:tcPr>
              <w:p>
                <w:pPr>
                  <w:rPr>
                    <w:szCs w:val="24"/>
                    <w:lang w:eastAsia="lt-LT"/>
                  </w:rPr>
                </w:pPr>
                <w:r>
                  <w:rPr>
                    <w:szCs w:val="24"/>
                    <w:lang w:eastAsia="lt-LT"/>
                  </w:rPr>
                  <w:t>Bendras užimtų stacionaro aktyvaus gydymo lovų (išskyrus slaugos, reabilitacijos, tuberkuliozės ir psichiatrijos)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3.</w:t>
                </w:r>
              </w:p>
            </w:tc>
            <w:tc>
              <w:tcPr>
                <w:tcW w:w="2053" w:type="dxa"/>
                <w:shd w:val="clear" w:color="auto" w:fill="auto"/>
                <w:hideMark/>
              </w:tcPr>
              <w:p>
                <w:pPr>
                  <w:rPr>
                    <w:szCs w:val="24"/>
                    <w:lang w:eastAsia="lt-LT"/>
                  </w:rPr>
                </w:pPr>
                <w:r>
                  <w:rPr>
                    <w:szCs w:val="24"/>
                    <w:lang w:eastAsia="lt-LT"/>
                  </w:rPr>
                  <w:t>Reanimacijos intensyviosios terapijos (toliau – RITS) lovų skaičius</w:t>
                </w:r>
              </w:p>
            </w:tc>
            <w:tc>
              <w:tcPr>
                <w:tcW w:w="5387" w:type="dxa"/>
                <w:shd w:val="clear" w:color="auto" w:fill="auto"/>
                <w:hideMark/>
              </w:tcPr>
              <w:p>
                <w:pPr>
                  <w:rPr>
                    <w:szCs w:val="24"/>
                    <w:lang w:eastAsia="lt-LT"/>
                  </w:rPr>
                </w:pPr>
                <w:r>
                  <w:rPr>
                    <w:szCs w:val="24"/>
                    <w:lang w:eastAsia="lt-LT"/>
                  </w:rPr>
                  <w:t>Visų ASPĮ esančių RITS lovų skaičius (bendras vaikų ir suaugusiųjų lovų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300"/>
            </w:trPr>
            <w:tc>
              <w:tcPr>
                <w:tcW w:w="704" w:type="dxa"/>
                <w:shd w:val="clear" w:color="auto" w:fill="auto"/>
                <w:noWrap/>
              </w:tcPr>
              <w:p>
                <w:pPr>
                  <w:jc w:val="center"/>
                  <w:rPr>
                    <w:color w:val="000000"/>
                    <w:szCs w:val="24"/>
                    <w:lang w:eastAsia="lt-LT"/>
                  </w:rPr>
                </w:pPr>
                <w:r>
                  <w:rPr>
                    <w:color w:val="000000"/>
                    <w:szCs w:val="24"/>
                    <w:lang w:eastAsia="lt-LT"/>
                  </w:rPr>
                  <w:t>4.</w:t>
                </w:r>
              </w:p>
            </w:tc>
            <w:tc>
              <w:tcPr>
                <w:tcW w:w="2053" w:type="dxa"/>
                <w:shd w:val="clear" w:color="auto" w:fill="auto"/>
                <w:hideMark/>
              </w:tcPr>
              <w:p>
                <w:pPr>
                  <w:rPr>
                    <w:szCs w:val="24"/>
                    <w:lang w:eastAsia="lt-LT"/>
                  </w:rPr>
                </w:pPr>
                <w:r>
                  <w:rPr>
                    <w:szCs w:val="24"/>
                    <w:lang w:eastAsia="lt-LT"/>
                  </w:rPr>
                  <w:t>Užimtų lovų skaičius RITS</w:t>
                </w:r>
              </w:p>
            </w:tc>
            <w:tc>
              <w:tcPr>
                <w:tcW w:w="5387" w:type="dxa"/>
                <w:shd w:val="clear" w:color="auto" w:fill="auto"/>
                <w:hideMark/>
              </w:tcPr>
              <w:p>
                <w:pPr>
                  <w:rPr>
                    <w:szCs w:val="24"/>
                    <w:lang w:eastAsia="lt-LT"/>
                  </w:rPr>
                </w:pPr>
                <w:r>
                  <w:rPr>
                    <w:szCs w:val="24"/>
                    <w:lang w:eastAsia="lt-LT"/>
                  </w:rPr>
                  <w:t>Bendras RITS užimtų lovų skaičius</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5.</w:t>
                </w:r>
              </w:p>
            </w:tc>
            <w:tc>
              <w:tcPr>
                <w:tcW w:w="2053" w:type="dxa"/>
                <w:shd w:val="clear" w:color="auto" w:fill="auto"/>
                <w:hideMark/>
              </w:tcPr>
              <w:p>
                <w:pPr>
                  <w:rPr>
                    <w:szCs w:val="24"/>
                    <w:lang w:eastAsia="lt-LT"/>
                  </w:rPr>
                </w:pPr>
                <w:r>
                  <w:rPr>
                    <w:szCs w:val="24"/>
                    <w:lang w:eastAsia="lt-LT"/>
                  </w:rPr>
                  <w:t>Stacionaro lovų su dirbtinės plaučių ventiliacijos (toliau – DPV) aparatais skaičius</w:t>
                </w:r>
              </w:p>
            </w:tc>
            <w:tc>
              <w:tcPr>
                <w:tcW w:w="5387" w:type="dxa"/>
                <w:shd w:val="clear" w:color="auto" w:fill="auto"/>
                <w:hideMark/>
              </w:tcPr>
              <w:p>
                <w:pPr>
                  <w:rPr>
                    <w:szCs w:val="24"/>
                    <w:lang w:eastAsia="lt-LT"/>
                  </w:rPr>
                </w:pPr>
                <w:r>
                  <w:rPr>
                    <w:szCs w:val="24"/>
                    <w:lang w:eastAsia="lt-LT"/>
                  </w:rPr>
                  <w:t>Visų ASPĮ (visuose skyriuose) esančių lovų su DPV aparatais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600"/>
            </w:trPr>
            <w:tc>
              <w:tcPr>
                <w:tcW w:w="704" w:type="dxa"/>
                <w:shd w:val="clear" w:color="auto" w:fill="auto"/>
                <w:noWrap/>
              </w:tcPr>
              <w:p>
                <w:pPr>
                  <w:jc w:val="center"/>
                  <w:rPr>
                    <w:color w:val="000000"/>
                    <w:szCs w:val="24"/>
                    <w:lang w:eastAsia="lt-LT"/>
                  </w:rPr>
                </w:pPr>
                <w:r>
                  <w:rPr>
                    <w:color w:val="000000"/>
                    <w:szCs w:val="24"/>
                    <w:lang w:eastAsia="lt-LT"/>
                  </w:rPr>
                  <w:t>6.</w:t>
                </w:r>
              </w:p>
            </w:tc>
            <w:tc>
              <w:tcPr>
                <w:tcW w:w="2053" w:type="dxa"/>
                <w:shd w:val="clear" w:color="auto" w:fill="auto"/>
                <w:hideMark/>
              </w:tcPr>
              <w:p>
                <w:pPr>
                  <w:rPr>
                    <w:szCs w:val="24"/>
                    <w:lang w:eastAsia="lt-LT"/>
                  </w:rPr>
                </w:pPr>
                <w:r>
                  <w:rPr>
                    <w:szCs w:val="24"/>
                    <w:lang w:eastAsia="lt-LT"/>
                  </w:rPr>
                  <w:t>Užimtų lovų su DPV aparatais skaičius</w:t>
                </w:r>
              </w:p>
            </w:tc>
            <w:tc>
              <w:tcPr>
                <w:tcW w:w="5387" w:type="dxa"/>
                <w:shd w:val="clear" w:color="auto" w:fill="auto"/>
                <w:hideMark/>
              </w:tcPr>
              <w:p>
                <w:pPr>
                  <w:rPr>
                    <w:szCs w:val="24"/>
                    <w:lang w:eastAsia="lt-LT"/>
                  </w:rPr>
                </w:pPr>
                <w:r>
                  <w:rPr>
                    <w:szCs w:val="24"/>
                    <w:lang w:eastAsia="lt-LT"/>
                  </w:rPr>
                  <w:t>Bendras užimtų stacionaro lovų su DPV aparatais skaičius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tcPr>
              <w:p>
                <w:pPr>
                  <w:jc w:val="center"/>
                  <w:rPr>
                    <w:szCs w:val="24"/>
                    <w:lang w:eastAsia="lt-LT"/>
                  </w:rPr>
                </w:pPr>
                <w:r>
                  <w:rPr>
                    <w:szCs w:val="24"/>
                    <w:lang w:eastAsia="lt-LT"/>
                  </w:rPr>
                  <w:t>7.</w:t>
                </w:r>
              </w:p>
            </w:tc>
            <w:tc>
              <w:tcPr>
                <w:tcW w:w="2053" w:type="dxa"/>
                <w:shd w:val="clear" w:color="auto" w:fill="auto"/>
                <w:hideMark/>
              </w:tcPr>
              <w:p>
                <w:pPr>
                  <w:rPr>
                    <w:szCs w:val="24"/>
                    <w:lang w:eastAsia="lt-LT"/>
                  </w:rPr>
                </w:pPr>
                <w:r>
                  <w:rPr>
                    <w:szCs w:val="24"/>
                    <w:lang w:eastAsia="lt-LT"/>
                  </w:rPr>
                  <w:t xml:space="preserve">Stacionaro aktyvaus gydymo lovų, prie kurių yra  deguonies tiekimo įranga, skaičius</w:t>
                </w:r>
              </w:p>
            </w:tc>
            <w:tc>
              <w:tcPr>
                <w:tcW w:w="5387" w:type="dxa"/>
                <w:shd w:val="clear" w:color="auto" w:fill="auto"/>
                <w:hideMark/>
              </w:tcPr>
              <w:p>
                <w:pPr>
                  <w:rPr>
                    <w:szCs w:val="24"/>
                    <w:lang w:eastAsia="lt-LT"/>
                  </w:rPr>
                </w:pPr>
                <w:r>
                  <w:rPr>
                    <w:szCs w:val="24"/>
                    <w:lang w:eastAsia="lt-LT"/>
                  </w:rPr>
                  <w:t xml:space="preserve">Visų ASPĮ (visuose skyriuose) esančių stacionaro aktyvaus gydymo lovų, prie kurių yra  deguonies tiekimo įranga arba pastatomi deguonies koncentratoriai, skaičius. Į šį skaičių neturi būti įtrauktos tos lovos, prie kurių yra deguonies tiekimo įranga, skirta DPV aparatų veikimui užtikrinti </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8.</w:t>
                </w:r>
              </w:p>
            </w:tc>
            <w:tc>
              <w:tcPr>
                <w:tcW w:w="2053" w:type="dxa"/>
                <w:shd w:val="clear" w:color="auto" w:fill="auto"/>
                <w:hideMark/>
              </w:tcPr>
              <w:p>
                <w:pPr>
                  <w:rPr>
                    <w:szCs w:val="24"/>
                    <w:lang w:eastAsia="lt-LT"/>
                  </w:rPr>
                </w:pPr>
                <w:r>
                  <w:rPr>
                    <w:szCs w:val="24"/>
                    <w:lang w:eastAsia="lt-LT"/>
                  </w:rPr>
                  <w:t xml:space="preserve">Užimtų lovų, prie kurių yra  deguonies tiekimo įranga, skaičius </w:t>
                </w:r>
              </w:p>
            </w:tc>
            <w:tc>
              <w:tcPr>
                <w:tcW w:w="5387" w:type="dxa"/>
                <w:shd w:val="clear" w:color="auto" w:fill="auto"/>
                <w:hideMark/>
              </w:tcPr>
              <w:p>
                <w:pPr>
                  <w:rPr>
                    <w:szCs w:val="24"/>
                    <w:lang w:eastAsia="lt-LT"/>
                  </w:rPr>
                </w:pPr>
                <w:r>
                  <w:rPr>
                    <w:szCs w:val="24"/>
                    <w:lang w:eastAsia="lt-LT"/>
                  </w:rPr>
                  <w:t>Bendras užimtų stacionaro aktyvaus gydymo lovų, prie kurių yra deguonies tiekimo įranga arba pastatomi deguonies koncentratoriai, skaičius. Į šį skaičių neturi būti įtrauktos užimtos lovos, prie kurių yra deguonies tiekimo įranga, skirta DPV aparatų veikimui užtikrinti</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9.</w:t>
                </w:r>
              </w:p>
            </w:tc>
            <w:tc>
              <w:tcPr>
                <w:tcW w:w="2053" w:type="dxa"/>
                <w:shd w:val="clear" w:color="auto" w:fill="auto"/>
              </w:tcPr>
              <w:p>
                <w:pPr>
                  <w:rPr>
                    <w:szCs w:val="24"/>
                    <w:lang w:eastAsia="lt-LT"/>
                  </w:rPr>
                </w:pPr>
                <w:r>
                  <w:rPr>
                    <w:color w:val="000000"/>
                    <w:szCs w:val="24"/>
                    <w:lang w:eastAsia="lt-LT"/>
                  </w:rPr>
                  <w:t xml:space="preserve">Visos turimos </w:t>
                </w:r>
                <w:r>
                  <w:rPr>
                    <w:szCs w:val="24"/>
                    <w:lang w:eastAsia="lt-LT"/>
                  </w:rPr>
                  <w:t>ekstrakorporinės membraninės oksigenacijos (toliau – EKMO)</w:t>
                </w:r>
                <w:r>
                  <w:rPr>
                    <w:color w:val="000000"/>
                    <w:szCs w:val="24"/>
                    <w:lang w:eastAsia="lt-LT"/>
                  </w:rPr>
                  <w:t xml:space="preserve"> sistemos</w:t>
                </w:r>
              </w:p>
            </w:tc>
            <w:tc>
              <w:tcPr>
                <w:tcW w:w="5387" w:type="dxa"/>
                <w:shd w:val="clear" w:color="auto" w:fill="auto"/>
              </w:tcPr>
              <w:p>
                <w:pPr>
                  <w:rPr>
                    <w:szCs w:val="24"/>
                    <w:lang w:eastAsia="lt-LT"/>
                  </w:rPr>
                </w:pPr>
                <w:r>
                  <w:rPr>
                    <w:szCs w:val="24"/>
                    <w:lang w:eastAsia="lt-LT"/>
                  </w:rPr>
                  <w:t>Bendras įstaigoje esančių EKMO sistemų skaičius</w:t>
                </w:r>
              </w:p>
            </w:tc>
            <w:tc>
              <w:tcPr>
                <w:tcW w:w="1909" w:type="dxa"/>
              </w:tcPr>
              <w:p>
                <w:pPr>
                  <w:rPr>
                    <w:szCs w:val="24"/>
                    <w:lang w:eastAsia="lt-LT"/>
                  </w:rPr>
                </w:pPr>
                <w:r>
                  <w:rPr>
                    <w:szCs w:val="24"/>
                    <w:lang w:eastAsia="lt-LT"/>
                  </w:rPr>
                  <w:t>Kiekvieną naujo ketvirčio pirmą darbo dieną arba pasikeitus informacijai</w:t>
                </w:r>
              </w:p>
            </w:tc>
          </w:tr>
          <w:tr>
            <w:trPr>
              <w:trHeight w:val="900"/>
            </w:trPr>
            <w:tc>
              <w:tcPr>
                <w:tcW w:w="704" w:type="dxa"/>
                <w:shd w:val="clear" w:color="auto" w:fill="auto"/>
                <w:noWrap/>
              </w:tcPr>
              <w:p>
                <w:pPr>
                  <w:jc w:val="center"/>
                  <w:rPr>
                    <w:color w:val="000000"/>
                    <w:szCs w:val="24"/>
                    <w:lang w:eastAsia="lt-LT"/>
                  </w:rPr>
                </w:pPr>
                <w:r>
                  <w:rPr>
                    <w:color w:val="000000"/>
                    <w:szCs w:val="24"/>
                    <w:lang w:eastAsia="lt-LT"/>
                  </w:rPr>
                  <w:t>10.</w:t>
                </w:r>
              </w:p>
            </w:tc>
            <w:tc>
              <w:tcPr>
                <w:tcW w:w="2053" w:type="dxa"/>
                <w:shd w:val="clear" w:color="auto" w:fill="auto"/>
              </w:tcPr>
              <w:p>
                <w:pPr>
                  <w:rPr>
                    <w:color w:val="000000"/>
                    <w:szCs w:val="24"/>
                    <w:lang w:eastAsia="lt-LT"/>
                  </w:rPr>
                </w:pPr>
                <w:r>
                  <w:rPr>
                    <w:color w:val="000000"/>
                    <w:szCs w:val="24"/>
                    <w:lang w:eastAsia="lt-LT"/>
                  </w:rPr>
                  <w:t>Užimtos EKMO sistemos</w:t>
                </w:r>
              </w:p>
            </w:tc>
            <w:tc>
              <w:tcPr>
                <w:tcW w:w="5387" w:type="dxa"/>
                <w:shd w:val="clear" w:color="auto" w:fill="auto"/>
              </w:tcPr>
              <w:p>
                <w:pPr>
                  <w:rPr>
                    <w:szCs w:val="24"/>
                    <w:lang w:eastAsia="lt-LT"/>
                  </w:rPr>
                </w:pPr>
                <w:r>
                  <w:rPr>
                    <w:szCs w:val="24"/>
                    <w:lang w:eastAsia="lt-LT"/>
                  </w:rPr>
                  <w:t>Užimtų EKMO sistemų skaičius</w:t>
                </w:r>
              </w:p>
            </w:tc>
            <w:tc>
              <w:tcPr>
                <w:tcW w:w="1909" w:type="dxa"/>
              </w:tcPr>
              <w:p>
                <w:pPr>
                  <w:rPr>
                    <w:szCs w:val="24"/>
                    <w:lang w:eastAsia="lt-LT"/>
                  </w:rPr>
                </w:pPr>
                <w:r>
                  <w:rPr>
                    <w:szCs w:val="24"/>
                    <w:lang w:eastAsia="lt-LT"/>
                  </w:rPr>
                  <w:t>Kiekvieną dieną</w:t>
                </w:r>
              </w:p>
            </w:tc>
          </w:tr>
          <w:tr>
            <w:trPr>
              <w:trHeight w:val="600"/>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COVID-19 ligai gydyti skirtos lovos ir įranga, jų užimtumas, pacientai</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11.</w:t>
                </w:r>
              </w:p>
            </w:tc>
            <w:tc>
              <w:tcPr>
                <w:tcW w:w="2053" w:type="dxa"/>
                <w:shd w:val="clear" w:color="auto" w:fill="auto"/>
                <w:hideMark/>
              </w:tcPr>
              <w:p>
                <w:pPr>
                  <w:rPr>
                    <w:color w:val="000000"/>
                    <w:szCs w:val="24"/>
                    <w:lang w:eastAsia="lt-LT"/>
                  </w:rPr>
                </w:pPr>
                <w:r>
                  <w:rPr>
                    <w:color w:val="000000"/>
                    <w:szCs w:val="24"/>
                    <w:lang w:eastAsia="lt-LT"/>
                  </w:rPr>
                  <w:t>Visos COVID-19 ligai gydyti skirtos lovos</w:t>
                </w:r>
              </w:p>
            </w:tc>
            <w:tc>
              <w:tcPr>
                <w:tcW w:w="5387" w:type="dxa"/>
                <w:shd w:val="clear" w:color="auto" w:fill="auto"/>
                <w:hideMark/>
              </w:tcPr>
              <w:p>
                <w:pPr>
                  <w:rPr>
                    <w:szCs w:val="24"/>
                    <w:lang w:eastAsia="lt-LT"/>
                  </w:rPr>
                </w:pPr>
                <w:r>
                  <w:rPr>
                    <w:szCs w:val="24"/>
                    <w:lang w:eastAsia="lt-LT"/>
                  </w:rPr>
                  <w:t>Visos ASPĮ esančios lovos (su deguonies tiekimo įranga ir be jos (jei tokių yra)), kurios numatytos pacientams dėl COVID-19 ligos gydyti. Neįtraukiamos RITS lovos ir lovos ne RITS su DPV aparatais (jei tokių yra)</w:t>
                </w:r>
              </w:p>
            </w:tc>
            <w:tc>
              <w:tcPr>
                <w:tcW w:w="1909" w:type="dxa"/>
              </w:tcPr>
              <w:p>
                <w:pPr>
                  <w:rPr>
                    <w:szCs w:val="24"/>
                    <w:lang w:eastAsia="lt-LT"/>
                  </w:rPr>
                </w:pPr>
                <w:r>
                  <w:rPr>
                    <w:szCs w:val="24"/>
                    <w:lang w:eastAsia="lt-LT"/>
                  </w:rPr>
                  <w:t>Pasikeitus anksčiau pateiktai informacijai</w:t>
                </w:r>
              </w:p>
            </w:tc>
          </w:tr>
          <w:tr>
            <w:trPr>
              <w:trHeight w:val="1984"/>
            </w:trPr>
            <w:tc>
              <w:tcPr>
                <w:tcW w:w="704" w:type="dxa"/>
                <w:shd w:val="clear" w:color="auto" w:fill="auto"/>
                <w:noWrap/>
                <w:hideMark/>
              </w:tcPr>
              <w:p>
                <w:pPr>
                  <w:jc w:val="center"/>
                  <w:rPr>
                    <w:color w:val="000000"/>
                    <w:szCs w:val="24"/>
                    <w:lang w:eastAsia="lt-LT"/>
                  </w:rPr>
                </w:pPr>
                <w:r>
                  <w:rPr>
                    <w:color w:val="000000"/>
                    <w:szCs w:val="24"/>
                    <w:lang w:eastAsia="lt-LT"/>
                  </w:rPr>
                  <w:t>12.</w:t>
                </w:r>
              </w:p>
            </w:tc>
            <w:tc>
              <w:tcPr>
                <w:tcW w:w="2053" w:type="dxa"/>
                <w:shd w:val="clear" w:color="auto" w:fill="auto"/>
                <w:hideMark/>
              </w:tcPr>
              <w:p>
                <w:pPr>
                  <w:rPr>
                    <w:color w:val="000000"/>
                    <w:szCs w:val="24"/>
                    <w:lang w:eastAsia="lt-LT"/>
                  </w:rPr>
                </w:pPr>
                <w:r>
                  <w:rPr>
                    <w:color w:val="000000"/>
                    <w:szCs w:val="24"/>
                    <w:lang w:eastAsia="lt-LT"/>
                  </w:rPr>
                  <w:t>Užimtos COVID-19 ligai gydyti skirtos lovos</w:t>
                </w:r>
              </w:p>
            </w:tc>
            <w:tc>
              <w:tcPr>
                <w:tcW w:w="5387" w:type="dxa"/>
                <w:shd w:val="clear" w:color="auto" w:fill="auto"/>
                <w:hideMark/>
              </w:tcPr>
              <w:p>
                <w:pPr>
                  <w:rPr>
                    <w:szCs w:val="24"/>
                    <w:lang w:eastAsia="lt-LT"/>
                  </w:rPr>
                </w:pPr>
                <w:r>
                  <w:rPr>
                    <w:szCs w:val="24"/>
                    <w:lang w:eastAsia="lt-LT"/>
                  </w:rPr>
                  <w:t>Užimtų lovų (su deguonimi ir be deguonies (jei tokių yra)), kurios numatytos pacientams dėl COVID-19 ligos gydyti. Neįtraukiamos RITS lovos ir lovos ne RITS su DPV aparatais (jei tokių yra). Neskaičiuojamos tos lovos, kuriose gydomi pacientai, kurie dėl stacionarinių paslaugų kreipėsi dėl kitų ligų,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984"/>
            </w:trPr>
            <w:tc>
              <w:tcPr>
                <w:tcW w:w="704" w:type="dxa"/>
                <w:shd w:val="clear" w:color="auto" w:fill="auto"/>
                <w:noWrap/>
              </w:tcPr>
              <w:p>
                <w:pPr>
                  <w:jc w:val="center"/>
                  <w:rPr>
                    <w:szCs w:val="24"/>
                    <w:lang w:eastAsia="lt-LT"/>
                  </w:rPr>
                </w:pPr>
                <w:r>
                  <w:rPr>
                    <w:szCs w:val="24"/>
                    <w:lang w:eastAsia="lt-LT"/>
                  </w:rPr>
                  <w:t>12.1.</w:t>
                </w:r>
              </w:p>
            </w:tc>
            <w:tc>
              <w:tcPr>
                <w:tcW w:w="2053" w:type="dxa"/>
                <w:shd w:val="clear" w:color="auto" w:fill="auto"/>
              </w:tcPr>
              <w:p>
                <w:pPr>
                  <w:rPr>
                    <w:szCs w:val="24"/>
                    <w:lang w:eastAsia="lt-LT"/>
                  </w:rPr>
                </w:pPr>
                <w:r>
                  <w:rPr>
                    <w:szCs w:val="24"/>
                    <w:lang w:eastAsia="lt-LT"/>
                  </w:rPr>
                  <w:t>Iš jų užimtos COVID-19 ligai gydyti skirtos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12 eilutėje nurodytose lovose, kurie yra pilnai vakcinuoti (t. y. praėjus dviem savaitėms po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408"/>
            </w:trPr>
            <w:tc>
              <w:tcPr>
                <w:tcW w:w="704" w:type="dxa"/>
                <w:shd w:val="clear" w:color="auto" w:fill="auto"/>
                <w:noWrap/>
                <w:hideMark/>
              </w:tcPr>
              <w:p>
                <w:pPr>
                  <w:jc w:val="center"/>
                  <w:rPr>
                    <w:color w:val="000000"/>
                    <w:szCs w:val="24"/>
                    <w:lang w:eastAsia="lt-LT"/>
                  </w:rPr>
                </w:pPr>
                <w:r>
                  <w:rPr>
                    <w:color w:val="000000"/>
                    <w:szCs w:val="24"/>
                    <w:lang w:eastAsia="lt-LT"/>
                  </w:rPr>
                  <w:t>13.</w:t>
                </w:r>
              </w:p>
            </w:tc>
            <w:tc>
              <w:tcPr>
                <w:tcW w:w="2053" w:type="dxa"/>
                <w:shd w:val="clear" w:color="auto" w:fill="auto"/>
                <w:hideMark/>
              </w:tcPr>
              <w:p>
                <w:pPr>
                  <w:rPr>
                    <w:color w:val="000000"/>
                    <w:szCs w:val="24"/>
                    <w:lang w:eastAsia="lt-LT"/>
                  </w:rPr>
                </w:pPr>
                <w:r>
                  <w:rPr>
                    <w:color w:val="000000"/>
                    <w:szCs w:val="24"/>
                    <w:lang w:eastAsia="lt-LT"/>
                  </w:rPr>
                  <w:t>Lovos su deguonies tiekimo įranga COVID-19 ligai gydyti</w:t>
                </w:r>
              </w:p>
            </w:tc>
            <w:tc>
              <w:tcPr>
                <w:tcW w:w="5387" w:type="dxa"/>
                <w:shd w:val="clear" w:color="auto" w:fill="auto"/>
                <w:hideMark/>
              </w:tcPr>
              <w:p>
                <w:pPr>
                  <w:rPr>
                    <w:szCs w:val="24"/>
                    <w:lang w:eastAsia="lt-LT"/>
                  </w:rPr>
                </w:pPr>
                <w:r>
                  <w:rPr>
                    <w:szCs w:val="24"/>
                    <w:lang w:eastAsia="lt-LT"/>
                  </w:rPr>
                  <w:t>Lovų, skirtų pacientams, gydomiems dėl COVID-19 ligos, prie kurių yra įrengtas deguonies tiekimas arba pastatomi deguonies koncentratoriai, skaičius.</w:t>
                </w:r>
              </w:p>
              <w:p>
                <w:pPr>
                  <w:rPr>
                    <w:szCs w:val="24"/>
                    <w:lang w:eastAsia="lt-LT"/>
                  </w:rPr>
                </w:pPr>
                <w:r>
                  <w:rPr>
                    <w:szCs w:val="24"/>
                    <w:lang w:eastAsia="lt-LT"/>
                  </w:rPr>
                  <w:t xml:space="preserve">Neskaičiuojamos tos RITS ir ne RITS lovos, prie kurių yra  deguonies tiekimo įranga DPV aparatų veikimui užtikrinti</w:t>
                </w:r>
              </w:p>
            </w:tc>
            <w:tc>
              <w:tcPr>
                <w:tcW w:w="1909" w:type="dxa"/>
              </w:tcPr>
              <w:p>
                <w:pPr>
                  <w:rPr>
                    <w:szCs w:val="24"/>
                    <w:lang w:eastAsia="lt-LT"/>
                  </w:rPr>
                </w:pPr>
                <w:r>
                  <w:rPr>
                    <w:szCs w:val="24"/>
                    <w:lang w:eastAsia="lt-LT"/>
                  </w:rPr>
                  <w:t>Pasikeitus anksčiau pateiktai informacijai</w:t>
                </w:r>
              </w:p>
            </w:tc>
          </w:tr>
          <w:tr>
            <w:trPr>
              <w:trHeight w:val="945"/>
            </w:trPr>
            <w:tc>
              <w:tcPr>
                <w:tcW w:w="704" w:type="dxa"/>
                <w:shd w:val="clear" w:color="auto" w:fill="auto"/>
                <w:noWrap/>
                <w:hideMark/>
              </w:tcPr>
              <w:p>
                <w:pPr>
                  <w:jc w:val="center"/>
                  <w:rPr>
                    <w:color w:val="000000"/>
                    <w:szCs w:val="24"/>
                    <w:lang w:eastAsia="lt-LT"/>
                  </w:rPr>
                </w:pPr>
                <w:r>
                  <w:rPr>
                    <w:color w:val="000000"/>
                    <w:szCs w:val="24"/>
                    <w:lang w:eastAsia="lt-LT"/>
                  </w:rPr>
                  <w:t>14.</w:t>
                </w:r>
              </w:p>
            </w:tc>
            <w:tc>
              <w:tcPr>
                <w:tcW w:w="2053" w:type="dxa"/>
                <w:shd w:val="clear" w:color="auto" w:fill="auto"/>
                <w:hideMark/>
              </w:tcPr>
              <w:p>
                <w:pPr>
                  <w:rPr>
                    <w:color w:val="000000"/>
                    <w:szCs w:val="24"/>
                    <w:lang w:eastAsia="lt-LT"/>
                  </w:rPr>
                </w:pPr>
                <w:r>
                  <w:t>Pacientų, sergančių COVID-19 liga, kuriems per praėjusią parą pradėta taikyti deguonies terapija su deguonies kaukėmis, skaičius</w:t>
                </w:r>
              </w:p>
            </w:tc>
            <w:tc>
              <w:tcPr>
                <w:tcW w:w="5387" w:type="dxa"/>
                <w:shd w:val="clear" w:color="auto" w:fill="auto"/>
                <w:noWrap/>
                <w:hideMark/>
              </w:tcPr>
              <w:p>
                <w:pPr>
                  <w:rPr>
                    <w:color w:val="000000"/>
                    <w:szCs w:val="24"/>
                    <w:lang w:eastAsia="lt-LT"/>
                  </w:rPr>
                </w:pPr>
                <w:r>
                  <w:rPr>
                    <w:color w:val="000000"/>
                    <w:szCs w:val="24"/>
                    <w:lang w:eastAsia="lt-LT"/>
                  </w:rPr>
                  <w:t>Naujai pradėtų gydyti taikant deguonies terapiją pacientų, sergančių COVID-19 liga, skaičius per deklaruojamą laikotarpį</w:t>
                </w:r>
              </w:p>
            </w:tc>
            <w:tc>
              <w:tcPr>
                <w:tcW w:w="1909" w:type="dxa"/>
              </w:tcPr>
              <w:p>
                <w:pPr>
                  <w:rPr>
                    <w:color w:val="000000"/>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15.</w:t>
                </w:r>
              </w:p>
            </w:tc>
            <w:tc>
              <w:tcPr>
                <w:tcW w:w="2053" w:type="dxa"/>
                <w:shd w:val="clear" w:color="auto" w:fill="auto"/>
                <w:hideMark/>
              </w:tcPr>
              <w:p>
                <w:pPr>
                  <w:rPr>
                    <w:color w:val="000000"/>
                    <w:szCs w:val="24"/>
                    <w:lang w:eastAsia="lt-LT"/>
                  </w:rPr>
                </w:pPr>
                <w:r>
                  <w:rPr>
                    <w:color w:val="000000"/>
                    <w:szCs w:val="24"/>
                    <w:lang w:eastAsia="lt-LT"/>
                  </w:rPr>
                  <w:t>Užimtos lovos su deguonies tiekimo įranga COVID-19 ligai gydyti</w:t>
                </w:r>
              </w:p>
            </w:tc>
            <w:tc>
              <w:tcPr>
                <w:tcW w:w="5387" w:type="dxa"/>
                <w:shd w:val="clear" w:color="auto" w:fill="auto"/>
                <w:hideMark/>
              </w:tcPr>
              <w:p>
                <w:pPr>
                  <w:rPr>
                    <w:szCs w:val="24"/>
                    <w:lang w:eastAsia="lt-LT"/>
                  </w:rPr>
                </w:pPr>
                <w:r>
                  <w:rPr>
                    <w:szCs w:val="24"/>
                    <w:lang w:eastAsia="lt-LT"/>
                  </w:rPr>
                  <w:t>Užimtų lovų su deguonies tiekimo įranga, kuriose gydomi pacientai, sergantys COVID-19 liga, skaičius. Nenurodomos užimtos RITS lovos su deguonies tiekimo įranga. Neskaičiuojamos tos lovos, prie kurių yra deguonies tiekimo įranga DPV aparatų veikimui užtikrinti</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16.</w:t>
                </w:r>
              </w:p>
            </w:tc>
            <w:tc>
              <w:tcPr>
                <w:tcW w:w="2053" w:type="dxa"/>
                <w:shd w:val="clear" w:color="auto" w:fill="auto"/>
                <w:hideMark/>
              </w:tcPr>
              <w:p>
                <w:pPr>
                  <w:rPr>
                    <w:color w:val="000000"/>
                    <w:szCs w:val="24"/>
                    <w:lang w:eastAsia="lt-LT"/>
                  </w:rPr>
                </w:pPr>
                <w:r>
                  <w:rPr>
                    <w:color w:val="000000"/>
                    <w:szCs w:val="24"/>
                    <w:lang w:eastAsia="lt-LT"/>
                  </w:rPr>
                  <w:t>RITS COVID-19 ligai gydyti skirtos lovos</w:t>
                </w:r>
              </w:p>
            </w:tc>
            <w:tc>
              <w:tcPr>
                <w:tcW w:w="5387" w:type="dxa"/>
                <w:shd w:val="clear" w:color="auto" w:fill="auto"/>
                <w:hideMark/>
              </w:tcPr>
              <w:p>
                <w:pPr>
                  <w:rPr>
                    <w:szCs w:val="24"/>
                    <w:lang w:eastAsia="lt-LT"/>
                  </w:rPr>
                </w:pPr>
                <w:r>
                  <w:rPr>
                    <w:szCs w:val="24"/>
                    <w:lang w:eastAsia="lt-LT"/>
                  </w:rPr>
                  <w:t>RITS lovų,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hideMark/>
              </w:tcPr>
              <w:p>
                <w:pPr>
                  <w:jc w:val="center"/>
                  <w:rPr>
                    <w:color w:val="000000"/>
                    <w:szCs w:val="24"/>
                    <w:lang w:eastAsia="lt-LT"/>
                  </w:rPr>
                </w:pPr>
                <w:r>
                  <w:rPr>
                    <w:color w:val="000000"/>
                    <w:szCs w:val="24"/>
                    <w:lang w:eastAsia="lt-LT"/>
                  </w:rPr>
                  <w:t>17.</w:t>
                </w:r>
              </w:p>
            </w:tc>
            <w:tc>
              <w:tcPr>
                <w:tcW w:w="2053" w:type="dxa"/>
                <w:shd w:val="clear" w:color="auto" w:fill="auto"/>
                <w:hideMark/>
              </w:tcPr>
              <w:p>
                <w:pPr>
                  <w:rPr>
                    <w:color w:val="000000"/>
                    <w:szCs w:val="24"/>
                    <w:lang w:eastAsia="lt-LT"/>
                  </w:rPr>
                </w:pPr>
                <w:r>
                  <w:rPr>
                    <w:color w:val="000000"/>
                    <w:szCs w:val="24"/>
                    <w:lang w:eastAsia="lt-LT"/>
                  </w:rPr>
                  <w:t>Užimtos RITS COVID-19 ligai gydyti skirtos lovos</w:t>
                </w:r>
              </w:p>
            </w:tc>
            <w:tc>
              <w:tcPr>
                <w:tcW w:w="5387" w:type="dxa"/>
                <w:shd w:val="clear" w:color="auto" w:fill="auto"/>
                <w:hideMark/>
              </w:tcPr>
              <w:p>
                <w:pPr>
                  <w:rPr>
                    <w:szCs w:val="24"/>
                    <w:lang w:eastAsia="lt-LT"/>
                  </w:rPr>
                </w:pPr>
                <w:r>
                  <w:rPr>
                    <w:szCs w:val="24"/>
                    <w:lang w:eastAsia="lt-LT"/>
                  </w:rPr>
                  <w:t>Užimtų RITS lovų, kuriose gydomi pacientai dėl COVID-19 ligos, skaičius. Neskaičiuojamos tos lovos, kuriose gydomi pacientai, kurie į RITS paguldyti dėl kitos (ne COVID-19) ligos, tačiau jiems nustatyta COVID-19 liga, bet dėl COVID-19 ligos jie nėra gydomi</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17.1.</w:t>
                </w:r>
              </w:p>
            </w:tc>
            <w:tc>
              <w:tcPr>
                <w:tcW w:w="2053" w:type="dxa"/>
                <w:shd w:val="clear" w:color="auto" w:fill="auto"/>
              </w:tcPr>
              <w:p>
                <w:pPr>
                  <w:rPr>
                    <w:color w:val="000000"/>
                    <w:szCs w:val="24"/>
                    <w:lang w:eastAsia="lt-LT"/>
                  </w:rPr>
                </w:pPr>
                <w:r>
                  <w:rPr>
                    <w:szCs w:val="24"/>
                    <w:lang w:eastAsia="lt-LT"/>
                  </w:rPr>
                  <w:t>Iš jų užimtos COVID-19 ligai gydyti skirtos RITS lovos, kuriose gydomi vakcinuoti pacientai</w:t>
                </w:r>
              </w:p>
            </w:tc>
            <w:tc>
              <w:tcPr>
                <w:tcW w:w="5387" w:type="dxa"/>
                <w:shd w:val="clear" w:color="auto" w:fill="auto"/>
              </w:tcPr>
              <w:p>
                <w:pPr>
                  <w:rPr>
                    <w:szCs w:val="24"/>
                    <w:lang w:eastAsia="lt-LT"/>
                  </w:rPr>
                </w:pPr>
                <w:r>
                  <w:rPr>
                    <w:szCs w:val="24"/>
                    <w:lang w:eastAsia="lt-LT"/>
                  </w:rPr>
                  <w:t>Pacientų, gydomų dėl COVID-19 ligos šios lentelės 17 eilutėje nurodytose RITS lovose, kurie yra pilnai vakcinuoti (t. y., praėjus dviem savaitėms po pilnos vakcinacijos „Comirnaty“, „Spikevax“, „Vaxzevria“ arba „Janssen“ vakcina; praėjus dviem savaitėms po antrosios dozės suleidimo skiepijantis pagal mišraus vakcinavimo schemą; praėjus dviem savaitėms po skiepijimo bent viena vakcinos doze, kai vakcina suleista asmeniui, kuris persirgo COVID-19 liga ir diagnozė buvo patvirtinta remiantis teigiamu PGR tyrimo rezultatu), skaičius</w:t>
                </w:r>
              </w:p>
            </w:tc>
            <w:tc>
              <w:tcPr>
                <w:tcW w:w="1909" w:type="dxa"/>
              </w:tcPr>
              <w:p>
                <w:pPr>
                  <w:rPr>
                    <w:szCs w:val="24"/>
                    <w:lang w:eastAsia="lt-LT"/>
                  </w:rPr>
                </w:pPr>
                <w:r>
                  <w:rPr>
                    <w:szCs w:val="24"/>
                    <w:lang w:eastAsia="lt-LT"/>
                  </w:rPr>
                  <w:t>Kiekvieną dieną</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18.</w:t>
                </w:r>
              </w:p>
            </w:tc>
            <w:tc>
              <w:tcPr>
                <w:tcW w:w="2053" w:type="dxa"/>
                <w:shd w:val="clear" w:color="auto" w:fill="auto"/>
              </w:tcPr>
              <w:p>
                <w:pPr>
                  <w:rPr>
                    <w:color w:val="000000"/>
                    <w:szCs w:val="24"/>
                    <w:lang w:eastAsia="lt-LT"/>
                  </w:rPr>
                </w:pPr>
                <w:r>
                  <w:rPr>
                    <w:color w:val="000000"/>
                    <w:szCs w:val="24"/>
                    <w:lang w:eastAsia="lt-LT"/>
                  </w:rPr>
                  <w:t xml:space="preserve">RITS lovos su DPV aparatais, skirtos COVID-19 liga sergantiems pacientams </w:t>
                </w:r>
              </w:p>
            </w:tc>
            <w:tc>
              <w:tcPr>
                <w:tcW w:w="5387" w:type="dxa"/>
                <w:shd w:val="clear" w:color="auto" w:fill="auto"/>
              </w:tcPr>
              <w:p>
                <w:pPr>
                  <w:rPr>
                    <w:szCs w:val="24"/>
                    <w:lang w:eastAsia="lt-LT"/>
                  </w:rPr>
                </w:pPr>
                <w:r>
                  <w:rPr>
                    <w:szCs w:val="24"/>
                    <w:lang w:eastAsia="lt-LT"/>
                  </w:rPr>
                  <w:t>RITS lovų su DPV aparatais, kuriose numatyta gydyti pacientus dėl COVID-19 ligos, skaičius</w:t>
                </w:r>
              </w:p>
            </w:tc>
            <w:tc>
              <w:tcPr>
                <w:tcW w:w="1909" w:type="dxa"/>
              </w:tcPr>
              <w:p>
                <w:pPr>
                  <w:rPr>
                    <w:szCs w:val="24"/>
                    <w:lang w:eastAsia="lt-LT"/>
                  </w:rPr>
                </w:pPr>
                <w:r>
                  <w:rPr>
                    <w:szCs w:val="24"/>
                    <w:lang w:eastAsia="lt-LT"/>
                  </w:rPr>
                  <w:t>Pasikeitus anksčiau pateiktai informacijai</w:t>
                </w:r>
              </w:p>
            </w:tc>
          </w:tr>
          <w:tr>
            <w:trPr>
              <w:trHeight w:val="1562"/>
            </w:trPr>
            <w:tc>
              <w:tcPr>
                <w:tcW w:w="704" w:type="dxa"/>
                <w:shd w:val="clear" w:color="auto" w:fill="auto"/>
                <w:noWrap/>
              </w:tcPr>
              <w:p>
                <w:pPr>
                  <w:jc w:val="center"/>
                  <w:rPr>
                    <w:color w:val="000000"/>
                    <w:szCs w:val="24"/>
                    <w:lang w:eastAsia="lt-LT"/>
                  </w:rPr>
                </w:pPr>
                <w:r>
                  <w:rPr>
                    <w:color w:val="000000"/>
                    <w:szCs w:val="24"/>
                    <w:lang w:eastAsia="lt-LT"/>
                  </w:rPr>
                  <w:t>19.</w:t>
                </w:r>
              </w:p>
            </w:tc>
            <w:tc>
              <w:tcPr>
                <w:tcW w:w="2053" w:type="dxa"/>
                <w:shd w:val="clear" w:color="auto" w:fill="auto"/>
              </w:tcPr>
              <w:p>
                <w:pPr>
                  <w:rPr>
                    <w:color w:val="000000"/>
                    <w:szCs w:val="24"/>
                    <w:lang w:eastAsia="lt-LT"/>
                  </w:rPr>
                </w:pPr>
                <w:r>
                  <w:rPr>
                    <w:color w:val="000000"/>
                    <w:szCs w:val="24"/>
                    <w:lang w:eastAsia="lt-LT"/>
                  </w:rPr>
                  <w:t xml:space="preserve">Užimtos RITS lovos su DPV aparatais, skirtos COVID-19 liga sergantiems pacientams </w:t>
                </w:r>
              </w:p>
            </w:tc>
            <w:tc>
              <w:tcPr>
                <w:tcW w:w="5387" w:type="dxa"/>
                <w:shd w:val="clear" w:color="auto" w:fill="auto"/>
              </w:tcPr>
              <w:p>
                <w:pPr>
                  <w:rPr>
                    <w:szCs w:val="24"/>
                    <w:lang w:eastAsia="lt-LT"/>
                  </w:rPr>
                </w:pPr>
                <w:r>
                  <w:rPr>
                    <w:szCs w:val="24"/>
                    <w:lang w:eastAsia="lt-LT"/>
                  </w:rPr>
                  <w:t>Užimtų RITS lovų su DPV aparatais, kuriose numatyta gydyti pacientus dėl COVID-19 ligos, skaičius</w:t>
                </w:r>
              </w:p>
            </w:tc>
            <w:tc>
              <w:tcPr>
                <w:tcW w:w="1909" w:type="dxa"/>
              </w:tcPr>
              <w:p>
                <w:pPr>
                  <w:rPr>
                    <w:szCs w:val="24"/>
                    <w:lang w:eastAsia="lt-LT"/>
                  </w:rPr>
                </w:pPr>
                <w:r>
                  <w:rPr>
                    <w:szCs w:val="24"/>
                    <w:lang w:eastAsia="lt-LT"/>
                  </w:rPr>
                  <w:t>Kiekvieną dieną</w:t>
                </w:r>
              </w:p>
            </w:tc>
          </w:tr>
          <w:tr>
            <w:trPr>
              <w:trHeight w:val="1200"/>
            </w:trPr>
            <w:tc>
              <w:tcPr>
                <w:tcW w:w="704" w:type="dxa"/>
                <w:shd w:val="clear" w:color="auto" w:fill="auto"/>
                <w:noWrap/>
                <w:hideMark/>
              </w:tcPr>
              <w:p>
                <w:pPr>
                  <w:jc w:val="center"/>
                  <w:rPr>
                    <w:color w:val="000000"/>
                    <w:szCs w:val="24"/>
                    <w:lang w:eastAsia="lt-LT"/>
                  </w:rPr>
                </w:pPr>
                <w:r>
                  <w:rPr>
                    <w:color w:val="000000"/>
                    <w:szCs w:val="24"/>
                    <w:lang w:eastAsia="lt-LT"/>
                  </w:rPr>
                  <w:t>20.</w:t>
                </w:r>
              </w:p>
            </w:tc>
            <w:tc>
              <w:tcPr>
                <w:tcW w:w="2053" w:type="dxa"/>
                <w:shd w:val="clear" w:color="auto" w:fill="auto"/>
                <w:hideMark/>
              </w:tcPr>
              <w:p>
                <w:pPr>
                  <w:rPr>
                    <w:color w:val="000000"/>
                    <w:szCs w:val="24"/>
                    <w:lang w:eastAsia="lt-LT"/>
                  </w:rPr>
                </w:pPr>
                <w:r>
                  <w:rPr>
                    <w:color w:val="000000"/>
                    <w:szCs w:val="24"/>
                    <w:lang w:eastAsia="lt-LT"/>
                  </w:rPr>
                  <w:t>Visi turimi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Bendras </w:t>
                </w:r>
                <w:r>
                  <w:rPr>
                    <w:szCs w:val="24"/>
                  </w:rPr>
                  <w:t xml:space="preserve">didelės tėkmės deguonies terapijos </w:t>
                </w:r>
                <w:r>
                  <w:rPr>
                    <w:color w:val="000000"/>
                    <w:szCs w:val="24"/>
                  </w:rPr>
                  <w:t>prietaisų (High-flow)</w:t>
                </w:r>
                <w:r>
                  <w:rPr>
                    <w:color w:val="000000"/>
                    <w:szCs w:val="24"/>
                    <w:lang w:eastAsia="lt-LT"/>
                  </w:rPr>
                  <w:t xml:space="preserve"> sk</w:t>
                </w:r>
                <w:r>
                  <w:rPr>
                    <w:szCs w:val="24"/>
                    <w:lang w:eastAsia="lt-LT"/>
                  </w:rPr>
                  <w:t>aičius, neįskaičiuojant DPV aparatų su High-flow funkcija (tokie DPV aparatai skaičiuojami su kitais DPV aparatais)</w:t>
                </w:r>
              </w:p>
            </w:tc>
            <w:tc>
              <w:tcPr>
                <w:tcW w:w="1909" w:type="dxa"/>
              </w:tcPr>
              <w:p>
                <w:pPr>
                  <w:rPr>
                    <w:szCs w:val="24"/>
                    <w:lang w:eastAsia="lt-LT"/>
                  </w:rPr>
                </w:pPr>
                <w:r>
                  <w:rPr>
                    <w:szCs w:val="24"/>
                    <w:lang w:eastAsia="lt-LT"/>
                  </w:rPr>
                  <w:t>Pasikeitus anksčiau pateiktai informacijai</w:t>
                </w:r>
              </w:p>
            </w:tc>
          </w:tr>
          <w:tr>
            <w:trPr>
              <w:trHeight w:val="841"/>
            </w:trPr>
            <w:tc>
              <w:tcPr>
                <w:tcW w:w="704" w:type="dxa"/>
                <w:shd w:val="clear" w:color="auto" w:fill="auto"/>
                <w:noWrap/>
                <w:hideMark/>
              </w:tcPr>
              <w:p>
                <w:pPr>
                  <w:jc w:val="center"/>
                  <w:rPr>
                    <w:color w:val="000000"/>
                    <w:szCs w:val="24"/>
                    <w:lang w:eastAsia="lt-LT"/>
                  </w:rPr>
                </w:pPr>
                <w:r>
                  <w:rPr>
                    <w:color w:val="000000"/>
                    <w:szCs w:val="24"/>
                    <w:lang w:eastAsia="lt-LT"/>
                  </w:rPr>
                  <w:t>21.</w:t>
                </w:r>
              </w:p>
            </w:tc>
            <w:tc>
              <w:tcPr>
                <w:tcW w:w="2053" w:type="dxa"/>
                <w:shd w:val="clear" w:color="auto" w:fill="auto"/>
                <w:hideMark/>
              </w:tcPr>
              <w:p>
                <w:pPr>
                  <w:rPr>
                    <w:color w:val="000000"/>
                    <w:szCs w:val="24"/>
                    <w:lang w:eastAsia="lt-LT"/>
                  </w:rPr>
                </w:pPr>
                <w:r>
                  <w:rPr>
                    <w:color w:val="000000"/>
                    <w:szCs w:val="24"/>
                    <w:lang w:eastAsia="lt-LT"/>
                  </w:rPr>
                  <w:t>Užimti didelės tėkmės deguonies terapijos prietaisai (High-flow), skirti COVID-19 liga sergantiems pacientams gydyti</w:t>
                </w:r>
              </w:p>
            </w:tc>
            <w:tc>
              <w:tcPr>
                <w:tcW w:w="5387" w:type="dxa"/>
                <w:shd w:val="clear" w:color="auto" w:fill="auto"/>
                <w:hideMark/>
              </w:tcPr>
              <w:p>
                <w:pPr>
                  <w:rPr>
                    <w:szCs w:val="24"/>
                    <w:lang w:eastAsia="lt-LT"/>
                  </w:rPr>
                </w:pPr>
                <w:r>
                  <w:rPr>
                    <w:szCs w:val="24"/>
                    <w:lang w:eastAsia="lt-LT"/>
                  </w:rPr>
                  <w:t xml:space="preserve">Nurodomas užimtų </w:t>
                </w:r>
                <w:r>
                  <w:rPr>
                    <w:szCs w:val="24"/>
                  </w:rPr>
                  <w:t>didelės tėkmės deguonies terapijos prietaisų (High-flow)</w:t>
                </w:r>
                <w:r>
                  <w:rPr>
                    <w:szCs w:val="24"/>
                    <w:lang w:eastAsia="lt-LT"/>
                  </w:rPr>
                  <w:t xml:space="preserve"> skaičius, neįskaičiuojant DPV aparatų su High-flow funkcija  (tokie DPV aparatai skaičiuojami su kitais užimtais DPV aparatais)</w:t>
                </w:r>
              </w:p>
            </w:tc>
            <w:tc>
              <w:tcPr>
                <w:tcW w:w="1909" w:type="dxa"/>
              </w:tcPr>
              <w:p>
                <w:pPr>
                  <w:rPr>
                    <w:szCs w:val="24"/>
                    <w:lang w:eastAsia="lt-LT"/>
                  </w:rPr>
                </w:pPr>
                <w:r>
                  <w:rPr>
                    <w:szCs w:val="24"/>
                    <w:lang w:eastAsia="lt-LT"/>
                  </w:rPr>
                  <w:t>Kiekvieną dieną</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22.</w:t>
                </w:r>
              </w:p>
            </w:tc>
            <w:tc>
              <w:tcPr>
                <w:tcW w:w="2053" w:type="dxa"/>
                <w:shd w:val="clear" w:color="auto" w:fill="auto"/>
                <w:hideMark/>
              </w:tcPr>
              <w:p>
                <w:pPr>
                  <w:rPr>
                    <w:color w:val="000000"/>
                    <w:szCs w:val="24"/>
                    <w:lang w:eastAsia="lt-LT"/>
                  </w:rPr>
                </w:pPr>
                <w:r>
                  <w:rPr>
                    <w:color w:val="000000"/>
                    <w:szCs w:val="24"/>
                    <w:lang w:eastAsia="lt-LT"/>
                  </w:rPr>
                  <w:t>Visos turimos EKMO sistemos COVID-19 liga sergantiems pacientams gydyti</w:t>
                </w:r>
              </w:p>
            </w:tc>
            <w:tc>
              <w:tcPr>
                <w:tcW w:w="5387" w:type="dxa"/>
                <w:shd w:val="clear" w:color="auto" w:fill="auto"/>
                <w:hideMark/>
              </w:tcPr>
              <w:p>
                <w:pPr>
                  <w:rPr>
                    <w:szCs w:val="24"/>
                    <w:lang w:eastAsia="lt-LT"/>
                  </w:rPr>
                </w:pPr>
                <w:r>
                  <w:rPr>
                    <w:szCs w:val="24"/>
                    <w:lang w:eastAsia="lt-LT"/>
                  </w:rPr>
                  <w:t>Bendras įstaigoje esančių EKMO sistemų, numatytų COVID-19 liga sergantiems pacientams gydyti, skaičius</w:t>
                </w:r>
              </w:p>
            </w:tc>
            <w:tc>
              <w:tcPr>
                <w:tcW w:w="1909" w:type="dxa"/>
              </w:tcPr>
              <w:p>
                <w:pPr>
                  <w:rPr>
                    <w:szCs w:val="24"/>
                    <w:lang w:eastAsia="lt-LT"/>
                  </w:rPr>
                </w:pPr>
                <w:r>
                  <w:rPr>
                    <w:szCs w:val="24"/>
                    <w:lang w:eastAsia="lt-LT"/>
                  </w:rPr>
                  <w:t>Pasikeitus anksčiau pateiktai informacijai</w:t>
                </w:r>
              </w:p>
            </w:tc>
          </w:tr>
          <w:tr>
            <w:trPr>
              <w:trHeight w:val="600"/>
            </w:trPr>
            <w:tc>
              <w:tcPr>
                <w:tcW w:w="704" w:type="dxa"/>
                <w:shd w:val="clear" w:color="auto" w:fill="auto"/>
                <w:noWrap/>
                <w:hideMark/>
              </w:tcPr>
              <w:p>
                <w:pPr>
                  <w:jc w:val="center"/>
                  <w:rPr>
                    <w:color w:val="000000"/>
                    <w:szCs w:val="24"/>
                    <w:lang w:eastAsia="lt-LT"/>
                  </w:rPr>
                </w:pPr>
                <w:r>
                  <w:rPr>
                    <w:color w:val="000000"/>
                    <w:szCs w:val="24"/>
                    <w:lang w:eastAsia="lt-LT"/>
                  </w:rPr>
                  <w:t>23.</w:t>
                </w:r>
              </w:p>
            </w:tc>
            <w:tc>
              <w:tcPr>
                <w:tcW w:w="2053" w:type="dxa"/>
                <w:shd w:val="clear" w:color="auto" w:fill="auto"/>
                <w:hideMark/>
              </w:tcPr>
              <w:p>
                <w:pPr>
                  <w:rPr>
                    <w:color w:val="000000"/>
                    <w:szCs w:val="24"/>
                    <w:lang w:eastAsia="lt-LT"/>
                  </w:rPr>
                </w:pPr>
                <w:r>
                  <w:rPr>
                    <w:color w:val="000000"/>
                    <w:szCs w:val="24"/>
                    <w:lang w:eastAsia="lt-LT"/>
                  </w:rPr>
                  <w:t>Užimtos EKMO sistemos COVID-19 liga sergantiems pacientams gydyti</w:t>
                </w:r>
              </w:p>
            </w:tc>
            <w:tc>
              <w:tcPr>
                <w:tcW w:w="5387" w:type="dxa"/>
                <w:shd w:val="clear" w:color="auto" w:fill="auto"/>
                <w:hideMark/>
              </w:tcPr>
              <w:p>
                <w:pPr>
                  <w:rPr>
                    <w:szCs w:val="24"/>
                    <w:lang w:eastAsia="lt-LT"/>
                  </w:rPr>
                </w:pPr>
                <w:r>
                  <w:rPr>
                    <w:szCs w:val="24"/>
                    <w:lang w:eastAsia="lt-LT"/>
                  </w:rPr>
                  <w:t>Užimtų EKMO sistemų, skirtų pacientams dėl COVID-19 ligos gydyti, skaičius</w:t>
                </w:r>
              </w:p>
            </w:tc>
            <w:tc>
              <w:tcPr>
                <w:tcW w:w="1909" w:type="dxa"/>
              </w:tcPr>
              <w:p>
                <w:pPr>
                  <w:rPr>
                    <w:szCs w:val="24"/>
                    <w:lang w:eastAsia="lt-LT"/>
                  </w:rPr>
                </w:pPr>
                <w:r>
                  <w:rPr>
                    <w:szCs w:val="24"/>
                    <w:lang w:eastAsia="lt-LT"/>
                  </w:rPr>
                  <w:t>Kiekvieną dieną</w:t>
                </w:r>
              </w:p>
            </w:tc>
          </w:tr>
          <w:tr>
            <w:trPr>
              <w:trHeight w:val="1452"/>
            </w:trPr>
            <w:tc>
              <w:tcPr>
                <w:tcW w:w="704" w:type="dxa"/>
                <w:shd w:val="clear" w:color="auto" w:fill="auto"/>
                <w:noWrap/>
                <w:hideMark/>
              </w:tcPr>
              <w:p>
                <w:pPr>
                  <w:jc w:val="center"/>
                  <w:rPr>
                    <w:color w:val="000000"/>
                    <w:szCs w:val="24"/>
                    <w:lang w:eastAsia="lt-LT"/>
                  </w:rPr>
                </w:pPr>
                <w:r>
                  <w:rPr>
                    <w:color w:val="000000"/>
                    <w:szCs w:val="24"/>
                    <w:lang w:eastAsia="lt-LT"/>
                  </w:rPr>
                  <w:t>24.</w:t>
                </w:r>
              </w:p>
            </w:tc>
            <w:tc>
              <w:tcPr>
                <w:tcW w:w="2053" w:type="dxa"/>
                <w:shd w:val="clear" w:color="auto" w:fill="auto"/>
                <w:hideMark/>
              </w:tcPr>
              <w:p>
                <w:pPr>
                  <w:rPr>
                    <w:color w:val="000000"/>
                    <w:szCs w:val="24"/>
                    <w:lang w:eastAsia="lt-LT"/>
                  </w:rPr>
                </w:pPr>
                <w:r>
                  <w:rPr>
                    <w:color w:val="000000"/>
                    <w:szCs w:val="24"/>
                    <w:lang w:eastAsia="lt-LT"/>
                  </w:rPr>
                  <w:t>Visos COVID-19 ligai gydyti skirtos lovos su DPV aparatais (ne RITS)</w:t>
                </w:r>
              </w:p>
            </w:tc>
            <w:tc>
              <w:tcPr>
                <w:tcW w:w="5387" w:type="dxa"/>
                <w:shd w:val="clear" w:color="auto" w:fill="auto"/>
                <w:hideMark/>
              </w:tcPr>
              <w:p>
                <w:pPr>
                  <w:rPr>
                    <w:szCs w:val="24"/>
                    <w:lang w:eastAsia="lt-LT"/>
                  </w:rPr>
                </w:pPr>
                <w:r>
                  <w:rPr>
                    <w:szCs w:val="24"/>
                    <w:lang w:eastAsia="lt-LT"/>
                  </w:rPr>
                  <w:t>Visų lovų su DPV aparatais, skirtų pacientams dėl COVID-19 ligos gydyti, jeigu įstaigoje yra įrengtos lovos su DPV aparatais COVID-19 liga sergantiems pacientams ne RITS, skaičius. Neskaičiuojami RITS esantys DPV aparatai.</w:t>
                </w:r>
              </w:p>
            </w:tc>
            <w:tc>
              <w:tcPr>
                <w:tcW w:w="1909" w:type="dxa"/>
              </w:tcPr>
              <w:p>
                <w:pPr>
                  <w:rPr>
                    <w:szCs w:val="24"/>
                    <w:lang w:eastAsia="lt-LT"/>
                  </w:rPr>
                </w:pPr>
                <w:r>
                  <w:rPr>
                    <w:szCs w:val="24"/>
                    <w:lang w:eastAsia="lt-LT"/>
                  </w:rPr>
                  <w:t>Pasikeitus anksčiau pateiktai informacijai</w:t>
                </w:r>
              </w:p>
            </w:tc>
          </w:tr>
          <w:tr>
            <w:trPr>
              <w:trHeight w:val="1452"/>
            </w:trPr>
            <w:tc>
              <w:tcPr>
                <w:tcW w:w="704" w:type="dxa"/>
                <w:shd w:val="clear" w:color="auto" w:fill="auto"/>
                <w:noWrap/>
              </w:tcPr>
              <w:p>
                <w:pPr>
                  <w:jc w:val="center"/>
                  <w:rPr>
                    <w:color w:val="000000"/>
                    <w:szCs w:val="24"/>
                    <w:lang w:eastAsia="lt-LT"/>
                  </w:rPr>
                </w:pPr>
                <w:r>
                  <w:rPr>
                    <w:color w:val="000000"/>
                    <w:szCs w:val="24"/>
                    <w:lang w:eastAsia="lt-LT"/>
                  </w:rPr>
                  <w:t>25.</w:t>
                </w:r>
              </w:p>
            </w:tc>
            <w:tc>
              <w:tcPr>
                <w:tcW w:w="2053" w:type="dxa"/>
                <w:shd w:val="clear" w:color="auto" w:fill="auto"/>
              </w:tcPr>
              <w:p>
                <w:pPr>
                  <w:rPr>
                    <w:color w:val="000000"/>
                    <w:szCs w:val="24"/>
                    <w:lang w:eastAsia="lt-LT"/>
                  </w:rPr>
                </w:pPr>
                <w:r>
                  <w:t>Pacientų, sergančių COVID-19 liga, kuriems per praėjusią parą pradėta taikyti DPV, skaičius</w:t>
                </w:r>
              </w:p>
            </w:tc>
            <w:tc>
              <w:tcPr>
                <w:tcW w:w="5387" w:type="dxa"/>
                <w:shd w:val="clear" w:color="auto" w:fill="auto"/>
              </w:tcPr>
              <w:p>
                <w:pPr>
                  <w:rPr>
                    <w:szCs w:val="24"/>
                    <w:lang w:eastAsia="lt-LT"/>
                  </w:rPr>
                </w:pPr>
                <w:r>
                  <w:rPr>
                    <w:color w:val="000000"/>
                    <w:szCs w:val="24"/>
                    <w:lang w:eastAsia="lt-LT"/>
                  </w:rPr>
                  <w:t>Naujai pradėtų gydyti taikant DPV pacientų, sergančių COVID-19 liga, skaičius per deklaruojamą laikotarpį</w:t>
                </w:r>
              </w:p>
            </w:tc>
            <w:tc>
              <w:tcPr>
                <w:tcW w:w="1909" w:type="dxa"/>
              </w:tcPr>
              <w:p>
                <w:pPr>
                  <w:rPr>
                    <w:szCs w:val="24"/>
                    <w:lang w:eastAsia="lt-LT"/>
                  </w:rPr>
                </w:pPr>
                <w:r>
                  <w:rPr>
                    <w:szCs w:val="24"/>
                    <w:lang w:eastAsia="lt-LT"/>
                  </w:rPr>
                  <w:t>Kiekvieną dieną</w:t>
                </w:r>
              </w:p>
            </w:tc>
          </w:tr>
          <w:tr>
            <w:trPr>
              <w:trHeight w:val="900"/>
            </w:trPr>
            <w:tc>
              <w:tcPr>
                <w:tcW w:w="704" w:type="dxa"/>
                <w:shd w:val="clear" w:color="auto" w:fill="auto"/>
                <w:noWrap/>
                <w:hideMark/>
              </w:tcPr>
              <w:p>
                <w:pPr>
                  <w:jc w:val="center"/>
                  <w:rPr>
                    <w:color w:val="000000"/>
                    <w:szCs w:val="24"/>
                    <w:lang w:eastAsia="lt-LT"/>
                  </w:rPr>
                </w:pPr>
                <w:r>
                  <w:rPr>
                    <w:color w:val="000000"/>
                    <w:szCs w:val="24"/>
                    <w:lang w:eastAsia="lt-LT"/>
                  </w:rPr>
                  <w:t>26.</w:t>
                </w:r>
              </w:p>
            </w:tc>
            <w:tc>
              <w:tcPr>
                <w:tcW w:w="2053" w:type="dxa"/>
                <w:shd w:val="clear" w:color="auto" w:fill="auto"/>
                <w:hideMark/>
              </w:tcPr>
              <w:p>
                <w:pPr>
                  <w:rPr>
                    <w:color w:val="000000"/>
                    <w:szCs w:val="24"/>
                    <w:lang w:eastAsia="lt-LT"/>
                  </w:rPr>
                </w:pPr>
                <w:r>
                  <w:rPr>
                    <w:color w:val="000000"/>
                    <w:szCs w:val="24"/>
                    <w:lang w:eastAsia="lt-LT"/>
                  </w:rPr>
                  <w:t>Užimtos COVID-19 ligai gydyti skirtos lovos su DPV aparatais (ne RITS)</w:t>
                </w:r>
              </w:p>
            </w:tc>
            <w:tc>
              <w:tcPr>
                <w:tcW w:w="5387" w:type="dxa"/>
                <w:shd w:val="clear" w:color="auto" w:fill="auto"/>
                <w:hideMark/>
              </w:tcPr>
              <w:p>
                <w:pPr>
                  <w:rPr>
                    <w:szCs w:val="24"/>
                    <w:lang w:eastAsia="lt-LT"/>
                  </w:rPr>
                </w:pPr>
                <w:r>
                  <w:rPr>
                    <w:szCs w:val="24"/>
                    <w:lang w:eastAsia="lt-LT"/>
                  </w:rPr>
                  <w:t>Užimtų lovų su DPV aparatais, kuriose gydomi pacientai dėl COVID-19 ligos, skaičius. Neįskaitomos RITS esančios lovos su DPV aparatais</w:t>
                </w:r>
              </w:p>
            </w:tc>
            <w:tc>
              <w:tcPr>
                <w:tcW w:w="1909" w:type="dxa"/>
              </w:tcPr>
              <w:p>
                <w:pPr>
                  <w:rPr>
                    <w:szCs w:val="24"/>
                    <w:lang w:eastAsia="lt-LT"/>
                  </w:rPr>
                </w:pPr>
                <w:r>
                  <w:rPr>
                    <w:szCs w:val="24"/>
                    <w:lang w:eastAsia="lt-LT"/>
                  </w:rPr>
                  <w:t>Kiekvieną dieną</w:t>
                </w:r>
              </w:p>
            </w:tc>
          </w:tr>
          <w:tr>
            <w:trPr>
              <w:trHeight w:val="1500"/>
            </w:trPr>
            <w:tc>
              <w:tcPr>
                <w:tcW w:w="704" w:type="dxa"/>
                <w:shd w:val="clear" w:color="auto" w:fill="auto"/>
                <w:noWrap/>
                <w:hideMark/>
              </w:tcPr>
              <w:p>
                <w:pPr>
                  <w:jc w:val="center"/>
                  <w:rPr>
                    <w:color w:val="000000"/>
                    <w:szCs w:val="24"/>
                    <w:lang w:eastAsia="lt-LT"/>
                  </w:rPr>
                </w:pPr>
                <w:r>
                  <w:rPr>
                    <w:color w:val="000000"/>
                    <w:szCs w:val="24"/>
                    <w:lang w:eastAsia="lt-LT"/>
                  </w:rPr>
                  <w:t>27.</w:t>
                </w:r>
              </w:p>
            </w:tc>
            <w:tc>
              <w:tcPr>
                <w:tcW w:w="2053" w:type="dxa"/>
                <w:shd w:val="clear" w:color="auto" w:fill="auto"/>
                <w:hideMark/>
              </w:tcPr>
              <w:p>
                <w:pPr>
                  <w:rPr>
                    <w:szCs w:val="24"/>
                    <w:lang w:eastAsia="lt-LT"/>
                  </w:rPr>
                </w:pPr>
                <w:r>
                  <w:rPr>
                    <w:szCs w:val="24"/>
                    <w:lang w:eastAsia="lt-LT"/>
                  </w:rPr>
                  <w:t>Naujai paguldyti į stacionarą pacientai dėl COVID-19 ligos</w:t>
                </w:r>
              </w:p>
            </w:tc>
            <w:tc>
              <w:tcPr>
                <w:tcW w:w="5387" w:type="dxa"/>
                <w:shd w:val="clear" w:color="auto" w:fill="auto"/>
                <w:hideMark/>
              </w:tcPr>
              <w:p>
                <w:pPr>
                  <w:rPr>
                    <w:szCs w:val="24"/>
                    <w:lang w:eastAsia="lt-LT"/>
                  </w:rPr>
                </w:pPr>
                <w:r>
                  <w:rPr>
                    <w:szCs w:val="24"/>
                    <w:lang w:eastAsia="lt-LT"/>
                  </w:rPr>
                  <w:t>Per deklaruojamą laikotarpį naujai paguldytų į stacionarą dėl COVID-19 ligos pacientų skaičius. Nurodomi visi atvejai – perkelti iš kitų ASPĮ, iš priėmimo-skubiosios pagalbos skyriaus, iš kitų ASPĮ skyrių, jeigu jiems reikalingas gydymas dėl COVID-19 ligos</w:t>
                </w:r>
              </w:p>
            </w:tc>
            <w:tc>
              <w:tcPr>
                <w:tcW w:w="1909" w:type="dxa"/>
              </w:tcPr>
              <w:p>
                <w:pPr>
                  <w:rPr>
                    <w:szCs w:val="24"/>
                    <w:lang w:eastAsia="lt-LT"/>
                  </w:rPr>
                </w:pPr>
                <w:r>
                  <w:rPr>
                    <w:szCs w:val="24"/>
                    <w:lang w:eastAsia="lt-LT"/>
                  </w:rPr>
                  <w:t>Kiekvieną dieną</w:t>
                </w:r>
              </w:p>
            </w:tc>
          </w:tr>
          <w:tr>
            <w:trPr>
              <w:trHeight w:val="1800"/>
            </w:trPr>
            <w:tc>
              <w:tcPr>
                <w:tcW w:w="704" w:type="dxa"/>
                <w:shd w:val="clear" w:color="auto" w:fill="auto"/>
                <w:noWrap/>
                <w:hideMark/>
              </w:tcPr>
              <w:p>
                <w:pPr>
                  <w:jc w:val="center"/>
                  <w:rPr>
                    <w:color w:val="000000"/>
                    <w:szCs w:val="24"/>
                    <w:lang w:eastAsia="lt-LT"/>
                  </w:rPr>
                </w:pPr>
                <w:r>
                  <w:rPr>
                    <w:color w:val="000000"/>
                    <w:szCs w:val="24"/>
                    <w:lang w:eastAsia="lt-LT"/>
                  </w:rPr>
                  <w:t>28.</w:t>
                </w:r>
              </w:p>
            </w:tc>
            <w:tc>
              <w:tcPr>
                <w:tcW w:w="2053" w:type="dxa"/>
                <w:shd w:val="clear" w:color="auto" w:fill="auto"/>
                <w:hideMark/>
              </w:tcPr>
              <w:p>
                <w:pPr>
                  <w:rPr>
                    <w:szCs w:val="24"/>
                    <w:lang w:eastAsia="lt-LT"/>
                  </w:rPr>
                </w:pPr>
                <w:r>
                  <w:rPr>
                    <w:szCs w:val="24"/>
                    <w:lang w:eastAsia="lt-LT"/>
                  </w:rPr>
                  <w:t>Išvykę pacientai, kuriems buvo patvirtinta COVID-19 liga</w:t>
                </w:r>
              </w:p>
            </w:tc>
            <w:tc>
              <w:tcPr>
                <w:tcW w:w="5387" w:type="dxa"/>
                <w:shd w:val="clear" w:color="auto" w:fill="auto"/>
                <w:hideMark/>
              </w:tcPr>
              <w:p>
                <w:pPr>
                  <w:rPr>
                    <w:szCs w:val="24"/>
                    <w:lang w:eastAsia="lt-LT"/>
                  </w:rPr>
                </w:pPr>
                <w:r>
                  <w:rPr>
                    <w:szCs w:val="24"/>
                    <w:lang w:eastAsia="lt-LT"/>
                  </w:rPr>
                  <w:t>Pacientų, kurie buvo gydomi dėl COVID-19 ligos ir kurie per deklaruojamą laikotarpį buvo išrašyti iš stacionaro arba perkelti gydytis į kitą skyrių dėl kitų ligų, arba perkelti į kitas įstaigas kaip pasveikę, arba kurių tolesniam gydymui nėra būtinos stacionarinės paslaugos, skaičius</w:t>
                </w:r>
              </w:p>
            </w:tc>
            <w:tc>
              <w:tcPr>
                <w:tcW w:w="1909" w:type="dxa"/>
              </w:tcPr>
              <w:p>
                <w:pPr>
                  <w:rPr>
                    <w:szCs w:val="24"/>
                    <w:lang w:eastAsia="lt-LT"/>
                  </w:rPr>
                </w:pPr>
                <w:r>
                  <w:rPr>
                    <w:szCs w:val="24"/>
                    <w:lang w:eastAsia="lt-LT"/>
                  </w:rPr>
                  <w:t>Kiekvieną dieną</w:t>
                </w:r>
              </w:p>
            </w:tc>
          </w:tr>
          <w:tr>
            <w:trPr>
              <w:trHeight w:val="642"/>
            </w:trPr>
            <w:tc>
              <w:tcPr>
                <w:tcW w:w="10053" w:type="dxa"/>
                <w:gridSpan w:val="4"/>
                <w:shd w:val="clear" w:color="auto" w:fill="D9D9D9" w:themeFill="background1" w:themeFillShade="D9"/>
                <w:noWrap/>
                <w:vAlign w:val="center"/>
                <w:hideMark/>
              </w:tcPr>
              <w:p>
                <w:pPr>
                  <w:jc w:val="center"/>
                  <w:rPr>
                    <w:b/>
                    <w:bCs/>
                    <w:szCs w:val="24"/>
                    <w:lang w:eastAsia="lt-LT"/>
                  </w:rPr>
                </w:pPr>
                <w:r>
                  <w:rPr>
                    <w:b/>
                    <w:bCs/>
                    <w:szCs w:val="24"/>
                    <w:lang w:eastAsia="lt-LT"/>
                  </w:rPr>
                  <w:t>Gydymas Remdesiviru</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29.</w:t>
                </w:r>
              </w:p>
            </w:tc>
            <w:tc>
              <w:tcPr>
                <w:tcW w:w="2053" w:type="dxa"/>
                <w:shd w:val="clear" w:color="auto" w:fill="auto"/>
                <w:hideMark/>
              </w:tcPr>
              <w:p>
                <w:pPr>
                  <w:rPr>
                    <w:color w:val="000000"/>
                    <w:szCs w:val="24"/>
                    <w:lang w:eastAsia="lt-LT"/>
                  </w:rPr>
                </w:pPr>
                <w:r>
                  <w:rPr>
                    <w:color w:val="000000"/>
                    <w:szCs w:val="24"/>
                    <w:lang w:eastAsia="lt-LT"/>
                  </w:rPr>
                  <w:t>Per praėjusią parą suvartotų Remdesiviro vaistų kiekis, flakonais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630"/>
            </w:trPr>
            <w:tc>
              <w:tcPr>
                <w:tcW w:w="704" w:type="dxa"/>
                <w:shd w:val="clear" w:color="auto" w:fill="auto"/>
                <w:noWrap/>
              </w:tcPr>
              <w:p>
                <w:pPr>
                  <w:jc w:val="center"/>
                  <w:rPr>
                    <w:color w:val="000000"/>
                    <w:szCs w:val="24"/>
                    <w:lang w:eastAsia="lt-LT"/>
                  </w:rPr>
                </w:pPr>
                <w:r>
                  <w:rPr>
                    <w:color w:val="000000"/>
                    <w:szCs w:val="24"/>
                    <w:lang w:eastAsia="lt-LT"/>
                  </w:rPr>
                  <w:t>30.</w:t>
                </w:r>
              </w:p>
            </w:tc>
            <w:tc>
              <w:tcPr>
                <w:tcW w:w="2053" w:type="dxa"/>
                <w:shd w:val="clear" w:color="auto" w:fill="auto"/>
                <w:hideMark/>
              </w:tcPr>
              <w:p>
                <w:pPr>
                  <w:rPr>
                    <w:color w:val="000000"/>
                    <w:szCs w:val="24"/>
                    <w:lang w:eastAsia="lt-LT"/>
                  </w:rPr>
                </w:pPr>
                <w:r>
                  <w:rPr>
                    <w:color w:val="000000"/>
                    <w:szCs w:val="24"/>
                    <w:lang w:eastAsia="lt-LT"/>
                  </w:rPr>
                  <w:t>Pacientų, kuriems taikomas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r>
            <w:trPr>
              <w:trHeight w:val="945"/>
            </w:trPr>
            <w:tc>
              <w:tcPr>
                <w:tcW w:w="704" w:type="dxa"/>
                <w:shd w:val="clear" w:color="auto" w:fill="auto"/>
                <w:noWrap/>
              </w:tcPr>
              <w:p>
                <w:pPr>
                  <w:jc w:val="center"/>
                  <w:rPr>
                    <w:color w:val="000000"/>
                    <w:szCs w:val="24"/>
                    <w:lang w:eastAsia="lt-LT"/>
                  </w:rPr>
                </w:pPr>
                <w:r>
                  <w:rPr>
                    <w:color w:val="000000"/>
                    <w:szCs w:val="24"/>
                    <w:lang w:eastAsia="lt-LT"/>
                  </w:rPr>
                  <w:t>31.</w:t>
                </w:r>
              </w:p>
            </w:tc>
            <w:tc>
              <w:tcPr>
                <w:tcW w:w="2053" w:type="dxa"/>
                <w:shd w:val="clear" w:color="auto" w:fill="auto"/>
                <w:hideMark/>
              </w:tcPr>
              <w:p>
                <w:pPr>
                  <w:rPr>
                    <w:color w:val="000000"/>
                    <w:szCs w:val="24"/>
                    <w:lang w:eastAsia="lt-LT"/>
                  </w:rPr>
                </w:pPr>
                <w:r>
                  <w:rPr>
                    <w:color w:val="000000"/>
                    <w:szCs w:val="24"/>
                    <w:lang w:eastAsia="lt-LT"/>
                  </w:rPr>
                  <w:t xml:space="preserve">Naujų pacientų, kuriems per praėjusią parą pradėtas taikyti gydymas Remdesiviru  skaičius</w:t>
                </w:r>
              </w:p>
            </w:tc>
            <w:tc>
              <w:tcPr>
                <w:tcW w:w="5387" w:type="dxa"/>
                <w:shd w:val="clear" w:color="auto" w:fill="auto"/>
                <w:noWrap/>
                <w:hideMark/>
              </w:tcPr>
              <w:p>
                <w:pPr>
                  <w:ind w:firstLine="62"/>
                  <w:rPr>
                    <w:color w:val="000000"/>
                    <w:szCs w:val="24"/>
                    <w:lang w:eastAsia="lt-LT"/>
                  </w:rPr>
                </w:pPr>
              </w:p>
            </w:tc>
            <w:tc>
              <w:tcPr>
                <w:tcW w:w="1909" w:type="dxa"/>
              </w:tcPr>
              <w:p>
                <w:pPr>
                  <w:rPr>
                    <w:color w:val="000000"/>
                    <w:szCs w:val="24"/>
                    <w:lang w:eastAsia="lt-LT"/>
                  </w:rPr>
                </w:pPr>
                <w:r>
                  <w:rPr>
                    <w:szCs w:val="24"/>
                    <w:lang w:eastAsia="lt-LT"/>
                  </w:rPr>
                  <w:t>Kiekvieną dieną</w:t>
                </w:r>
              </w:p>
            </w:tc>
          </w:tr>
        </w:tbl>
        <w:p>
          <w:pPr>
            <w:ind w:right="-1"/>
            <w:jc w:val="both"/>
            <w:rPr>
              <w:color w:val="000000"/>
              <w:lang w:eastAsia="lt-LT"/>
            </w:rPr>
          </w:pPr>
        </w:p>
        <w:sdt>
          <w:sdtPr>
            <w:alias w:val="pabaiga"/>
            <w:tag w:val="part_51d0f48977e84447b29115565a22cbe4"/>
            <w:lock w:val="sdtLocked"/>
            <w:richText/>
          </w:sdtPr>
          <w:sdtContent>
            <w:p>
              <w:pPr>
                <w:jc w:val="center"/>
                <w:rPr>
                  <w:sz w:val="22"/>
                  <w:szCs w:val="22"/>
                </w:rPr>
              </w:pPr>
              <w:r>
                <w:rPr>
                  <w:szCs w:val="24"/>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9dc6045ff11edbc04912defe897d1">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2022-10-07,
paskelbta TAR 2022-10-07, i. k. 2022-20534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252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81"/>
    <o:shapelayout v:ext="edit">
      <o:idmap v:ext="edit" data="1"/>
    </o:shapelayout>
  </w:shapeDefaults>
  <w:decimalSymbol w:val=","/>
  <w:listSeparator w:val=";"/>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3.xml"/>
  <Relationship Id="rId16" Type="http://schemas.openxmlformats.org/officeDocument/2006/relationships/header" Target="header44.xml"/>
  <Relationship Id="rId17" Type="http://schemas.openxmlformats.org/officeDocument/2006/relationships/footer" Target="footer43.xml"/>
  <Relationship Id="rId18" Type="http://schemas.openxmlformats.org/officeDocument/2006/relationships/footer" Target="footer44.xml"/>
  <Relationship Id="rId19" Type="http://schemas.openxmlformats.org/officeDocument/2006/relationships/header" Target="header45.xml"/>
  <Relationship Id="rId2" Type="http://schemas.openxmlformats.org/officeDocument/2006/relationships/endnotes" Target="endnotes.xml"/>
  <Relationship Id="rId20" Type="http://schemas.openxmlformats.org/officeDocument/2006/relationships/footer" Target="footer45.xml"/>
  <Relationship Id="rId21" Type="http://schemas.openxmlformats.org/officeDocument/2006/relationships/header" Target="header100.xml"/>
  <Relationship Id="rId22" Type="http://schemas.openxmlformats.org/officeDocument/2006/relationships/header" Target="header101.xml"/>
  <Relationship Id="rId23" Type="http://schemas.openxmlformats.org/officeDocument/2006/relationships/footer" Target="footer100.xml"/>
  <Relationship Id="rId24" Type="http://schemas.openxmlformats.org/officeDocument/2006/relationships/footer" Target="footer101.xml"/>
  <Relationship Id="rId25" Type="http://schemas.openxmlformats.org/officeDocument/2006/relationships/header" Target="header102.xml"/>
  <Relationship Id="rId26" Type="http://schemas.openxmlformats.org/officeDocument/2006/relationships/footer" Target="footer102.xml"/>
  <Relationship Id="rId27" Type="http://schemas.openxmlformats.org/officeDocument/2006/relationships/header" Target="header334.xml"/>
  <Relationship Id="rId28" Type="http://schemas.openxmlformats.org/officeDocument/2006/relationships/header" Target="header335.xml"/>
  <Relationship Id="rId29" Type="http://schemas.openxmlformats.org/officeDocument/2006/relationships/footer" Target="footer334.xml"/>
  <Relationship Id="rId3" Type="http://schemas.openxmlformats.org/officeDocument/2006/relationships/fontTable" Target="fontTable.xml"/>
  <Relationship Id="rId30" Type="http://schemas.openxmlformats.org/officeDocument/2006/relationships/footer" Target="footer335.xml"/>
  <Relationship Id="rId31" Type="http://schemas.openxmlformats.org/officeDocument/2006/relationships/header" Target="header336.xml"/>
  <Relationship Id="rId32" Type="http://schemas.openxmlformats.org/officeDocument/2006/relationships/footer" Target="footer336.xml"/>
  <Relationship Id="rId33" Type="http://schemas.openxmlformats.org/officeDocument/2006/relationships/header" Target="header368.xml"/>
  <Relationship Id="rId34" Type="http://schemas.openxmlformats.org/officeDocument/2006/relationships/header" Target="header369.xml"/>
  <Relationship Id="rId35" Type="http://schemas.openxmlformats.org/officeDocument/2006/relationships/footer" Target="footer352.xml"/>
  <Relationship Id="rId36" Type="http://schemas.openxmlformats.org/officeDocument/2006/relationships/footer" Target="footer353.xml"/>
  <Relationship Id="rId37" Type="http://schemas.openxmlformats.org/officeDocument/2006/relationships/header" Target="header370.xml"/>
  <Relationship Id="rId38" Type="http://schemas.openxmlformats.org/officeDocument/2006/relationships/footer" Target="footer354.xml"/>
  <Relationship Id="rId39"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5bf2b0680c704b5abcb5c9c40e351b42"/>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027bc940ff554f38bf9d7a289f5a81f2"/>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b47e032212fd4b2ca162eaf2f581119a">
    <Part Type="pabaiga" DocPartId="2348d68e663a465b9f06f4bf4cba271f" PartId="51d0f48977e84447b29115565a22cbe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0857B8C-1C43-468F-A8A4-6CE6FCF5F283}">
  <ds:schemaRefs>
    <ds:schemaRef ds:uri="http://lrs.lt/TAIS/DocParts"/>
  </ds:schemaRefs>
</ds:datastoreItem>
</file>

<file path=customXml/itemProps3.xml><?xml version="1.0" encoding="utf-8"?>
<ds:datastoreItem xmlns:ds="http://schemas.openxmlformats.org/officeDocument/2006/customXml" ds:itemID="{8CA1C267-B603-42E7-BA62-DE48FE9C86C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104</TotalTime>
  <Pages>20</Pages>
  <Words>5440</Words>
  <Characters>39162</Characters>
  <Application>Microsoft Office Word</Application>
  <DocSecurity>0</DocSecurity>
  <Lines>326</Lines>
  <Paragraphs>89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44513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2022-10-10T07:00:00Z</dcterms:modified>
  <revision>122</revision>
  <dc:title>2001-05-00</dc:title>
</coreProperties>
</file>