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45.xml" ContentType="application/vnd.openxmlformats-officedocument.drawingml.chart+xml"/>
  <Override PartName="/word/charts/chart46.xml" ContentType="application/vnd.openxmlformats-officedocument.drawingml.chart+xml"/>
  <Override PartName="/word/charts/chart47.xml" ContentType="application/vnd.openxmlformats-officedocument.drawingml.chart+xml"/>
  <Override PartName="/word/charts/chart48.xml" ContentType="application/vnd.openxmlformats-officedocument.drawingml.chart+xml"/>
  <Override PartName="/word/charts/chart49.xml" ContentType="application/vnd.openxmlformats-officedocument.drawingml.chart+xml"/>
  <Override PartName="/word/charts/chart5.xml" ContentType="application/vnd.openxmlformats-officedocument.drawingml.chart+xml"/>
  <Override PartName="/word/charts/chart50.xml" ContentType="application/vnd.openxmlformats-officedocument.drawingml.chart+xml"/>
  <Override PartName="/word/charts/chart51.xml" ContentType="application/vnd.openxmlformats-officedocument.drawingml.chart+xml"/>
  <Override PartName="/word/charts/chart52.xml" ContentType="application/vnd.openxmlformats-officedocument.drawingml.chart+xml"/>
  <Override PartName="/word/charts/chart53.xml" ContentType="application/vnd.openxmlformats-officedocument.drawingml.chart+xml"/>
  <Override PartName="/word/charts/chart54.xml" ContentType="application/vnd.openxmlformats-officedocument.drawingml.chart+xml"/>
  <Override PartName="/word/charts/chart55.xml" ContentType="application/vnd.openxmlformats-officedocument.drawingml.chart+xml"/>
  <Override PartName="/word/charts/chart56.xml" ContentType="application/vnd.openxmlformats-officedocument.drawingml.chart+xml"/>
  <Override PartName="/word/charts/chart57.xml" ContentType="application/vnd.openxmlformats-officedocument.drawingml.chart+xml"/>
  <Override PartName="/word/charts/chart58.xml" ContentType="application/vnd.openxmlformats-officedocument.drawingml.chart+xml"/>
  <Override PartName="/word/charts/chart59.xml" ContentType="application/vnd.openxmlformats-officedocument.drawingml.chart+xml"/>
  <Override PartName="/word/charts/chart6.xml" ContentType="application/vnd.openxmlformats-officedocument.drawingml.chart+xml"/>
  <Override PartName="/word/charts/chart60.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0b4a9b76b95446cb1ac1b09d428037c"/>
        <w:lock w:val="sdtLocked"/>
        <w:richText/>
      </w:sdtPr>
      <w:sdtContent>
        <w:p>
          <w:pPr>
            <w:jc w:val="both"/>
            <w:rPr>
              <w:rFonts w:ascii="Times New Roman" w:hAnsi="Times New Roman"/>
            </w:rPr>
          </w:pPr>
          <w:r>
            <w:rPr>
              <w:rFonts w:ascii="Times New Roman" w:hAnsi="Times New Roman"/>
              <w:b/>
              <w:i/>
            </w:rPr>
            <w:t>Suvestinė redakcija nuo 2023-01-04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2022-02-22, i. k. 2022-03209</w:t>
          </w:r>
        </w:p>
        <w:p>
          <w:pPr>
            <w:jc w:val="both"/>
            <w:rPr>
              <w:rFonts w:ascii="Times New Roman" w:hAnsi="Times New Roman"/>
              <w:sz w:val="20"/>
            </w:rPr>
          </w:pPr>
        </w:p>
        <w:p>
          <w:pPr>
            <w:tabs>
              <w:tab w:val="center" w:pos="4320"/>
              <w:tab w:val="right" w:pos="8640"/>
            </w:tabs>
            <w:rPr>
              <w:lang w:val="en-GB"/>
            </w:rPr>
          </w:pPr>
        </w:p>
        <w:p>
          <w:pPr>
            <w:keepNext/>
            <w:jc w:val="center"/>
            <w:rPr>
              <w:b/>
              <w:lang w:val="en-GB"/>
            </w:rPr>
          </w:pPr>
          <w:r>
            <w:rPr>
              <w:b/>
              <w:szCs w:val="24"/>
              <w:lang w:eastAsia="lt-LT"/>
            </w:rPr>
            <w:drawing>
              <wp:inline distT="0" distB="0" distL="0" distR="0">
                <wp:extent cx="447675" cy="542925"/>
                <wp:effectExtent l="0" t="0" r="9525" b="9525"/>
                <wp:docPr id="10" name="Paveikslėlis 10" descr="rajono nespalv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jono nespalvota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47675" cy="542925"/>
                        </a:xfrm>
                        <a:prstGeom prst="rect">
                          <a:avLst/>
                        </a:prstGeom>
                        <a:noFill/>
                        <a:ln>
                          <a:noFill/>
                        </a:ln>
                      </pic:spPr>
                    </pic:pic>
                  </a:graphicData>
                </a:graphic>
              </wp:inline>
            </w:drawing>
          </w:r>
        </w:p>
        <w:p>
          <w:pPr>
            <w:jc w:val="center"/>
            <w:rPr>
              <w:szCs w:val="24"/>
              <w:lang w:val="en-GB"/>
            </w:rPr>
          </w:pPr>
          <w:r>
            <w:rPr>
              <w:b/>
              <w:lang w:val="en-GB"/>
            </w:rPr>
            <w:t>ALYTAUS RAJONO SAVIVALDYBĖS TARYBA</w:t>
          </w:r>
        </w:p>
        <w:p>
          <w:pPr>
            <w:jc w:val="center"/>
            <w:rPr>
              <w:szCs w:val="24"/>
              <w:lang w:val="en-GB"/>
            </w:rPr>
          </w:pPr>
        </w:p>
        <w:p>
          <w:pPr>
            <w:keepNext/>
            <w:jc w:val="center"/>
            <w:rPr>
              <w:b/>
              <w:lang w:val="en-GB"/>
            </w:rPr>
          </w:pPr>
          <w:r>
            <w:rPr>
              <w:b/>
              <w:lang w:val="en-GB"/>
            </w:rPr>
            <w:t>SPRENDIMAS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val="en-GB" w:eastAsia="lt-LT"/>
            </w:rPr>
          </w:pPr>
          <w:r>
            <w:rPr>
              <w:b/>
              <w:bCs/>
              <w:szCs w:val="24"/>
              <w:lang w:val="en-GB" w:eastAsia="lt-LT"/>
            </w:rPr>
            <w:t>DĖL ALYTAUS RAJONO SAVIVALDYBĖS 2022–2024 METŲ STRATEGINIO VEIKLOS PLANO PATVIRTINIMO</w:t>
          </w:r>
        </w:p>
        <w:p>
          <w:pPr>
            <w:rPr>
              <w:lang w:val="en-GB"/>
            </w:rPr>
          </w:pPr>
        </w:p>
        <w:p>
          <w:pPr>
            <w:jc w:val="center"/>
            <w:rPr>
              <w:lang w:val="en-GB"/>
            </w:rPr>
          </w:pPr>
          <w:r>
            <w:rPr>
              <w:lang w:val="en-GB"/>
            </w:rPr>
            <w:t>2022 m. vasario 17 d. Nr. K-1</w:t>
          </w:r>
        </w:p>
        <w:p>
          <w:pPr>
            <w:keepNext/>
            <w:jc w:val="center"/>
            <w:outlineLvl w:val="1"/>
            <w:rPr>
              <w:lang w:val="en-GB"/>
            </w:rPr>
          </w:pPr>
          <w:r>
            <w:rPr>
              <w:lang w:val="en-GB"/>
            </w:rPr>
            <w:t>Alytus</w:t>
          </w:r>
        </w:p>
        <w:p>
          <w:pPr>
            <w:tabs>
              <w:tab w:val="center" w:pos="4320"/>
              <w:tab w:val="right" w:pos="8640"/>
            </w:tabs>
            <w:ind w:firstLine="711"/>
            <w:jc w:val="both"/>
            <w:rPr>
              <w:rFonts w:eastAsia="Courier New"/>
              <w:lang w:val="en-GB"/>
            </w:rPr>
          </w:pPr>
        </w:p>
        <w:sdt>
          <w:sdtPr>
            <w:alias w:val="preambule"/>
            <w:tag w:val="part_6137284f9627421eace717f9d23e20c6"/>
            <w:lock w:val="sdtLocked"/>
            <w:richText/>
          </w:sdtPr>
          <w:sdtContent>
            <w:p>
              <w:pPr>
                <w:tabs>
                  <w:tab w:val="center" w:pos="4320"/>
                  <w:tab w:val="right" w:pos="8640"/>
                </w:tabs>
                <w:ind w:firstLine="711"/>
                <w:jc w:val="both"/>
                <w:rPr>
                  <w:rFonts w:eastAsia="Courier New"/>
                </w:rPr>
              </w:pPr>
              <w:r>
                <w:rPr>
                  <w:rFonts w:eastAsia="Courier New"/>
                  <w:lang w:val="en-GB"/>
                </w:rPr>
                <w:t>Vadovaudamasi Lietuvos Respublikos vietos savivaldos įstatymo 16 straipsnio 2 dalies 40 punktu i</w:t>
              </w:r>
              <w:r>
                <w:rPr>
                  <w:iCs/>
                  <w:lang w:val="en-GB"/>
                </w:rPr>
                <w:t xml:space="preserve">r įgyvendindama </w:t>
              </w:r>
              <w:r>
                <w:rPr>
                  <w:lang w:val="en-GB" w:eastAsia="ar-SA"/>
                </w:rPr>
                <w:t>Alytaus rajono savivaldybės strateginio planavimo organizavimo tvarkos</w:t>
              </w:r>
              <w:r>
                <w:rPr>
                  <w:szCs w:val="24"/>
                </w:rPr>
                <w:t xml:space="preserve"> aprašo, patvirtinto Alytaus rajono savivaldybės tarybos 2021 m. rugsėjo 16 d. sprendimu Nr. K-172 „Dėl </w:t>
              </w:r>
              <w:r>
                <w:rPr>
                  <w:lang w:eastAsia="ar-SA"/>
                </w:rPr>
                <w:t>Alytaus rajono savivaldybės strateginio planavimo organizavimo tvarkos</w:t>
              </w:r>
              <w:r>
                <w:rPr>
                  <w:szCs w:val="24"/>
                </w:rPr>
                <w:t xml:space="preserve"> aprašo patvirtinimo“</w:t>
              </w:r>
              <w:r>
                <w:t>, 46 punktą</w:t>
              </w:r>
              <w:r>
                <w:rPr>
                  <w:iCs/>
                </w:rPr>
                <w:t xml:space="preserve">, </w:t>
              </w:r>
              <w:r>
                <w:rPr>
                  <w:bCs/>
                </w:rPr>
                <w:t xml:space="preserve">Alytaus rajono savivaldybės 2021-2028 metų strateginio plėtros plano, patvirtinto Alytaus rajono savivaldybės tarybos 2020 m. gruodžio 28 d. sprendimu Nr. K-268 „Dėl Alytaus rajono savivaldybės 2021-2028 metų strateginės plėtros plano patvirtinimo“, </w:t>
              </w:r>
              <w:r>
                <w:rPr>
                  <w:iCs/>
                </w:rPr>
                <w:t xml:space="preserve">Alytaus rajono savivaldybės taryba </w:t>
              </w:r>
              <w:r>
                <w:rPr>
                  <w:iCs/>
                  <w:spacing w:val="60"/>
                </w:rPr>
                <w:t>nusprendži</w:t>
              </w:r>
              <w:r>
                <w:rPr>
                  <w:iCs/>
                </w:rPr>
                <w:t>a:</w:t>
              </w:r>
            </w:p>
          </w:sdtContent>
        </w:sdt>
        <w:sdt>
          <w:sdtPr>
            <w:alias w:val="pastraipa"/>
            <w:tag w:val="part_17cfbe0472d1442c91a084d23cf430db"/>
            <w:lock w:val="sdtLocked"/>
            <w:richText/>
          </w:sdtPr>
          <w:sdtContent>
            <w:p>
              <w:pPr>
                <w:tabs>
                  <w:tab w:val="left" w:pos="71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11"/>
                <w:jc w:val="both"/>
                <w:rPr>
                  <w:lang w:val="en-GB"/>
                </w:rPr>
              </w:pPr>
              <w:r>
                <w:rPr>
                  <w:szCs w:val="24"/>
                  <w:lang w:val="en-GB" w:eastAsia="lt-LT"/>
                </w:rPr>
                <w:t>patvirtinti Alytaus rajono savivaldybės 2022–2024 metų strateginį veiklos planą (pridedama).</w:t>
              </w:r>
            </w:p>
            <w:p>
              <w:pPr>
                <w:rPr>
                  <w:lang w:val="en-GB"/>
                </w:rPr>
              </w:pPr>
            </w:p>
          </w:sdtContent>
        </w:sdt>
        <w:sdt>
          <w:sdtPr>
            <w:alias w:val="signatura"/>
            <w:tag w:val="part_40b03603aaa1467fbd306f770a00f4bb"/>
            <w:lock w:val="sdtLocked"/>
            <w:richText/>
          </w:sdtPr>
          <w:sdtContent>
            <w:p/>
            <w:p/>
            <w:p/>
            <w:p>
              <w:pPr>
                <w:rPr>
                  <w:rFonts w:eastAsia="Calibri"/>
                  <w:szCs w:val="24"/>
                  <w:lang w:eastAsia="lt-LT"/>
                </w:rPr>
              </w:pPr>
              <w:r>
                <w:rPr>
                  <w:szCs w:val="24"/>
                </w:rPr>
                <w:t>Savivaldybės meras</w:t>
                <w:tab/>
                <w:tab/>
                <w:tab/>
                <w:tab/>
                <w:tab/>
                <w:tab/>
                <w:tab/>
                <w:tab/>
              </w:r>
              <w:r>
                <w:rPr>
                  <w:lang w:val="en-GB"/>
                </w:rPr>
                <w:t>Algirdas Vrubliauskas</w:t>
              </w:r>
            </w:p>
            <w:p>
              <w:pPr>
                <w:jc w:val="center"/>
                <w:rPr>
                  <w:szCs w:val="24"/>
                  <w:lang w:eastAsia="lt-LT"/>
                </w:rPr>
              </w:pPr>
            </w:p>
          </w:sdtContent>
        </w:sdt>
      </w:sdtContent>
    </w:sdt>
    <w:sdt>
      <w:sdtPr>
        <w:alias w:val="1 frm."/>
        <w:tag w:val="part_da43e705ed8a451e9d28fdcca7f9cd8f"/>
        <w:lock w:val="sdtLocked"/>
        <w:richText/>
      </w:sdtPr>
      <w:sdtContent>
        <w:p>
          <w:pPr>
            <w:ind w:left="5040"/>
            <w:sectPr>
              <w:headerReference w:type="even" r:id="rId34"/>
              <w:headerReference w:type="default" r:id="rId35"/>
              <w:footerReference w:type="even" r:id="rId36"/>
              <w:footerReference w:type="default" r:id="rId37"/>
              <w:headerReference w:type="first" r:id="rId38"/>
              <w:footerReference w:type="first" r:id="rId39"/>
              <w:pgSz w:w="11907" w:h="16839" w:code="9"/>
              <w:pgMar w:top="1134" w:right="567" w:bottom="1134" w:left="1701" w:header="567" w:footer="567" w:gutter="0"/>
              <w:cols w:space="708"/>
              <w:titlePg/>
              <w:docGrid w:linePitch="326"/>
            </w:sectPr>
          </w:pPr>
        </w:p>
        <w:p>
          <w:pPr>
            <w:ind w:left="5040"/>
            <w:rPr>
              <w:szCs w:val="24"/>
              <w:lang w:eastAsia="lt-LT"/>
            </w:rPr>
          </w:pPr>
          <w:r>
            <w:rPr>
              <w:rFonts w:eastAsia="Calibri"/>
              <w:szCs w:val="24"/>
              <w:lang w:eastAsia="lt-LT"/>
            </w:rPr>
            <w:t>PATVIRTINTA</w:t>
          </w:r>
        </w:p>
        <w:p>
          <w:pPr>
            <w:ind w:left="5040"/>
            <w:rPr>
              <w:rFonts w:eastAsia="Calibri"/>
              <w:szCs w:val="24"/>
              <w:lang w:eastAsia="lt-LT"/>
            </w:rPr>
          </w:pPr>
          <w:r>
            <w:rPr>
              <w:rFonts w:eastAsia="Calibri"/>
              <w:szCs w:val="24"/>
              <w:lang w:eastAsia="lt-LT"/>
            </w:rPr>
            <w:t xml:space="preserve">Alytaus rajono savivaldybės tarybos </w:t>
          </w:r>
        </w:p>
        <w:p>
          <w:pPr>
            <w:ind w:left="5040"/>
            <w:rPr>
              <w:rFonts w:eastAsia="Calibri"/>
              <w:szCs w:val="24"/>
              <w:lang w:eastAsia="lt-LT"/>
            </w:rPr>
          </w:pPr>
          <w:r>
            <w:rPr>
              <w:rFonts w:eastAsia="Calibri"/>
              <w:szCs w:val="24"/>
              <w:lang w:eastAsia="lt-LT"/>
            </w:rPr>
            <w:t>2022 m. vasario 17 d. sprendimu Nr. K-1</w:t>
          </w:r>
        </w:p>
        <w:p>
          <w:pPr>
            <w:ind w:left="5040" w:firstLine="720"/>
            <w:rPr>
              <w:rFonts w:eastAsia="Calibri"/>
              <w:szCs w:val="24"/>
              <w:lang w:eastAsia="lt-LT"/>
            </w:rPr>
          </w:pPr>
        </w:p>
        <w:p>
          <w:pPr>
            <w:ind w:left="5040" w:right="141" w:firstLine="720"/>
            <w:jc w:val="right"/>
            <w:rPr>
              <w:rFonts w:eastAsia="Calibri"/>
              <w:szCs w:val="24"/>
              <w:lang w:eastAsia="lt-LT"/>
            </w:rPr>
          </w:pPr>
          <w:sdt>
            <w:sdtPr>
              <w:alias w:val="Numeris"/>
              <w:tag w:val="nr_da43e705ed8a451e9d28fdcca7f9cd8f"/>
              <w:lock w:val="sdtLocked"/>
              <w:richText/>
            </w:sdtPr>
            <w:sdtContent>
              <w:r>
                <w:rPr>
                  <w:rFonts w:eastAsia="Calibri"/>
                  <w:szCs w:val="24"/>
                  <w:lang w:eastAsia="lt-LT"/>
                </w:rPr>
                <w:t>1</w:t>
              </w:r>
            </w:sdtContent>
          </w:sdt>
          <w:r>
            <w:rPr>
              <w:rFonts w:eastAsia="Calibri"/>
              <w:szCs w:val="24"/>
              <w:lang w:eastAsia="lt-LT"/>
            </w:rPr>
            <w:t>a forma</w:t>
          </w:r>
        </w:p>
        <w:p>
          <w:pPr>
            <w:ind w:left="5823"/>
            <w:rPr>
              <w:rFonts w:eastAsia="Calibri"/>
              <w:szCs w:val="24"/>
              <w:lang w:eastAsia="lt-LT"/>
            </w:rPr>
          </w:pPr>
        </w:p>
        <w:p>
          <w:pPr>
            <w:rPr>
              <w:bCs/>
            </w:rPr>
          </w:pPr>
        </w:p>
        <w:p>
          <w:pPr>
            <w:ind w:firstLine="62"/>
            <w:jc w:val="center"/>
            <w:rPr>
              <w:b/>
              <w:szCs w:val="22"/>
            </w:rPr>
          </w:pPr>
          <w:sdt>
            <w:sdtPr>
              <w:alias w:val="Pavadinimas"/>
              <w:tag w:val="title_da43e705ed8a451e9d28fdcca7f9cd8f"/>
              <w:lock w:val="sdtLocked"/>
              <w:richText/>
            </w:sdtPr>
            <w:sdtContent>
              <w:r>
                <w:rPr>
                  <w:b/>
                  <w:szCs w:val="22"/>
                </w:rPr>
                <w:t>ALYTAUS RAJONO SAVIVALDYBĖS 2022–2024 METŲ STRATEGINIS VEIKLOS PLANAS</w:t>
              </w:r>
            </w:sdtContent>
          </w:sdt>
        </w:p>
        <w:p>
          <w:pPr>
            <w:rPr>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87"/>
            <w:gridCol w:w="7858"/>
          </w:tblGrid>
          <w:tr>
            <w:trPr>
              <w:cantSplit/>
              <w:trHeight w:val="128"/>
            </w:trPr>
            <w:tc>
              <w:tcPr>
                <w:tcW w:w="1787" w:type="dxa"/>
                <w:vMerge w:val="restart"/>
              </w:tcPr>
              <w:p>
                <w:pPr>
                  <w:jc w:val="both"/>
                  <w:rPr>
                    <w:szCs w:val="22"/>
                  </w:rPr>
                </w:pPr>
                <w:r>
                  <w:rPr>
                    <w:szCs w:val="22"/>
                  </w:rPr>
                  <w:t>Asignavimų valdytojas (-ai)</w:t>
                </w:r>
              </w:p>
            </w:tc>
            <w:tc>
              <w:tcPr>
                <w:tcW w:w="7858" w:type="dxa"/>
                <w:tcBorders>
                  <w:bottom w:val="nil"/>
                </w:tcBorders>
                <w:vAlign w:val="center"/>
              </w:tcPr>
              <w:p>
                <w:pPr>
                  <w:rPr>
                    <w:szCs w:val="24"/>
                  </w:rPr>
                </w:pPr>
                <w:r>
                  <w:rPr>
                    <w:szCs w:val="24"/>
                  </w:rPr>
                  <w:t>Alytaus rajono savivaldybės administracijos direktorius, 188718528</w:t>
                </w:r>
              </w:p>
              <w:p>
                <w:pPr>
                  <w:rPr>
                    <w:szCs w:val="24"/>
                  </w:rPr>
                </w:pPr>
                <w:r>
                  <w:rPr>
                    <w:szCs w:val="24"/>
                  </w:rPr>
                  <w:t>Alytaus rajono savivaldybės kontrolierius, 188652583</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Alytaus r. Butrimonių gimnazijos direktorius, 190244763</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 xml:space="preserve">Alytus r. meno ir sporto mokyklos direktorius, </w:t>
                </w:r>
                <w:r>
                  <w:rPr>
                    <w:bCs/>
                    <w:szCs w:val="24"/>
                  </w:rPr>
                  <w:t>190247688</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Alytaus rajono Daugų Vlado Mirono gimnazijos direktorius, 190244044</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Alytaus r. Krokialaukio Tomo Noraus-Naruševičiaus gimnazijos direktorius, 190245331</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 xml:space="preserve">Alytaus rajono savivaldybės kultūros centro direktorius, </w:t>
                </w:r>
                <w:r>
                  <w:t>304562801</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 xml:space="preserve">Alytaus r. Miroslavo gimnazijos direktorius, </w:t>
                </w:r>
                <w:r>
                  <w:rPr>
                    <w:bCs/>
                    <w:szCs w:val="24"/>
                  </w:rPr>
                  <w:t>290245670</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 xml:space="preserve">Alytaus r. Pivašiūnų gimnazijos direktorius, </w:t>
                </w:r>
                <w:r>
                  <w:rPr>
                    <w:bCs/>
                    <w:szCs w:val="24"/>
                  </w:rPr>
                  <w:t>190245865</w:t>
                </w:r>
              </w:p>
              <w:p>
                <w:pPr>
                  <w:rPr>
                    <w:szCs w:val="24"/>
                  </w:rPr>
                </w:pPr>
                <w:r>
                  <w:t xml:space="preserve">Alytaus rajono savivaldybės </w:t>
                </w:r>
                <w:r>
                  <w:rPr>
                    <w:iCs/>
                  </w:rPr>
                  <w:t xml:space="preserve">Pivašiūnų globos namų direktorius, </w:t>
                </w:r>
                <w:r>
                  <w:t>304081885</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jc w:val="both"/>
                  <w:rPr>
                    <w:bCs/>
                    <w:szCs w:val="24"/>
                  </w:rPr>
                </w:pPr>
                <w:r>
                  <w:rPr>
                    <w:szCs w:val="24"/>
                  </w:rPr>
                  <w:t>Alytaus rajono savivaldybės biudžetinės įstaigos priešgaisrinės apsaugos tarnybos direktorius, 188731956</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Alytaus rajono savivaldybės Miroslavo globos namų direktorius, 153713044</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Alytaus rajono savivaldybės visuomenės sveikatos biuro direktorius, 301785539</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Alytaus r. Simno gimnazijos direktorius, 290244230</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Alytaus rajono Simno specialiosios mokyklos direktorius, 190984347</w:t>
                </w:r>
              </w:p>
            </w:tc>
          </w:tr>
          <w:tr>
            <w:trPr>
              <w:cantSplit/>
              <w:trHeight w:val="127"/>
            </w:trPr>
            <w:tc>
              <w:tcPr>
                <w:tcW w:w="1787" w:type="dxa"/>
                <w:vMerge/>
                <w:vAlign w:val="center"/>
              </w:tcPr>
              <w:p>
                <w:pPr>
                  <w:rPr>
                    <w:szCs w:val="22"/>
                  </w:rPr>
                </w:pPr>
              </w:p>
            </w:tc>
            <w:tc>
              <w:tcPr>
                <w:tcW w:w="7858" w:type="dxa"/>
                <w:tcBorders>
                  <w:top w:val="nil"/>
                  <w:bottom w:val="single" w:sz="2" w:space="0" w:color="auto"/>
                </w:tcBorders>
                <w:vAlign w:val="center"/>
              </w:tcPr>
              <w:p>
                <w:pPr>
                  <w:jc w:val="both"/>
                  <w:rPr>
                    <w:szCs w:val="24"/>
                  </w:rPr>
                </w:pPr>
                <w:r>
                  <w:rPr>
                    <w:szCs w:val="24"/>
                  </w:rPr>
                  <w:t>Alytaus rajono savivaldybės viešosios bibliotekos direktorius, 188202383</w:t>
                </w:r>
              </w:p>
            </w:tc>
          </w:tr>
        </w:tbl>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80" w:firstRow="0" w:lastRow="0" w:firstColumn="1" w:lastColumn="0" w:noHBand="0" w:noVBand="0"/>
          </w:tblPr>
          <w:tblGrid>
            <w:gridCol w:w="9623"/>
          </w:tblGrid>
          <w:tr>
            <w:tc>
              <w:tcPr>
                <w:tcW w:w="4974" w:type="pct"/>
                <w:shd w:val="clear" w:color="auto" w:fill="auto"/>
              </w:tcPr>
              <w:p>
                <w:pPr>
                  <w:jc w:val="center"/>
                  <w:rPr>
                    <w:b/>
                    <w:szCs w:val="24"/>
                  </w:rPr>
                </w:pPr>
                <w:r>
                  <w:rPr>
                    <w:b/>
                    <w:szCs w:val="24"/>
                  </w:rPr>
                  <w:t>APLINKOS IR IŠTEKLIŲ ANALIZĖ</w:t>
                </w:r>
              </w:p>
            </w:tc>
          </w:tr>
          <w:tr>
            <w:tc>
              <w:tcPr>
                <w:tcW w:w="4974" w:type="pct"/>
                <w:shd w:val="clear" w:color="auto" w:fill="auto"/>
              </w:tcPr>
              <w:p>
                <w:pPr>
                  <w:jc w:val="center"/>
                  <w:rPr>
                    <w:b/>
                    <w:szCs w:val="24"/>
                  </w:rPr>
                </w:pPr>
                <w:r>
                  <w:rPr>
                    <w:b/>
                    <w:szCs w:val="24"/>
                  </w:rPr>
                  <w:t>Išorinės aplinkos analizė:</w:t>
                </w:r>
              </w:p>
            </w:tc>
          </w:tr>
          <w:tr>
            <w:tc>
              <w:tcPr>
                <w:tcW w:w="4974" w:type="pct"/>
                <w:shd w:val="clear" w:color="auto" w:fill="auto"/>
              </w:tcPr>
              <w:p>
                <w:pPr>
                  <w:jc w:val="center"/>
                  <w:rPr>
                    <w:b/>
                    <w:szCs w:val="24"/>
                  </w:rPr>
                </w:pPr>
                <w:r>
                  <w:rPr>
                    <w:b/>
                    <w:szCs w:val="24"/>
                  </w:rPr>
                  <w:t>Politiniai veiksniai</w:t>
                </w:r>
              </w:p>
              <w:p>
                <w:pPr>
                  <w:ind w:firstLine="567"/>
                  <w:jc w:val="both"/>
                  <w:rPr>
                    <w:szCs w:val="24"/>
                  </w:rPr>
                </w:pPr>
                <w:r>
                  <w:rPr>
                    <w:szCs w:val="24"/>
                  </w:rPr>
                  <w:t xml:space="preserve">Alytaus rajono savivaldybė veiklą vykdo ir įvairias funkcijas atlieka vadovaudamasi ne tik vidiniais dokumentais (nutarimais, įsakymais, tvarkomis ir pan.), bet labai didelę reikšmę turi Lietuvos Respublikos Vyriausybės, Seimo privalomojo, rekomendacinio ir informacinio pobūdžio teisės aktai.  </w:t>
                </w:r>
              </w:p>
              <w:p>
                <w:pPr>
                  <w:ind w:firstLine="567"/>
                  <w:jc w:val="both"/>
                  <w:rPr>
                    <w:b/>
                    <w:szCs w:val="24"/>
                  </w:rPr>
                </w:pPr>
                <w:r>
                  <w:rPr>
                    <w:bCs/>
                    <w:szCs w:val="24"/>
                  </w:rPr>
                  <w:t xml:space="preserve">Vyriausybė siekia ekonomikos augimo, užimtumo didinimo, skurdo ir socialinės atskirties mažinimo, energinio efektyvumo ir saugumo didinimo, švietimo, mokslo, kultūros ir sveikatinimo politikos įgyvendinimo gerinant kokybę ir prieinamumą, Europos Sąjungos, užsienio ir gynybos politikos stiprinimo. Tai yra prioritetinės Vyriausybės kryptys, kuriose ypač reikalingos permainos. </w:t>
                </w:r>
                <w:r>
                  <w:rPr>
                    <w:szCs w:val="24"/>
                  </w:rPr>
                  <w:t>Vyriausybė taip pat vykdys buvusio ministrų kabineto pradėtų ir šaliai naudingų darbų tęstinumą.</w:t>
                </w:r>
              </w:p>
              <w:p>
                <w:pPr>
                  <w:ind w:firstLine="620"/>
                  <w:jc w:val="both"/>
                  <w:rPr>
                    <w:bCs/>
                    <w:szCs w:val="24"/>
                  </w:rPr>
                </w:pPr>
                <w:r>
                  <w:rPr>
                    <w:bCs/>
                    <w:szCs w:val="24"/>
                  </w:rPr>
                  <w:t xml:space="preserve">Pasaulis nuolat kinta. Būtina greičiau į tai reaguoti, išnaudoti galimybes, keistis ir prisitaikyti prie pokyčių. Todėl visuomenės gyvenimas, ekonomika ir valdymas turi būti pagrįsti principais, leidžiančiais mums drąsiai sutikti naujus iššūkius. Lietuvos pažangos strategija „Lietuva 2030“(toliau –Strategija) –tai valstybės vizija  ir  raidos  prioritetai  bei  jų  įgyvendinimo  kryptys  iki  2030  metų. Tai pagrindinis   planavimo   dokumentas, kuriuo   turi būti  vadovaujamasipriimant strateginius sprendimus ir rengiantvalstybės planus arprogramas. Šalies  gerovės  ir  raidos  procesų  pagrindas  yra  nacionalinis  saugumas  ir tik  jį užtikrinus  galima siektišalies darnios  pažangos. Kartušalies  pažangos  procesai,darantys poveikį visuomenės brandai ir sąmoningumui bei šalies gerovės augimui,padės įtvirtinti nacionalinio saugumo interesus.Strategija nustato šalies raidos kryptis, suprantamas ir priimtinas Lietuvos žmonėms, jų   bendruomenėms,   nevyriausybinėms   ir   verslo   organizacijoms,   valdžios institucijoms. Strategija nekelia tikslų ir uždavinių atskiriems šalies ūkio sektoriams, tačiau pabrėžia esminių  pokyčių poreikį. Šių  pokyčių dalyvisgali būti  kiekvienas Lietuvos gyventojas.  Strategijabuvo grindžiama remiantis darnaus  vystymosi  principais  bei Lietuvos valstybės  ir  visuomenės vystymosi</w:t>
                </w:r>
                <w:r>
                  <w:rPr>
                    <w:sz w:val="30"/>
                    <w:szCs w:val="30"/>
                    <w:lang w:eastAsia="lt-LT"/>
                  </w:rPr>
                  <w:t xml:space="preserve"> </w:t>
                </w:r>
                <w:r>
                  <w:rPr>
                    <w:bCs/>
                    <w:szCs w:val="24"/>
                  </w:rPr>
                  <w:t xml:space="preserve">materialiaisiaisir  nematerialiaisiais  ištekliais: gamtos  ištekliais,  turtinga  istorine  patirtimi  ir  kultūros  paveldu,  profesinėmis  ir kvalifikacinėmis  galimybėmis,  aukšta  darbo  kultūra,  stabilia  teisės  sistema,  gera informacinių  technologijų  ir  skaitmenine  infrastruktūra.  Kartu  įvertintos  ir  problemos:  tapatybės  krizė,  stereotipų  galia,  emigracija,  visuomenės  uždarumas, tolerancijos ir pasitikėjimo trūkumas, rūpesčio vienas kitu ir supančia aplinka stoka, silpnas  tikėjimas  šalies  sėkme.  Šioms  problemoms  spręsti  skiriamos  esminės iniciatyvos. Strategijaiįgyvendintireikia piliečių pritarimo, ryžtokeistis, tarpusavio pasitikėjimo, pagarbos  ir  iniciatyvos.  Jeigu  visuomenė  bus  tik  pasyvi  stebėtoja,  negalėsime įgyvendinti  numatytų  iniciatyvų,  nepavyks  sumažinti  socialinės  atskirties, visuomenės  uždarumo,  sustiprinti  bendruomenių  solidarumo,    užtikrinti  lyčių lygybės, pasiekti reikšmingų pokyčių kitose svarbiose srityse. Turime įveikti inerciją ir kontrastus, nustatyti aiškius tikslus ir jų nuosekliai siekti. Piliečiai turi žinoti, kad jų teisės bus tinkamai apgintos, sumažinta socialinė įtampa ir sukurta saugi aplinka, kurioje  kiekvienas  galės  užsiimti  mėgstama  veikla,  gauti  deramą  atlygį,  užtikrinti savo ir savo artimųjų gerovę ir kartu prisidėti prie valstybės sėkmės. </w:t>
                </w:r>
              </w:p>
              <w:p>
                <w:pPr>
                  <w:ind w:firstLine="620"/>
                  <w:jc w:val="both"/>
                  <w:rPr>
                    <w:sz w:val="20"/>
                    <w:lang w:eastAsia="lt-LT"/>
                  </w:rPr>
                </w:pPr>
                <w:r>
                  <w:rPr>
                    <w:bCs/>
                    <w:szCs w:val="24"/>
                  </w:rPr>
                  <w:t xml:space="preserve">Sanglaudos politika yra laikoma vienu pagrindinių Lietuvos narystės ES privalumų, o ES fondų investicijos yra pripažįstamos svarbiu Lietuvos ūkio ekonomikos varikliu. </w:t>
                </w:r>
                <w:r>
                  <w:rPr>
                    <w:bCs/>
                    <w:szCs w:val="24"/>
                    <w:lang w:val="en-GB"/>
                  </w:rPr>
                  <w:t>ES sanglaudos politika prisideda prie ekonominės, socialinės ir teritorinės sanglaudos Europos Sąjungoje stiprinimo. Juo siekiama ištaisyti šalių ir regionų disbalansą. Juo įgyvendinami Sąjungos politiniai prioritetai, ypač perėjimas prie ekologiško ir skaitmeninio perėjimo.</w:t>
                </w:r>
              </w:p>
              <w:p>
                <w:pPr>
                  <w:ind w:firstLine="567"/>
                  <w:jc w:val="both"/>
                  <w:rPr>
                    <w:bCs/>
                    <w:szCs w:val="24"/>
                    <w:lang w:eastAsia="lt-LT"/>
                  </w:rPr>
                </w:pPr>
                <w:r>
                  <w:rPr>
                    <w:b/>
                    <w:bCs/>
                    <w:szCs w:val="24"/>
                    <w:lang w:eastAsia="lt-LT"/>
                  </w:rPr>
                  <w:t>Svarbiausi iššūkiai Lietuvai:</w:t>
                </w:r>
                <w:r>
                  <w:rPr>
                    <w:bCs/>
                    <w:szCs w:val="24"/>
                    <w:lang w:eastAsia="lt-LT"/>
                  </w:rPr>
                  <w:t xml:space="preserve"> netikėtai ištikusios krizės dėl COVID-19 pandemijos pasekmių šalinimas bei ekonomikos ir socialinių sistemų atsparumo krizėms didinimas, lėta Lietuvos ekonomikos transformacija link aukštesnės pridėtinės vertės, socialinė atskirtis ir nelygybė, kuri pandemijos metu tapo dar gilesnė, netolygi švietimo kokybė, lėtas švietimo skaitmenizavimas, prasti Lietuvos gyventojų bendros sveikatos rodikliai, ekonominiai ir socialiniai regioniniai skirtumai, nepakankamas TEN-T junglumas ir saugumas, spartėjanti klimato kaita, taršus transporto sektorius.</w:t>
                </w:r>
              </w:p>
              <w:p>
                <w:pPr>
                  <w:ind w:firstLine="567"/>
                  <w:jc w:val="both"/>
                  <w:rPr>
                    <w:bCs/>
                    <w:szCs w:val="24"/>
                    <w:lang w:eastAsia="lt-LT"/>
                  </w:rPr>
                </w:pPr>
                <w:r>
                  <w:rPr>
                    <w:bCs/>
                    <w:szCs w:val="24"/>
                    <w:lang w:eastAsia="lt-LT"/>
                  </w:rPr>
                  <w:t xml:space="preserve">Ekonominės raidos scenarijuje numatoma, kad Lietuvos ekonomika dėl su </w:t>
                </w:r>
                <w:r>
                  <w:rPr>
                    <w:b/>
                    <w:bCs/>
                    <w:szCs w:val="24"/>
                    <w:lang w:eastAsia="lt-LT"/>
                  </w:rPr>
                  <w:t>COVID-19 viruso krize</w:t>
                </w:r>
                <w:r>
                  <w:rPr>
                    <w:bCs/>
                    <w:szCs w:val="24"/>
                    <w:lang w:eastAsia="lt-LT"/>
                  </w:rPr>
                  <w:t xml:space="preserve"> susijusio šoko susitrauks.</w:t>
                </w:r>
                <w:r>
                  <w:t xml:space="preserve"> </w:t>
                </w:r>
                <w:r>
                  <w:rPr>
                    <w:bCs/>
                    <w:szCs w:val="24"/>
                    <w:lang w:eastAsia="lt-LT"/>
                  </w:rPr>
                  <w:t xml:space="preserve">Todėl būtina – stiprinti sveikatos priežiūros sistemą, kad ji galėtų efektyviai veikti, jeigu pasikartos panaši pandemijos situacija; transformuoti TVG, sparčiau skaitmenizuoti ekonomiką ir socialines sistemas, transformuoti švietimą, siekiant didinti visuomenės atsparumą, gaivinti verslą, ypač MVĮ, kurios turi mažesnius resursus krizėms įveikti; sušvelninti neigiamus padarinius darbo rinkoje. </w:t>
                </w:r>
              </w:p>
              <w:p>
                <w:pPr>
                  <w:ind w:firstLine="567"/>
                  <w:jc w:val="both"/>
                  <w:rPr>
                    <w:b/>
                    <w:szCs w:val="24"/>
                    <w:lang w:eastAsia="lt-LT"/>
                  </w:rPr>
                </w:pPr>
                <w:r>
                  <w:rPr>
                    <w:szCs w:val="24"/>
                    <w:lang w:eastAsia="lt-LT"/>
                  </w:rPr>
                  <w:t>Nors tvyro didelis neapibrėžtumas dėl ekonomikos ir COVID-19 pandemijos raidos 2021 ir likusiais vidutinio laikotarpio metais, daroma prielaida, kad 2022 metais bus grįžtama prie fiskalinės drausmės taikymo. Laikoma, kad išskirtinės aplinkybės atšaukiamos ir bendroji SAP išimtis nebegalioja nuo 2022 metų. Dėl to 2022-2023 metais valdžios sektoriaus finansų projekcija rodo valdžios sektoriaus deficito mažinimą, o struktūrinio valdžios sektoriaus balanso rodiklis 2023 metais pasiekia –1 proc. BVP ribą.</w:t>
                </w:r>
                <w:r>
                  <w:rPr>
                    <w:b/>
                    <w:szCs w:val="24"/>
                    <w:lang w:eastAsia="lt-LT"/>
                  </w:rPr>
                  <w:t xml:space="preserve"> </w:t>
                </w:r>
              </w:p>
              <w:p>
                <w:pPr>
                  <w:ind w:firstLine="567"/>
                  <w:jc w:val="both"/>
                  <w:rPr>
                    <w:szCs w:val="24"/>
                    <w:lang w:eastAsia="lt-LT"/>
                  </w:rPr>
                </w:pPr>
                <w:r>
                  <w:rPr>
                    <w:b/>
                    <w:szCs w:val="24"/>
                    <w:lang w:eastAsia="lt-LT"/>
                  </w:rPr>
                  <w:t>Sostinės regione investicijos bus koncentruojamos</w:t>
                </w:r>
                <w:r>
                  <w:rPr>
                    <w:szCs w:val="24"/>
                    <w:lang w:eastAsia="lt-LT"/>
                  </w:rPr>
                  <w:t xml:space="preserve"> į MTEP bei inovacijų stiprinimą; specialistų persikvalifikavimą sumaniosios specializacijos srityse. Tačiau pažymėtina, kad Sostinės regione yra silpniau išsivysčiusios savivaldybės, kurių ekonominė ir socialinė plėtra lėtesnė. 2019 m. skurdo rizikos gylis Sostinės regione (27,4 proc.) buvo didesnis už skurdo rizikos gylį visoje Lietuvoje (26 proc.), darytina išvada, kad skurdo riziką patiriančios asmenų grupės Sostinės regione yra sunkiau integruojamos. Registruoti bedarbiai Sostinės regione sudaro beveik trečdalį visų Lietuvoje registruotų bedarbių, jaunimo tarpe nedarbas irgi didesnis šiame regione. Bendras pajamų lygis ir pragyvenimo kaštai Sostinės regione, lyginant su VVL regionu, didesni apie 48 proc., tad realus skurdo riziką patiriančio Sostinės regiono gyventojo skurdo gylis yra didesnis už skaičiuojamą statistiškai. Programa šiame regione rems bazinių viešųjų paslaugų išdėstymo optimizavimą, skatins aktyvią įtrauktį, didins įsidarbinimo galimybes ir investuos į darnią miesto plėtrą.</w:t>
                </w:r>
              </w:p>
              <w:p>
                <w:pPr>
                  <w:ind w:firstLine="567"/>
                  <w:jc w:val="both"/>
                  <w:rPr>
                    <w:szCs w:val="24"/>
                    <w:lang w:eastAsia="lt-LT"/>
                  </w:rPr>
                </w:pPr>
                <w:r>
                  <w:rPr>
                    <w:b/>
                    <w:szCs w:val="24"/>
                    <w:lang w:eastAsia="lt-LT"/>
                  </w:rPr>
                  <w:t>VVL regione investicijos bus koncentruojamos į</w:t>
                </w:r>
                <w:r>
                  <w:rPr>
                    <w:szCs w:val="24"/>
                    <w:lang w:eastAsia="lt-LT"/>
                  </w:rPr>
                  <w:t xml:space="preserve"> verslo konkurencingumo didinimą, energijos vartojimo efektyvumo skatinimą, prisitaikymo ir gyvenimo kokybės priemones su investicijomis augimui skatinti regionuose, socialinės atskirties mažinimą, sveikatos priežiūros paslaugų kokybę ir prieinamumą. Regione taip pat svarbu skatinti MTEP rezultatų ir inovacijų diegimą ir taikymą, siekiant sumažinti atotrūkį tarp VVL ir Sostinės regionų, atrasti potencialius inovatorius regionuose bei perorientuoti juos į aukštesnės pridėtinės vertės gamybą ir rinkas.</w:t>
                </w:r>
              </w:p>
              <w:p>
                <w:pPr>
                  <w:ind w:firstLine="567"/>
                  <w:jc w:val="both"/>
                  <w:rPr>
                    <w:szCs w:val="24"/>
                    <w:lang w:val="en-GB"/>
                  </w:rPr>
                </w:pPr>
                <w:r>
                  <w:rPr>
                    <w:szCs w:val="24"/>
                  </w:rPr>
                  <w:t xml:space="preserve">Atsižvelgiant į išvardintus iššūkius, ES fondų investicijos po 2021 m. bus koncentruojamos į ES Bendrųjų nuostatų reglamente nustatytus </w:t>
                </w:r>
                <w:r>
                  <w:rPr>
                    <w:b/>
                    <w:szCs w:val="24"/>
                  </w:rPr>
                  <w:t>5 politikos tikslus</w:t>
                </w:r>
                <w:r>
                  <w:rPr>
                    <w:szCs w:val="24"/>
                  </w:rPr>
                  <w:t xml:space="preserve">. Tikslų įgyvendinimas aprašomas šioje </w:t>
                </w:r>
                <w:r>
                  <w:rPr>
                    <w:b/>
                    <w:szCs w:val="24"/>
                  </w:rPr>
                  <w:t>Programoje.</w:t>
                </w:r>
                <w:r>
                  <w:rPr>
                    <w:szCs w:val="24"/>
                  </w:rPr>
                  <w:t xml:space="preserve"> Jos rengimo metu buvo įvertintos Lietuvai skirtos </w:t>
                </w:r>
                <w:r>
                  <w:rPr>
                    <w:b/>
                    <w:szCs w:val="24"/>
                  </w:rPr>
                  <w:t>Tarybos</w:t>
                </w:r>
                <w:r>
                  <w:rPr>
                    <w:szCs w:val="24"/>
                  </w:rPr>
                  <w:t xml:space="preserve"> rekomendacijos, atsižvelgta į N</w:t>
                </w:r>
                <w:r>
                  <w:t xml:space="preserve">acionalinio energetikos ir klimato srities veiksmų plano iššūkius, </w:t>
                </w:r>
                <w:r>
                  <w:rPr>
                    <w:szCs w:val="24"/>
                  </w:rPr>
                  <w:t xml:space="preserve">siekiant energetikos ir klimato tikslų, rengiant naują Lietuvos augimo modelį, nustatant investicijų poreikį žaliosioms technologijoms ir darniems sprendimams. </w:t>
                </w:r>
                <w:r>
                  <w:rPr>
                    <w:szCs w:val="24"/>
                    <w:lang w:val="en-GB"/>
                  </w:rPr>
                  <w:t xml:space="preserve">Taip pat numatoma </w:t>
                </w:r>
                <w:r>
                  <w:rPr>
                    <w:lang w:val="en-GB"/>
                  </w:rPr>
                  <w:t xml:space="preserve">siekti bendro ES tikslo – 25 proc. ES fondų išlaidų skirti klimato srities tikslams įgyvendinti. </w:t>
                </w:r>
              </w:p>
              <w:p>
                <w:pPr>
                  <w:ind w:firstLine="567"/>
                  <w:jc w:val="both"/>
                  <w:rPr>
                    <w:bCs/>
                    <w:szCs w:val="24"/>
                    <w:lang w:val="en-GB" w:eastAsia="lt-LT"/>
                  </w:rPr>
                </w:pPr>
                <w:r>
                  <w:rPr>
                    <w:bCs/>
                    <w:szCs w:val="24"/>
                    <w:lang w:val="en-GB" w:eastAsia="lt-LT"/>
                  </w:rPr>
                  <w:t xml:space="preserve">Lietuva siekia užtikrinti ES fondų ir kitų finansavimo šaltinių </w:t>
                </w:r>
                <w:r>
                  <w:rPr>
                    <w:b/>
                    <w:bCs/>
                    <w:szCs w:val="24"/>
                    <w:lang w:val="en-GB" w:eastAsia="lt-LT"/>
                  </w:rPr>
                  <w:t>veiklos koordinavimą</w:t>
                </w:r>
                <w:r>
                  <w:rPr>
                    <w:bCs/>
                    <w:szCs w:val="24"/>
                    <w:lang w:val="en-GB" w:eastAsia="lt-LT"/>
                  </w:rPr>
                  <w:t xml:space="preserve">, </w:t>
                </w:r>
                <w:r>
                  <w:rPr>
                    <w:b/>
                    <w:bCs/>
                    <w:szCs w:val="24"/>
                    <w:lang w:val="en-GB" w:eastAsia="lt-LT"/>
                  </w:rPr>
                  <w:t>papildomumą ir suderinamumą</w:t>
                </w:r>
                <w:r>
                  <w:rPr>
                    <w:bCs/>
                    <w:szCs w:val="24"/>
                    <w:lang w:val="en-GB" w:eastAsia="lt-LT"/>
                  </w:rPr>
                  <w:t xml:space="preserve">, </w:t>
                </w:r>
                <w:r>
                  <w:rPr>
                    <w:lang w:val="en-GB"/>
                  </w:rPr>
                  <w:t xml:space="preserve">kad būtų išvengta veiklos dubliavimo planavimo ir įgyvendinimo etapuose. Investicijų suderinamumas bus vykdomas planuojant </w:t>
                </w:r>
                <w:r>
                  <w:rPr>
                    <w:bCs/>
                    <w:szCs w:val="24"/>
                    <w:lang w:val="en-GB" w:eastAsia="lt-LT"/>
                  </w:rPr>
                  <w:t xml:space="preserve">naujos </w:t>
                </w:r>
                <w:r>
                  <w:rPr>
                    <w:b/>
                    <w:bCs/>
                    <w:szCs w:val="24"/>
                    <w:lang w:val="en-GB" w:eastAsia="lt-LT"/>
                  </w:rPr>
                  <w:t>REACT–EU</w:t>
                </w:r>
                <w:r>
                  <w:rPr>
                    <w:bCs/>
                    <w:szCs w:val="24"/>
                    <w:lang w:val="en-GB" w:eastAsia="lt-LT"/>
                  </w:rPr>
                  <w:t xml:space="preserve"> iniciatyvos, skirtos iššūkiams, susijusiems su </w:t>
                </w:r>
                <w:r>
                  <w:rPr>
                    <w:lang w:val="en-GB"/>
                  </w:rPr>
                  <w:t>COVID-19 pandemijos sukelta krize</w:t>
                </w:r>
                <w:r>
                  <w:rPr>
                    <w:bCs/>
                    <w:szCs w:val="24"/>
                    <w:lang w:val="en-GB" w:eastAsia="lt-LT"/>
                  </w:rPr>
                  <w:t xml:space="preserve"> įveikti</w:t>
                </w:r>
                <w:r>
                  <w:rPr>
                    <w:lang w:val="en-GB"/>
                  </w:rPr>
                  <w:t xml:space="preserve">, rengiantis žaliajam, skaitmeniniam ir atspariam ekonomikos atgaivinimui, lėšas. Taip pat vertinamos reformų finasavimo galimybės iš </w:t>
                </w:r>
                <w:r>
                  <w:rPr>
                    <w:bCs/>
                    <w:szCs w:val="24"/>
                    <w:lang w:val="en-GB" w:eastAsia="lt-LT"/>
                  </w:rPr>
                  <w:t xml:space="preserve">EGADP. Numatoma vykdyti koordinavimą su ETBT programomis, EIB ir nacionaliniais finansavimo šaltiniais. Suderinamumas tarp ES fondų ir ES bei tarptautinių programų ir instrumentų, remiasi nuosekliu konkrečios srities vystymu ir siekiamo pokyčio įgyvendinimu, įvertinus tų programų ir instrumentų teikiamas galimybes bei tinkamumo reikalavimus. </w:t>
                </w:r>
              </w:p>
              <w:p>
                <w:pPr>
                  <w:ind w:firstLine="567"/>
                  <w:jc w:val="both"/>
                  <w:rPr>
                    <w:bCs/>
                    <w:szCs w:val="24"/>
                    <w:lang w:val="en-GB" w:eastAsia="lt-LT"/>
                  </w:rPr>
                </w:pPr>
                <w:r>
                  <w:rPr>
                    <w:rFonts w:eastAsia="Calibri"/>
                    <w:bCs/>
                    <w:szCs w:val="24"/>
                    <w:lang w:val="en-GB" w:eastAsia="lt-LT"/>
                  </w:rPr>
                  <w:t>Siekiant pirmojo politikos tikslo „</w:t>
                </w:r>
                <w:r>
                  <w:rPr>
                    <w:rFonts w:eastAsia="Calibri"/>
                    <w:b/>
                    <w:bCs/>
                    <w:szCs w:val="24"/>
                    <w:lang w:val="en-GB" w:eastAsia="lt-LT"/>
                  </w:rPr>
                  <w:t>Pažangesnė Europa“</w:t>
                </w:r>
                <w:r>
                  <w:rPr>
                    <w:rFonts w:eastAsia="Calibri"/>
                    <w:bCs/>
                    <w:szCs w:val="24"/>
                    <w:lang w:val="en-GB" w:eastAsia="lt-LT"/>
                  </w:rPr>
                  <w:t xml:space="preserve">, ES fondų investicijomis bus skatinama </w:t>
                </w:r>
                <w:r>
                  <w:rPr>
                    <w:rFonts w:eastAsia="Calibri"/>
                    <w:b/>
                    <w:bCs/>
                    <w:szCs w:val="24"/>
                    <w:lang w:val="en-GB" w:eastAsia="lt-LT"/>
                  </w:rPr>
                  <w:t>Lietuvos ekonomikos transformacija į aukštesnės pridėtinės vertės ekonomiką, jos konkurencingumas ir skaitmeninis junglumas</w:t>
                </w:r>
                <w:r>
                  <w:rPr>
                    <w:rFonts w:eastAsia="Calibri"/>
                    <w:bCs/>
                    <w:szCs w:val="24"/>
                    <w:lang w:val="en-GB" w:eastAsia="lt-LT"/>
                  </w:rPr>
                  <w:t xml:space="preserve">. Numatoma </w:t>
                </w:r>
                <w:r>
                  <w:rPr>
                    <w:rFonts w:eastAsia="Calibri"/>
                    <w:b/>
                    <w:bCs/>
                    <w:szCs w:val="24"/>
                    <w:lang w:val="en-GB" w:eastAsia="lt-LT"/>
                  </w:rPr>
                  <w:t>siekti</w:t>
                </w:r>
                <w:r>
                  <w:rPr>
                    <w:rFonts w:eastAsia="Calibri"/>
                    <w:bCs/>
                    <w:szCs w:val="24"/>
                    <w:lang w:val="en-GB" w:eastAsia="lt-LT"/>
                  </w:rPr>
                  <w:t xml:space="preserve"> NPP </w:t>
                </w:r>
                <w:r>
                  <w:rPr>
                    <w:rFonts w:eastAsia="Calibri"/>
                    <w:b/>
                    <w:bCs/>
                    <w:szCs w:val="24"/>
                    <w:lang w:val="en-GB" w:eastAsia="lt-LT"/>
                  </w:rPr>
                  <w:t>tikslų 2030 m.</w:t>
                </w:r>
                <w:r>
                  <w:rPr>
                    <w:rFonts w:eastAsia="Calibri"/>
                    <w:bCs/>
                    <w:szCs w:val="24"/>
                    <w:lang w:val="en-GB" w:eastAsia="lt-LT"/>
                  </w:rPr>
                  <w:t xml:space="preserve">, kad pagal </w:t>
                </w:r>
                <w:r>
                  <w:rPr>
                    <w:rFonts w:eastAsia="Calibri"/>
                    <w:bCs/>
                    <w:lang w:val="en-GB"/>
                  </w:rPr>
                  <w:t xml:space="preserve">suminį inovatyvumo indeksą Lietuva (Europos inovacijų švieslentė) pakiltų į 12 vietą (2018 m. užėmė 21 vietą) </w:t>
                </w:r>
                <w:r>
                  <w:rPr>
                    <w:rFonts w:eastAsia="Calibri"/>
                    <w:bCs/>
                    <w:szCs w:val="24"/>
                    <w:lang w:val="en-GB" w:eastAsia="lt-LT"/>
                  </w:rPr>
                  <w:t xml:space="preserve">ir </w:t>
                </w:r>
                <w:r>
                  <w:rPr>
                    <w:rFonts w:eastAsia="Calibri"/>
                    <w:bCs/>
                    <w:szCs w:val="24"/>
                    <w:lang w:val="en-GB"/>
                  </w:rPr>
                  <w:t>pagal DESI subindeksą (skaitmeninio junglumo infrastruktūros indeksas) Lietuva pakiltų į 5 vietą (2018 m. užėmė 26 vietą).</w:t>
                </w:r>
                <w:r>
                  <w:rPr>
                    <w:bCs/>
                    <w:szCs w:val="24"/>
                    <w:lang w:val="en-GB" w:eastAsia="lt-LT"/>
                  </w:rPr>
                  <w:t xml:space="preserve"> </w:t>
                </w:r>
              </w:p>
              <w:p>
                <w:pPr>
                  <w:ind w:firstLine="567"/>
                  <w:jc w:val="both"/>
                  <w:rPr>
                    <w:bCs/>
                    <w:lang w:val="en-GB"/>
                  </w:rPr>
                </w:pPr>
                <w:r>
                  <w:rPr>
                    <w:bCs/>
                    <w:lang w:val="en-GB"/>
                  </w:rPr>
                  <w:t>Remiantis EIŠ rezultatais, Lietuvos inovacijų sistemos augimas ilguoju 2011–2018 m. laikotarpiu buvo didžiausias ES (25,7 proc. pagerėjimas). Dėl ilgą laiką buvusio žymaus atsilikimo, Lietuva dar atsilieka nuo ES vidurkio (pagal suminį inovatyvumo indeksą siekia 75 proc. 2018 m. ES vidurkio). Investicijų į MTEP rodiklis 2018 m. sudarė 0,94 proc. BVP ir išlieka daugiau nei dvigubai mažesnis už ES vidurkį, kuris sudarė 2,18 proc. Vis tik verslo investicijos nuo 2012 m. stabiliai auga. Skaitmeninės ekonomikos ir visuomenės indekse (DESI) 2019 m. Lietuva užėmė 14 vietą tarp 28 ES valstybių narių, atvirųjų duomenų srityje Lietuva užima 25 vietą tarp ES šalių narių, o labiausiai taisytina reitingo komponentė – žmogiškųjų išteklių skaitmeniniai įgūdžiai. Lietuva pagal darbo našumo augimą yra viena sparčiausiai augančių ES valstybių narių – per du dešimtmečius Lietuvos darbo našumas per vieną dirbtą valandą išaugo daugiau nei dvigubai (apie 103 proc.), o per tą patį laikotarpį ES valstybių narių – 21 procentu. Kita vertus, nors ir augo, pagal perkamosios galios paritetą darbo našumas Lietuvoje 2018 m. siekė tik 75,8 proc. ES vidurkio. Išsėmus augimo šaltinius ir neužtikrinus žiniomis grįsto augimo, Lietuvai gresia pakliūti į vidutinių pajamų spąstus.</w:t>
                </w:r>
              </w:p>
              <w:p>
                <w:pPr>
                  <w:spacing w:line="216" w:lineRule="auto"/>
                  <w:ind w:firstLine="567"/>
                  <w:jc w:val="both"/>
                  <w:rPr>
                    <w:lang w:val="en-GB"/>
                  </w:rPr>
                </w:pPr>
                <w:r>
                  <w:rPr>
                    <w:b/>
                    <w:bCs/>
                    <w:lang w:val="en-GB" w:eastAsia="lt-LT"/>
                  </w:rPr>
                  <w:t>Lėtą Lietuvos ekonomikos transformaciją į aukštesnės pridėtinės vertės ekonomiką</w:t>
                </w:r>
                <w:r>
                  <w:rPr>
                    <w:b/>
                    <w:bCs/>
                    <w:lang w:val="en-GB"/>
                  </w:rPr>
                  <w:t xml:space="preserve"> sąlygoja struktūrinės ūkio problemos</w:t>
                </w:r>
                <w:r>
                  <w:rPr>
                    <w:lang w:val="en-GB"/>
                  </w:rPr>
                  <w:t>. Pirma, didelė dalis šalies ekonomikos remiasi tradiciniais ūkio sektoriais, o augimas grindžiamas sąlyginai pigia darbo jėga. Trūksta paskatų pagrindiniams ekonomikos veikėjams persiorientuoti į inovacijomis grįstą augimą, o jaunoms inovuojančioms įmonėms – steigtis. Brangstant esminiams gamybos veiksniams (technologijoms, žaliavoms, darbo jėgai) mažėja tokių įmonių konkurencingumas. Todėl ir tradiciniuose sektoriuose yra potencialių inovatorių. Antra, Lietuvos inovatoriai yra sąlyginai maži, silpnai bendradarbiaujantys, todėl jų potencialas sukurti didelio poveikio inovacijas yra palyginti žemas dėl</w:t>
                </w:r>
                <w:r>
                  <w:rPr>
                    <w:sz w:val="20"/>
                    <w:lang w:val="en-GB"/>
                  </w:rPr>
                  <w:t xml:space="preserve"> </w:t>
                </w:r>
                <w:r>
                  <w:rPr>
                    <w:lang w:val="en-GB"/>
                  </w:rPr>
                  <w:t>kritinės investicijų masės stokos. Todėl svarbu stiprinti inovatorių bendradarbiavimą ir kritinę masę. Trečia, silpni gebėjimai viešajame sektoriuje (MSI) komercinti kuriamas žinias ir jas perduoti privačiam sektoriui. Išlieka aktualūs kiti MTEP veiklos vykdymo MSI iššūkiai: aukšto tarptautinio lygio MTEP rezultatų stygius; ribotos Lietuvos tyrėjų dalyvavimo apimtys tarptautinėse MTEP programose ir infrastruktūrose; neišplėtoti MSI „trečiosios misijos“ (verslumo, žinių ir technologijų perdavimo) pajėgumai; nepakankamas tyrėjų karjeros patrauklumas bei žemas Lietuvos MTEPI sistemos patrauklumas tyrėjams iš užsienio bei tyrėjų versle skaičius.</w:t>
                </w:r>
              </w:p>
              <w:p>
                <w:pPr>
                  <w:spacing w:line="216" w:lineRule="auto"/>
                  <w:ind w:firstLine="567"/>
                  <w:jc w:val="both"/>
                  <w:rPr>
                    <w:lang w:val="en-GB"/>
                  </w:rPr>
                </w:pPr>
                <w:r>
                  <w:rPr>
                    <w:rFonts w:eastAsia="Calibri"/>
                    <w:bCs/>
                    <w:lang w:val="en-GB"/>
                  </w:rPr>
                  <w:t>Situaciją apsunkina ir nepakankamai išvystyta IRT infrastruktūra. Nors Lietuva padarė nemažą pažangą ir pasiekė aukštą 4G aprėptį (100 proc. namų ūkių), o judriojo plačiajuosčio ryšio skverbtis (abonentų skaičius 100 gyventojų) Lietuvoje siekia 103 proc. ir yra didesnė nei visoje ES, pastebima reikšminga stagnacija fiksuoto plačiajuosčio ryšio aprėpty, kuri yra labiausiai neišvystyta kaimo vietovėse, kur tokios infrastruktūros diegimas privatiems investuotojams yra nerentabilus.</w:t>
                </w:r>
              </w:p>
              <w:p>
                <w:pPr>
                  <w:ind w:firstLine="567"/>
                  <w:jc w:val="both"/>
                  <w:rPr>
                    <w:szCs w:val="24"/>
                    <w:lang w:eastAsia="lt-LT"/>
                  </w:rPr>
                </w:pPr>
                <w:r>
                  <w:rPr>
                    <w:bCs/>
                    <w:szCs w:val="24"/>
                    <w:lang w:eastAsia="lt-LT"/>
                  </w:rPr>
                  <w:t xml:space="preserve">Siekiant Lietuvos </w:t>
                </w:r>
                <w:r>
                  <w:rPr>
                    <w:szCs w:val="24"/>
                    <w:lang w:eastAsia="lt-LT"/>
                  </w:rPr>
                  <w:t xml:space="preserve">ūkio </w:t>
                </w:r>
                <w:r>
                  <w:rPr>
                    <w:b/>
                    <w:szCs w:val="24"/>
                    <w:lang w:eastAsia="lt-LT"/>
                  </w:rPr>
                  <w:t>transformacijos į aukštos pridėtinės vertės ekonomiką</w:t>
                </w:r>
                <w:r>
                  <w:rPr>
                    <w:szCs w:val="24"/>
                    <w:lang w:eastAsia="lt-LT"/>
                  </w:rPr>
                  <w:t>,</w:t>
                </w:r>
                <w:r>
                  <w:rPr>
                    <w:bCs/>
                    <w:szCs w:val="24"/>
                    <w:lang w:eastAsia="lt-LT"/>
                  </w:rPr>
                  <w:t xml:space="preserve"> Programa investuos į MSI skatinimą kurti ir komercinti žinias</w:t>
                </w:r>
                <w:r>
                  <w:rPr>
                    <w:b/>
                    <w:bCs/>
                    <w:sz w:val="18"/>
                    <w:szCs w:val="18"/>
                    <w:lang w:eastAsia="lt-LT"/>
                  </w:rPr>
                  <w:t xml:space="preserve">, </w:t>
                </w:r>
                <w:r>
                  <w:rPr>
                    <w:bCs/>
                    <w:szCs w:val="24"/>
                    <w:lang w:eastAsia="lt-LT"/>
                  </w:rPr>
                  <w:t xml:space="preserve">į įmones, esančias skirtingose MTEPI veiklos stadijose, palydint iki galutinio produkto komercinimo, į inovacijų diegimą įmonėse ir viešajame sektoriuje. Atlikti vertinimai parodo, kad nepakankamai išnaudojamas </w:t>
                </w:r>
                <w:r>
                  <w:rPr>
                    <w:b/>
                    <w:bCs/>
                    <w:szCs w:val="24"/>
                    <w:lang w:eastAsia="lt-LT"/>
                  </w:rPr>
                  <w:t>skaitmenizavimo</w:t>
                </w:r>
                <w:r>
                  <w:rPr>
                    <w:bCs/>
                    <w:szCs w:val="24"/>
                    <w:lang w:eastAsia="lt-LT"/>
                  </w:rPr>
                  <w:t xml:space="preserve"> teikiamų galimybių potencialas </w:t>
                </w:r>
                <w:r>
                  <w:rPr>
                    <w:b/>
                    <w:bCs/>
                    <w:szCs w:val="24"/>
                    <w:lang w:eastAsia="lt-LT"/>
                  </w:rPr>
                  <w:t>versle ir viešajame sektoriuje</w:t>
                </w:r>
                <w:r>
                  <w:rPr>
                    <w:bCs/>
                    <w:szCs w:val="24"/>
                    <w:lang w:eastAsia="lt-LT"/>
                  </w:rPr>
                  <w:t xml:space="preserve">, kurio poreikis dar labiau išaugo COVID-19 pandemijos metu. Siekiant didinti ekonomikos ir viešojo sektoriaus skaitmenizavimą, Programa finansuos MVĮ ir viešųjų paslaugų skaitmeninimą, į paklausą orientuotų mokslo duomenų atvėrimą ir viešojo sektoriaus duomenų naudojimą, užtikrinant kibernetinį saugumą ir dirbtinio intelekto panaudojimą. Siekiant </w:t>
                </w:r>
                <w:r>
                  <w:rPr>
                    <w:b/>
                    <w:bCs/>
                    <w:szCs w:val="24"/>
                    <w:lang w:eastAsia="lt-LT"/>
                  </w:rPr>
                  <w:t>didinti ekonomikos konkurencingumą,</w:t>
                </w:r>
                <w:r>
                  <w:rPr>
                    <w:bCs/>
                    <w:szCs w:val="24"/>
                    <w:lang w:eastAsia="lt-LT"/>
                  </w:rPr>
                  <w:t xml:space="preserve"> Programa investuos į verslo tarptautiškumą, pažangiausių technologijų diegimą, pasaulinio lygmens procesų ir vadybos diegimą, užtikrinant darbo jėgos gebėjimus ir atsparumą. Perėjimą prie naujų technologijų Lietuvoje vis dar stabdo žemi arba netinkami MVĮ darbuotojų gebėjimai. Atsižvelgiant į tai, Programa investuos į</w:t>
                </w:r>
                <w:r>
                  <w:rPr>
                    <w:szCs w:val="24"/>
                    <w:lang w:eastAsia="lt-LT"/>
                  </w:rPr>
                  <w:t xml:space="preserve"> </w:t>
                </w:r>
                <w:r>
                  <w:rPr>
                    <w:b/>
                    <w:szCs w:val="24"/>
                    <w:lang w:eastAsia="lt-LT"/>
                  </w:rPr>
                  <w:t>sumaniajai specializacijai, pramonės pertvarkai ir verslumui reikalingus įgūdžius</w:t>
                </w:r>
                <w:r>
                  <w:rPr>
                    <w:szCs w:val="24"/>
                    <w:lang w:eastAsia="lt-LT"/>
                  </w:rPr>
                  <w:t xml:space="preserve">. Papildomas dėmesys bus skiriamas mokslinių tyrimų institucijų pajėgumui tikslingiau nukreipti savo tyrimų darbotvarkes į rinkos poreikius, skatinti geresnį žinių perdavimą ir technologijų komercinimą. </w:t>
                </w:r>
                <w:r>
                  <w:rPr>
                    <w:rFonts w:eastAsia="Calibri"/>
                    <w:szCs w:val="22"/>
                    <w:lang w:eastAsia="lt-LT"/>
                  </w:rPr>
                  <w:t xml:space="preserve">Siekiant </w:t>
                </w:r>
                <w:r>
                  <w:rPr>
                    <w:rFonts w:eastAsia="Calibri"/>
                    <w:b/>
                    <w:szCs w:val="22"/>
                    <w:lang w:eastAsia="lt-LT"/>
                  </w:rPr>
                  <w:t xml:space="preserve">spartaus ekonomikos skaitmenitizavimo </w:t>
                </w:r>
                <w:r>
                  <w:rPr>
                    <w:rFonts w:eastAsia="Calibri"/>
                    <w:szCs w:val="22"/>
                    <w:lang w:eastAsia="lt-LT"/>
                  </w:rPr>
                  <w:t>investicijos bus telkiamos į naujų technologijų, užtikrinančių itin sparčią plačiajuosčio ryšio greitaveiką ir diegimą.</w:t>
                </w:r>
              </w:p>
              <w:p>
                <w:pPr>
                  <w:ind w:firstLine="567"/>
                  <w:jc w:val="both"/>
                  <w:rPr>
                    <w:bCs/>
                    <w:szCs w:val="24"/>
                    <w:lang w:eastAsia="lt-LT"/>
                  </w:rPr>
                </w:pPr>
                <w:r>
                  <w:rPr>
                    <w:szCs w:val="24"/>
                    <w:lang w:eastAsia="lt-LT"/>
                  </w:rPr>
                  <w:t>Atsižvelgiant į tai, kad Sostinės regiono konkurencingumas 33 proc. viršija Lietuvos vidurkį ir didžioji dalis inovacijų yra sukuriama šiame regione, investicijos, skirtos konkurencingumui didinti, pramonės MVĮ transformacijai, netechnologinių inovacijų plėtrai ir startuolių ekosistemai kurti bus nukreiptos į VVL regioną. Taip pat S3 bus išskirti didžiausią potencialą regionų plėtrai turintys prioritetai Sostinės regione ir VVL regione.</w:t>
                </w:r>
              </w:p>
              <w:p>
                <w:pPr>
                  <w:ind w:firstLine="567"/>
                  <w:jc w:val="both"/>
                  <w:rPr>
                    <w:lang w:val="en-GB" w:eastAsia="lt-LT"/>
                  </w:rPr>
                </w:pPr>
                <w:r>
                  <w:rPr>
                    <w:lang w:val="en-GB" w:eastAsia="lt-LT"/>
                  </w:rPr>
                  <w:t xml:space="preserve">Šios investicijos prisidės prie </w:t>
                </w:r>
                <w:r>
                  <w:rPr>
                    <w:b/>
                    <w:bCs/>
                    <w:lang w:val="en-GB" w:eastAsia="lt-LT"/>
                  </w:rPr>
                  <w:t>Tarybos rekomendacijų dėl inovacijų skatinimo įgyvendinimo</w:t>
                </w:r>
                <w:r>
                  <w:rPr>
                    <w:lang w:val="en-GB" w:eastAsia="lt-LT"/>
                  </w:rPr>
                  <w:t xml:space="preserve">. Siekiant pagerinti Lietuvos inovacijų ekosistemos veikimą, toliau tęsiami darbai konsoliduojant mokslo, technologijų ir inovacijų sistemą. Mokslinių tyrimų sistemos fragmentacija lemia žemą mokslinių tyrimų kokybę, todėl ES lėšos bus investuojamos tik įgyvendinus švietimo ir mokslo reformą. </w:t>
                </w:r>
                <w:r>
                  <w:rPr>
                    <w:b/>
                    <w:bCs/>
                    <w:lang w:val="en-GB" w:eastAsia="lt-LT"/>
                  </w:rPr>
                  <w:t>Įgyvendinant Tarybos rekomendaciją dėl nuoseklios mokslo ir verslo bendradarbiavimo sistemos sukūrimo</w:t>
                </w:r>
                <w:r>
                  <w:rPr>
                    <w:lang w:val="en-GB" w:eastAsia="lt-LT"/>
                  </w:rPr>
                  <w:t xml:space="preserve">, kuriamas Mokslo ir inovacijų sklaidos centras, kuris prisidės prie mokslo ir inovacijų sklaidos Lietuvoje gerinimo. </w:t>
                </w:r>
                <w:r>
                  <w:rPr>
                    <w:lang w:val="en-GB"/>
                  </w:rPr>
                  <w:t xml:space="preserve">Siekiant įgyvendinti </w:t>
                </w:r>
                <w:r>
                  <w:rPr>
                    <w:b/>
                    <w:bCs/>
                    <w:lang w:val="en-GB"/>
                  </w:rPr>
                  <w:t>Tarybos rekomendaciją dėl skaitmeninės ekonomikos transformacijos skatinimo</w:t>
                </w:r>
                <w:r>
                  <w:rPr>
                    <w:lang w:val="en-GB"/>
                  </w:rPr>
                  <w:t xml:space="preserve"> ypatingas dėmesys Programoje skiriamas MVĮ skaitmeninimui.</w:t>
                </w:r>
              </w:p>
              <w:p>
                <w:pPr>
                  <w:ind w:firstLine="567"/>
                  <w:jc w:val="both"/>
                  <w:rPr>
                    <w:bCs/>
                    <w:szCs w:val="24"/>
                    <w:lang w:eastAsia="lt-LT"/>
                  </w:rPr>
                </w:pPr>
                <w:r>
                  <w:rPr>
                    <w:bCs/>
                    <w:szCs w:val="24"/>
                    <w:lang w:eastAsia="lt-LT"/>
                  </w:rPr>
                  <w:t xml:space="preserve">Programos investicijos pagal pirmą prioritetą įgyvendins arba prisidės prie </w:t>
                </w:r>
                <w:r>
                  <w:rPr>
                    <w:b/>
                    <w:bCs/>
                    <w:szCs w:val="24"/>
                    <w:lang w:eastAsia="lt-LT"/>
                  </w:rPr>
                  <w:t xml:space="preserve">S3 </w:t>
                </w:r>
                <w:r>
                  <w:rPr>
                    <w:bCs/>
                    <w:szCs w:val="24"/>
                    <w:lang w:eastAsia="lt-LT"/>
                  </w:rPr>
                  <w:t xml:space="preserve"> įgyvendinimo. Šioje strategijoje nustatyti MTEPI prioritetai, atsižvelgiant į turimus ar galimus konkurencinius pranašumus. Prioritetinės Lietuvos MTEPI raidos kryptys nustatytos išanalizavus šalies mokslo ir verslo potencialą, jo imlumą žinioms, taip pat ar pasinaudodami žiniomis verslininkai galės įsijungti į pasaulines vertės grandines, eksportuoti savo gaminius ir taip prisidėti prie šalies ekonomikos stiprinimo. Siekiant, kad strategija (koncepcija) būtų grįsta bendru sutarimu, į procesą buvo įtrauktos visos suinteresuotosios šalys – mokslininkai, verslininkai, viešojo sektoriaus atstovai, o VGPP bus vykdomas visą Programos įgyvendinimo laikotarpį.</w:t>
                </w:r>
              </w:p>
              <w:p>
                <w:pPr>
                  <w:ind w:firstLine="567"/>
                  <w:jc w:val="both"/>
                  <w:rPr>
                    <w:bCs/>
                    <w:szCs w:val="24"/>
                    <w:lang w:eastAsia="lt-LT"/>
                  </w:rPr>
                </w:pPr>
                <w:r>
                  <w:rPr>
                    <w:szCs w:val="24"/>
                    <w:lang w:eastAsia="lt-LT"/>
                  </w:rPr>
                  <w:t>Programos investicijos didžiąja dalimi bus koncentruojamos į MTEP komercinamų žinių kūrimą, perdavimą ir inovacijų diegimą. Siekiant investicijų papildomumo bei, atsižvelgiant į prastus Lietuvos dalyvavimo Europos Horizonto programoje rodiklius, stiprinti mokslininkų ir tyrėjų kompetencijas dalyvauti tarptautinėse programose ir vadovauti konsorciumams, planuojama pasitelkti Sanglaudos politikos ir nacionalines lėšas.</w:t>
                </w:r>
              </w:p>
              <w:p>
                <w:pPr>
                  <w:ind w:firstLine="567"/>
                  <w:jc w:val="both"/>
                  <w:rPr>
                    <w:szCs w:val="24"/>
                  </w:rPr>
                </w:pPr>
                <w:r>
                  <w:rPr>
                    <w:szCs w:val="24"/>
                  </w:rPr>
                  <w:t>Siekiant antrojo politikos tikslo „</w:t>
                </w:r>
                <w:r>
                  <w:rPr>
                    <w:b/>
                    <w:szCs w:val="24"/>
                  </w:rPr>
                  <w:t>Žalesnė Europa“</w:t>
                </w:r>
                <w:r>
                  <w:rPr>
                    <w:szCs w:val="24"/>
                  </w:rPr>
                  <w:t>, ES fondų investicijomis bus skatinamas perėjimas prie švarios ir teisingos energetikos, žaliosios investicijos, žiedinė ekonomika, prisitaikymas prie klimato kaitos, ekstremalių klimato reiškinių rizikos prevencija bei jos valdymas.</w:t>
                </w:r>
              </w:p>
              <w:p>
                <w:pPr>
                  <w:ind w:firstLine="567"/>
                  <w:jc w:val="both"/>
                  <w:rPr>
                    <w:bCs/>
                    <w:iCs/>
                    <w:szCs w:val="24"/>
                    <w:lang w:eastAsia="lt-LT"/>
                  </w:rPr>
                </w:pPr>
                <w:r>
                  <w:rPr>
                    <w:szCs w:val="24"/>
                    <w:lang w:eastAsia="lt-LT"/>
                  </w:rPr>
                  <w:t xml:space="preserve">Nepaisant Lietuvos spartaus ekonomikos augimo, yra fiksuojamas šiltnamio efektą sukeliančių dujų (toliau – ŠESD) išmetimų mažėjimas – 1990–2017 m. laikotarpiu BVP paaugo 45 proc., o ŠESD išmetimas sumažėjo 58 proc. Daugiausia ŠESD susidaro energetikos sektoriuje, 2017 m. susidarė 55,5 proc. viso ŠESD kiekio. Antras pagal išmetamų ŠESD kiekį – žemės ūkio sektorius, kuriame iš viso susidarė 21,3 proc. bendrai išmesto ŠESD kiekio. Pramonės procesų ir pramonės produktų naudojimo sektoriuje – 17,6 proc. viso išmetamų ŠESD kiekio, o Atliekų sektoriuje 2017 m. susidarė 5,1 proc. ŠESD. </w:t>
                </w:r>
                <w:r>
                  <w:rPr>
                    <w:bCs/>
                    <w:iCs/>
                    <w:szCs w:val="24"/>
                    <w:lang w:eastAsia="lt-LT"/>
                  </w:rPr>
                  <w:t xml:space="preserve">Su klimato kaita susiję tiesioginiai ekonominiai nuostoliai 2018 m. Lietuvoje sudarė 0,08 </w:t>
                </w:r>
                <w:r>
                  <w:rPr>
                    <w:szCs w:val="24"/>
                    <w:lang w:eastAsia="lt-LT"/>
                  </w:rPr>
                  <w:t>proc.</w:t>
                </w:r>
                <w:r>
                  <w:rPr>
                    <w:bCs/>
                    <w:iCs/>
                    <w:szCs w:val="24"/>
                    <w:lang w:eastAsia="lt-LT"/>
                  </w:rPr>
                  <w:t xml:space="preserve"> BVP.</w:t>
                </w:r>
                <w:r>
                  <w:rPr>
                    <w:szCs w:val="24"/>
                    <w:lang w:eastAsia="lt-LT"/>
                  </w:rPr>
                  <w:t xml:space="preserve"> Iki 2030 m. siekiama, jog </w:t>
                </w:r>
                <w:r>
                  <w:rPr>
                    <w:iCs/>
                    <w:szCs w:val="24"/>
                    <w:lang w:eastAsia="lt-LT"/>
                  </w:rPr>
                  <w:t xml:space="preserve">išmetamų į atmosferą ŠESD kiekio pokytis </w:t>
                </w:r>
                <w:r>
                  <w:rPr>
                    <w:bCs/>
                    <w:iCs/>
                    <w:szCs w:val="24"/>
                    <w:lang w:eastAsia="lt-LT"/>
                  </w:rPr>
                  <w:t xml:space="preserve">ES </w:t>
                </w:r>
                <w:r>
                  <w:rPr>
                    <w:szCs w:val="24"/>
                    <w:lang w:eastAsia="lt-LT"/>
                  </w:rPr>
                  <w:t>apyvartinių taršos leidimų prekybos sistemoje</w:t>
                </w:r>
                <w:r>
                  <w:rPr>
                    <w:bCs/>
                    <w:iCs/>
                    <w:szCs w:val="24"/>
                    <w:lang w:eastAsia="lt-LT"/>
                  </w:rPr>
                  <w:t xml:space="preserve"> (ATLPS) dalyvaujančiuose sektoriuose</w:t>
                </w:r>
                <w:r>
                  <w:rPr>
                    <w:iCs/>
                    <w:szCs w:val="24"/>
                    <w:lang w:eastAsia="lt-LT"/>
                  </w:rPr>
                  <w:t xml:space="preserve">, palyginti su </w:t>
                </w:r>
                <w:r>
                  <w:rPr>
                    <w:bCs/>
                    <w:iCs/>
                    <w:szCs w:val="24"/>
                    <w:lang w:eastAsia="lt-LT"/>
                  </w:rPr>
                  <w:t>2005 m. lygiu sumažėtų 43 proc., o ne ATLPS sektoriuje – 9 proc..</w:t>
                </w:r>
              </w:p>
              <w:p>
                <w:pPr>
                  <w:ind w:firstLine="567"/>
                  <w:jc w:val="both"/>
                  <w:rPr>
                    <w:bCs/>
                    <w:iCs/>
                    <w:szCs w:val="24"/>
                    <w:lang w:eastAsia="lt-LT"/>
                  </w:rPr>
                </w:pPr>
                <w:r>
                  <w:rPr>
                    <w:szCs w:val="24"/>
                    <w:lang w:eastAsia="lt-LT"/>
                  </w:rPr>
                  <w:t xml:space="preserve">Lietuvoje sąvartynuose šalinamų komunalinių atliekų kiekiai vis mažėja: 2015 m. – 54 proc., o 2018 m. – 25 proc. Komunalinių atliekų paruošimas pakartotiniam naudojimui ir perdirbimas 2018 m. siekė 52,5 proc. (2015 m. – 45,5 proc.). Taip pat 2017 m. apie 15 proc. komunalinių atliekų buvo sudeginta. Iki 2030 m. siekiama, jog sąvartynuose šalinamų atliekų kiekis siektų 5 proc., o paruoštų pakartotinai naudoti ir perdirbtų komunalinių atliekų dalis sudarytų 60 proc. </w:t>
                </w:r>
                <w:r>
                  <w:rPr>
                    <w:bCs/>
                    <w:iCs/>
                    <w:szCs w:val="24"/>
                    <w:lang w:eastAsia="lt-LT"/>
                  </w:rPr>
                  <w:t>Ekologinių inovacijų indeksas 2018 m. siekė 89 balus, o iki 2030 m. siekiama jį pagerinti iki 133 balų. 2018 m. tik 28 proc. Lietuvos gyventojų prisidėjo prie aplinkos saugojimo, todėl iki 2030 m. bus siekiama, kad pusė Lietuvos visuomenės (50 proc.) sąmoningai prisidėtų prie geros aplinkos kokybės bei, kad 75 proc. Lietuvos gyventojų būtų užtikrintas perspėjimas apie ekstremalius įvykius.</w:t>
                </w:r>
              </w:p>
              <w:p>
                <w:pPr>
                  <w:ind w:firstLine="567"/>
                  <w:jc w:val="both"/>
                  <w:rPr>
                    <w:szCs w:val="24"/>
                    <w:lang w:val="en-GB"/>
                  </w:rPr>
                </w:pPr>
                <w:r>
                  <w:rPr>
                    <w:szCs w:val="24"/>
                  </w:rPr>
                  <w:t xml:space="preserve">Lietuvoje tik 53 proc. </w:t>
                </w:r>
                <w:r>
                  <w:rPr>
                    <w:szCs w:val="24"/>
                    <w:lang w:val="en-GB"/>
                  </w:rPr>
                  <w:t>(2015 m.) paviršinių vandens telkinių yra geros ar labai geros būklės. Didžiausią neigiamą poveikį jiems daro tarša iš žemės ūkio ir iš kitų nenustatytų taršos šaltinių, kaip netinkamai tvarkomos individualios nuotekos. Tik 77,6 proc. Lietuvos gyventojų nuotekos tvarkomos centralizuotai. Siekiant sumažinti taršą, būtina didinti centralizuotai surenkamų nuotekų kiekius ir tinkamai jas valyti, todėl yra užsibrėžtas strateginis 2030 m. tikslas pasiekti, jog 95 proc. gyventojų gautų centralizuotai teikiamas nuotekų paslaugas, o 90 proc. – būtų aprūpinti geriamojo vandens tiekimo paslaugomis. Taip pat, siekiama, jog visi (100 proc.) Lietuvos vandens telkinių būtų geros būklės.</w:t>
                </w:r>
              </w:p>
              <w:p>
                <w:pPr>
                  <w:ind w:firstLine="567"/>
                  <w:jc w:val="both"/>
                  <w:rPr>
                    <w:szCs w:val="24"/>
                    <w:lang w:val="en-GB"/>
                  </w:rPr>
                </w:pPr>
                <w:r>
                  <w:rPr>
                    <w:szCs w:val="24"/>
                    <w:lang w:val="en-GB"/>
                  </w:rPr>
                  <w:t>Dėl nedarnios urbanizacijos ir priemiesčių plėtros, aplinkos taršos, neracionalaus gamtos išteklių naudojimo, invazinių rūšių plitimo ir klimato kaitos veiksnių kinta šalies kraštovaizdis, nyksta biologinė įvairovė, didėja buveinių ir rūšių populiacijų fragmentacija ir sutrinka ekosistemų funkcijos bei jų paslaugų teikimas. Lyginant 2019 m. duomenis su 2013 m. pastebėta, jog Lietuvoje aptinkamų 5 proc. Europos Bendrijos svarbos rūšių apsaugos būklė pagerėjo, o 9 proc. buveinių – pablogėjo. Tai kelia pavojų ir visuomenės gerovei ir sveikatai, daro žalą ekonomikai ir jau šiandien reikalauja didelių išlaidų, todėl siekiama, kad tiek rūšių, tiek buveinių situacija iki 2030 m. būtų pagerėtų bent 30 proc.</w:t>
                </w:r>
              </w:p>
              <w:p>
                <w:pPr>
                  <w:ind w:firstLine="567"/>
                  <w:jc w:val="both"/>
                  <w:rPr>
                    <w:szCs w:val="24"/>
                    <w:lang w:val="en-GB"/>
                  </w:rPr>
                </w:pPr>
                <w:r>
                  <w:rPr>
                    <w:szCs w:val="24"/>
                    <w:lang w:val="en-GB"/>
                  </w:rPr>
                  <w:t xml:space="preserve">Į aplinką išmetamų teršalų kiekis kasmet mažėja, tačiau toliau išlieka svarbios investicijos, kuriomis mažinamas neigiamas oro taršos poveikis žmonių sveikatai ir aplinkai. Išmetamų į aplinkos orą teršalų kiekis šiuo metu neviršija nacionalinių ribų, vis dėlto miestų oro kokybė Lietuvoje nėra gera – vos penktadalyje Lietuvos miestų neviršijamos Pasaulio sveikatos organizacijos (toliau – PSO) kietųjų dalelių normos. Siekiant mažinti išmetamų teršalų kiekį ir koncentraciją aplinkos ore, didžiausias dėmesys skiriamas energetikos, transporto ir žemės ūkio sektoriams. 2030 m. siekiama, jog 40 proc. </w:t>
                </w:r>
                <w:r>
                  <w:rPr>
                    <w:iCs/>
                    <w:szCs w:val="24"/>
                    <w:lang w:val="en-GB"/>
                  </w:rPr>
                  <w:t>miestų nebūtų viršijama PSO rekomenduojama kietųjų dalelių KD</w:t>
                </w:r>
                <w:r>
                  <w:rPr>
                    <w:iCs/>
                    <w:szCs w:val="24"/>
                    <w:vertAlign w:val="subscript"/>
                    <w:lang w:val="en-GB"/>
                  </w:rPr>
                  <w:t>10</w:t>
                </w:r>
                <w:r>
                  <w:rPr>
                    <w:iCs/>
                    <w:szCs w:val="24"/>
                    <w:lang w:val="en-GB"/>
                  </w:rPr>
                  <w:t xml:space="preserve"> koncentracija.</w:t>
                </w:r>
              </w:p>
              <w:p>
                <w:pPr>
                  <w:ind w:firstLine="567"/>
                  <w:jc w:val="both"/>
                  <w:rPr>
                    <w:szCs w:val="24"/>
                    <w:lang w:val="en-GB"/>
                  </w:rPr>
                </w:pPr>
                <w:r>
                  <w:rPr>
                    <w:szCs w:val="24"/>
                    <w:lang w:val="en-GB"/>
                  </w:rPr>
                  <w:t>Lietuvoje atnaujinimo laukia apie 35 000 neefektyvių daugiabučių (iš jų 4000 yra renovuoti)</w:t>
                </w:r>
                <w:r>
                  <w:rPr>
                    <w:lang w:val="en-GB"/>
                  </w:rPr>
                  <w:t xml:space="preserve"> </w:t>
                </w:r>
                <w:r>
                  <w:rPr>
                    <w:szCs w:val="24"/>
                    <w:lang w:val="en-GB"/>
                  </w:rPr>
                  <w:t>bei apie 700 viešųjų pastatų. Energijos vartojimo efektyvumas galėtų būti dar labiau didinamas, modernizuojant pastatų pasenusias šilumos apskaitos ir šilumos valdymo bei reguliavimo sistemas. Nuo 2020 m. iki 2030 m. siekiama sutaupyti 27 279 GWh galutinės energijos.</w:t>
                </w:r>
              </w:p>
              <w:p>
                <w:pPr>
                  <w:ind w:firstLine="567"/>
                  <w:jc w:val="both"/>
                  <w:rPr>
                    <w:szCs w:val="24"/>
                    <w:lang w:val="en-GB"/>
                  </w:rPr>
                </w:pPr>
                <w:r>
                  <w:rPr>
                    <w:rFonts w:eastAsia="AngsanaUPC"/>
                    <w:szCs w:val="24"/>
                    <w:lang w:val="en-GB" w:eastAsia="lt-LT"/>
                  </w:rPr>
                  <w:t>Didinant šalies energetinę nepriklausomybę</w:t>
                </w:r>
                <w:r>
                  <w:rPr>
                    <w:rFonts w:eastAsia="AngsanaUPC"/>
                    <w:b/>
                    <w:szCs w:val="24"/>
                    <w:lang w:val="en-GB" w:eastAsia="lt-LT"/>
                  </w:rPr>
                  <w:t xml:space="preserve"> </w:t>
                </w:r>
                <w:r>
                  <w:rPr>
                    <w:rFonts w:eastAsia="AngsanaUPC"/>
                    <w:szCs w:val="24"/>
                    <w:lang w:val="en-GB" w:eastAsia="lt-LT"/>
                  </w:rPr>
                  <w:t>svarbiomis išlieka investicijos, didinančios energijos</w:t>
                </w:r>
                <w:r>
                  <w:rPr>
                    <w:rFonts w:eastAsia="AngsanaUPC"/>
                    <w:bCs/>
                    <w:szCs w:val="24"/>
                    <w:lang w:val="en-GB" w:eastAsia="lt-LT"/>
                  </w:rPr>
                  <w:t xml:space="preserve">, pagamintos iš </w:t>
                </w:r>
                <w:r>
                  <w:rPr>
                    <w:szCs w:val="24"/>
                    <w:lang w:val="en-GB"/>
                  </w:rPr>
                  <w:t>atsinaujinančių energijos išteklių (toliau – AEI)</w:t>
                </w:r>
                <w:r>
                  <w:rPr>
                    <w:rFonts w:eastAsia="AngsanaUPC"/>
                    <w:bCs/>
                    <w:szCs w:val="24"/>
                    <w:lang w:val="en-GB" w:eastAsia="lt-LT"/>
                  </w:rPr>
                  <w:t xml:space="preserve">, dalį elektros ir centralizuotai tiekiamos šilumos gamyboje bei visame energijos balanse. </w:t>
                </w:r>
                <w:r>
                  <w:rPr>
                    <w:szCs w:val="24"/>
                    <w:lang w:val="en-GB"/>
                  </w:rPr>
                  <w:t>AEI dalis sudaro 24,4 proc. galutiniame energijos vartojime ir 68 proc. centralizuotai teikiamos šilumos gamyboje. Išlieka didelis poreikis labiau išnaudoti AEI potencialą, diegiant atsinaujinančių išteklių energiją naudojančias ir kaupiančias technologijas elektros ir šilumos sektoriuose. Lietuvai, siekiant klimato neutralumo tikslo iki 2050 m., itin svarbu toliau skatinti e</w:t>
                </w:r>
                <w:r>
                  <w:rPr>
                    <w:rFonts w:eastAsia="AngsanaUPC"/>
                    <w:bCs/>
                    <w:szCs w:val="24"/>
                    <w:lang w:val="en-GB" w:eastAsia="lt-LT"/>
                  </w:rPr>
                  <w:t>nergijos vartojimo efektyvumo didinimą ir AEI dalį galutiniame vartojime bei transporto sektoriuje.</w:t>
                </w:r>
                <w:r>
                  <w:rPr>
                    <w:szCs w:val="24"/>
                    <w:lang w:val="en-GB"/>
                  </w:rPr>
                  <w:t xml:space="preserve"> Įgyvendinant </w:t>
                </w:r>
                <w:r>
                  <w:rPr>
                    <w:b/>
                    <w:szCs w:val="24"/>
                    <w:lang w:val="en-GB"/>
                  </w:rPr>
                  <w:t xml:space="preserve">Tarybos rekomendaciją dėl energijos ir išteklių naudojimo efektyvumo </w:t>
                </w:r>
                <w:r>
                  <w:rPr>
                    <w:szCs w:val="24"/>
                    <w:lang w:val="en-GB"/>
                  </w:rPr>
                  <w:t>didinimo, numatomi veiksmai, spartinant pastatų renovaciją, atnaujinama ir tobulinama energetikos infrastruktūra, labiau integruojami ir daugiau naudojami AEI energijos gamybai. Iki 2030 m. siekiama, jog 45 proc. elektros energijos būtų pagaminti iš AEI. Be to, pastarieji veiksmai prisidės prie energetinio skurdo problemos sprendimo. 2016 m. paslėptą energetinį skurdą patyrė 14,9 proc. Lietuvos namų ūkių.</w:t>
                </w:r>
              </w:p>
              <w:p>
                <w:pPr>
                  <w:ind w:firstLine="567"/>
                  <w:jc w:val="both"/>
                  <w:rPr>
                    <w:szCs w:val="24"/>
                    <w:lang w:val="en-GB"/>
                  </w:rPr>
                </w:pPr>
                <w:r>
                  <w:rPr>
                    <w:lang w:val="en-GB"/>
                  </w:rPr>
                  <w:t xml:space="preserve">Pereinant prie neutralaus poveikio klimatui ekonomikos, taršių pramonės šakų išmetamą ŠESD kiekį numatoma mažinti naujojo </w:t>
                </w:r>
                <w:r>
                  <w:rPr>
                    <w:b/>
                    <w:lang w:val="en-GB"/>
                  </w:rPr>
                  <w:t>Teisingos pertvarkos fondo</w:t>
                </w:r>
                <w:r>
                  <w:rPr>
                    <w:lang w:val="en-GB"/>
                  </w:rPr>
                  <w:t xml:space="preserve"> lėšomis. Mažinant ŠESD kiekį, tuo pat metu reikės sušvelninti galimą neigiamą socialinį ir ekonominį šios pertvarkos poveikį. Atlikus situacijos analizę, investicijos bus nukreiptos į tuos regionus, kurie patiria didžiausius aplinkosauginius, socialinius ir ekonomius iššūkius dėl ES perėjimo prie neutralaus poveikio klimatui ekonomikos iki 2050 m. Programa ir Teritorinis teisingos pertvarkos planas nustato prioritetines investicijas, kuriomis būtų kuriami ir diegiami inovatyvūs efektyvios ir švarios gamybos ir energijos vartojimo sprendimai regionuose.</w:t>
                </w:r>
              </w:p>
              <w:p>
                <w:pPr>
                  <w:ind w:firstLine="567"/>
                  <w:jc w:val="both"/>
                  <w:rPr>
                    <w:lang w:val="en-GB"/>
                  </w:rPr>
                </w:pPr>
                <w:r>
                  <w:rPr>
                    <w:bCs/>
                    <w:lang w:val="en-GB"/>
                  </w:rPr>
                  <w:t xml:space="preserve">Lietuvoje didžiausiomis taršaus transporto problemomis išlieka neefektyvus ir senas automobilių parkas, nepatrauklus viešasis transportas, nepakankamos paskatos gyventojams naudoti mažataršius automobilius, neišplėtotos darnaus judumo priemonės miestuose, infrastruktūros, reikalingos elektromobilių plėtrai, stoka, nenustatyti privalomi reikalavimai valstybės institucijoms ir transporto infrastruktūros objektų valdytojams įsigyti mažai teršias transporto priemones. Programa numato </w:t>
                </w:r>
                <w:r>
                  <w:rPr>
                    <w:lang w:val="en-GB"/>
                  </w:rPr>
                  <w:t xml:space="preserve">įgyvendinti Darnaus judumo planuose </w:t>
                </w:r>
                <w:r>
                  <w:rPr>
                    <w:i/>
                    <w:lang w:val="en-GB"/>
                  </w:rPr>
                  <w:t>(DJP)</w:t>
                </w:r>
                <w:r>
                  <w:rPr>
                    <w:lang w:val="en-GB"/>
                  </w:rPr>
                  <w:t xml:space="preserve"> numatytas darnaus judumo priemones miestuose ir jų funkcinėse zonose. Investicijų poreikiai yra susiję su būtinybe skatinti tvarų daugiarūšį judumą mieste. Įgyvendinant </w:t>
                </w:r>
                <w:r>
                  <w:rPr>
                    <w:b/>
                    <w:lang w:val="en-GB"/>
                  </w:rPr>
                  <w:t xml:space="preserve">Tarybos rekomendaciją dėl darnaus transporto plėtros, </w:t>
                </w:r>
                <w:r>
                  <w:rPr>
                    <w:lang w:val="en-GB"/>
                  </w:rPr>
                  <w:t>numatytos priemonės transporto sektoriaus tvarumui didinti. Lietuva planuoja padidinti transporto priemonių parko ir transporto sistemos efektyvumą, elektrinio mobilumo ir alternatyvių degalų naudojimą, novatoriškas transporto technologijas, taip pat komercinio transporto apmokestinimą pagal principą „teršėjas moka“. Siekiama, jog AEI dalis transporto sektoriuje 2030 m. sudarytų 15 proc., o ŠESD kiekis 2030 m. laikotarpiu būtų 9 proc. mažesnis nei 2005 m.</w:t>
                </w:r>
              </w:p>
              <w:p>
                <w:pPr>
                  <w:ind w:firstLine="567"/>
                  <w:jc w:val="both"/>
                  <w:rPr>
                    <w:szCs w:val="24"/>
                    <w:lang w:val="en-GB"/>
                  </w:rPr>
                </w:pPr>
                <w:r>
                  <w:rPr>
                    <w:szCs w:val="24"/>
                    <w:lang w:val="en-GB"/>
                  </w:rPr>
                  <w:t xml:space="preserve">Priežasčių, </w:t>
                </w:r>
                <w:r>
                  <w:rPr>
                    <w:b/>
                    <w:szCs w:val="24"/>
                    <w:lang w:val="en-GB"/>
                  </w:rPr>
                  <w:t>sąlygojančių lėtą Lietuvos žaliąjį augimą aplinkosaugos ir energetikos srityje</w:t>
                </w:r>
                <w:r>
                  <w:rPr>
                    <w:szCs w:val="24"/>
                    <w:lang w:val="en-GB"/>
                  </w:rPr>
                  <w:t xml:space="preserve"> lemia eilė tarpusavyje susijusių priežasčių. Lietuva pasižymi </w:t>
                </w:r>
                <w:r>
                  <w:rPr>
                    <w:b/>
                    <w:szCs w:val="24"/>
                    <w:lang w:val="en-GB"/>
                  </w:rPr>
                  <w:t>neefektyviu išteklių naudojimu ir dideliu energijos intensyvumu</w:t>
                </w:r>
                <w:r>
                  <w:rPr>
                    <w:szCs w:val="24"/>
                    <w:lang w:val="en-GB"/>
                  </w:rPr>
                  <w:t xml:space="preserve">. Išteklių našumas tebėra mažas – nuo 2010 m. šis rodiklis nepadidėjo ir sudaro 0,8 Eur/kg, t. y. gerokai mažesnis už 2,0 Eur/kg ES vidurkį, o Lietuvos </w:t>
                </w:r>
                <w:r>
                  <w:rPr>
                    <w:b/>
                    <w:szCs w:val="24"/>
                    <w:lang w:val="en-GB"/>
                  </w:rPr>
                  <w:t xml:space="preserve">ekologinių inovacijų </w:t>
                </w:r>
                <w:r>
                  <w:rPr>
                    <w:szCs w:val="24"/>
                    <w:lang w:val="en-GB"/>
                  </w:rPr>
                  <w:t xml:space="preserve">indeksas vis dar išlieka žemesnis už ES vidurkį: Lietuvos rodiklis 2018 m. – 89, ES vidurkis – 100. Gera aplinkos kokybė yra neužtikrinama, nes Lietuvos vandens tiekimo ir nuotekų tvarkymo įmonių valdymas yra decentralizuotas ir neefektyvus – apjungus smulkias įmones į stambesnius vienetus, įmonėse pradėtų veikti masto ekonomija, leidžianti dirbti efektyviau. Taip pat, nevykdoma pakankamai priemonių gerai Baltijos jūros, Kuršių marių ir vidaus vandenų (upių, ežerų) būklei užtikrinti. </w:t>
                </w:r>
                <w:r>
                  <w:rPr>
                    <w:bCs/>
                    <w:iCs/>
                    <w:szCs w:val="24"/>
                    <w:lang w:val="en-GB"/>
                  </w:rPr>
                  <w:t>Į Kuršių marias ir Baltijos jūrą upėmis atplukdomas teršalų kiekis nuo 2001 m. nuolat auga</w:t>
                </w:r>
                <w:r>
                  <w:rPr>
                    <w:szCs w:val="24"/>
                    <w:lang w:val="en-GB"/>
                  </w:rPr>
                  <w:t xml:space="preserve">, o </w:t>
                </w:r>
                <w:r>
                  <w:rPr>
                    <w:bCs/>
                    <w:iCs/>
                    <w:szCs w:val="24"/>
                    <w:lang w:val="en-GB"/>
                  </w:rPr>
                  <w:t xml:space="preserve">didžiausią neigiamą poveikį Lietuvos paviršiniams vandenims daro difuzinė tarša. </w:t>
                </w:r>
                <w:r>
                  <w:rPr>
                    <w:szCs w:val="24"/>
                    <w:lang w:val="en-GB"/>
                  </w:rPr>
                  <w:t>Ekosistemos ir biologinė įvairovė šalyje yra nestabili, nes trūksta pakankamai priemonių buveinių apsaugai užtikrinti, invazinių rūšių valdymui, taikomųjų tyrimų ir efektyvios stebėsenos vykdymui.</w:t>
                </w:r>
                <w:r>
                  <w:rPr>
                    <w:bCs/>
                    <w:i/>
                    <w:iCs/>
                    <w:szCs w:val="24"/>
                    <w:lang w:val="en-GB"/>
                  </w:rPr>
                  <w:t xml:space="preserve"> </w:t>
                </w:r>
                <w:r>
                  <w:rPr>
                    <w:bCs/>
                    <w:iCs/>
                    <w:szCs w:val="24"/>
                    <w:lang w:val="en-GB"/>
                  </w:rPr>
                  <w:t>Taip pat Lietuvos poveikis klimato kaitai nemažėja, o su</w:t>
                </w:r>
                <w:r>
                  <w:rPr>
                    <w:szCs w:val="24"/>
                    <w:lang w:val="en-GB"/>
                  </w:rPr>
                  <w:t xml:space="preserve"> oro tarša susiję sveikatos kaštai Lietuvoje yra didžiausi tarp EBPO šalių ir siekia 1 mlrd. Eur per metus. Lietuvos energijos suvartojimas didelis, visų pirma gyvenamųjų namų ir transporto sektoriuose. Pats automobilių parkas yra vienas seniausių ES, dominuojamas 1,5 milijono</w:t>
                </w:r>
                <w:r>
                  <w:rPr>
                    <w:b/>
                    <w:szCs w:val="24"/>
                    <w:lang w:val="en-GB"/>
                  </w:rPr>
                  <w:t xml:space="preserve"> </w:t>
                </w:r>
                <w:r>
                  <w:rPr>
                    <w:szCs w:val="24"/>
                    <w:lang w:val="en-GB"/>
                  </w:rPr>
                  <w:t xml:space="preserve">dyzelinių automobilių (~69 proc. viso parko). Energetikoje yra </w:t>
                </w:r>
                <w:r>
                  <w:rPr>
                    <w:b/>
                    <w:szCs w:val="24"/>
                    <w:lang w:val="en-GB"/>
                  </w:rPr>
                  <w:t>mažas inovatyvių ŠESD mažinimo technologijų pritaikymas pramonės įmonėse bei visapusiškai neišnaudotas Lietuvos AEI potencialas</w:t>
                </w:r>
                <w:r>
                  <w:rPr>
                    <w:szCs w:val="24"/>
                    <w:lang w:val="en-GB"/>
                  </w:rPr>
                  <w:t xml:space="preserve">, ypač Baltijos jūroje, energijos poreikiams tenkinti. Lietuva ir toliau išlieka energetiškai priklausoma nuo importuojamos energijos. Tai geriausiai atspindi energetinės priklausomybės rodiklis, kuris 2018 m. sudarė 74,7 </w:t>
                </w:r>
                <w:r>
                  <w:rPr>
                    <w:lang w:val="en-GB"/>
                  </w:rPr>
                  <w:t>proc.</w:t>
                </w:r>
                <w:r>
                  <w:rPr>
                    <w:szCs w:val="24"/>
                    <w:lang w:val="en-GB"/>
                  </w:rPr>
                  <w:t xml:space="preserve"> ir vis dar gerokai viršijo ES vidurkį (2017 m. – 55,1 </w:t>
                </w:r>
                <w:r>
                  <w:rPr>
                    <w:lang w:val="en-GB"/>
                  </w:rPr>
                  <w:t>proc.</w:t>
                </w:r>
                <w:r>
                  <w:rPr>
                    <w:szCs w:val="24"/>
                    <w:lang w:val="en-GB"/>
                  </w:rPr>
                  <w:t>). Lietuva didžiąją dalį elektros importuoja. Pagrindinės priežastys, kodėl importuojama daugiau negu gaminama, yra ekonominės, t.y. importuojama iš ten, kur elektra pigiausia, todėl tai sąlyginai lėtiną AEI plėtros tempus Lietuvoje. Lietuvos gyventojų būstai yra energetiškai neefektyvūs, o renovacijos atsipirkimo laikotarpis yra ilgas, nėra vieningų miestų kvartalinės renovacijos planų, o vartotojų elgsenos ypatumai ir įpročiai neprisideda prie energijos vartojimo efektyvumo.</w:t>
                </w:r>
              </w:p>
              <w:p>
                <w:pPr>
                  <w:ind w:firstLine="567"/>
                  <w:jc w:val="both"/>
                  <w:rPr>
                    <w:szCs w:val="24"/>
                    <w:lang w:val="en-GB"/>
                  </w:rPr>
                </w:pPr>
                <w:r>
                  <w:rPr>
                    <w:szCs w:val="24"/>
                    <w:lang w:val="en-GB"/>
                  </w:rPr>
                  <w:t xml:space="preserve">Programa reikšmingai prisidės prie išvardintų problemų sprendimo, kurios identifikuotos </w:t>
                </w:r>
                <w:r>
                  <w:rPr>
                    <w:b/>
                    <w:szCs w:val="24"/>
                    <w:lang w:val="en-GB"/>
                  </w:rPr>
                  <w:t>Nacionaliniame energetikos ir klimato srities veiksmų plane 2021–2030 m.</w:t>
                </w:r>
                <w:r>
                  <w:rPr>
                    <w:szCs w:val="24"/>
                    <w:lang w:val="en-GB"/>
                  </w:rPr>
                  <w:t xml:space="preserve"> (toliau – NEKSVP</w:t>
                </w:r>
                <w:r>
                  <w:rPr>
                    <w:bCs/>
                    <w:iCs/>
                    <w:szCs w:val="24"/>
                    <w:lang w:val="en-GB" w:bidi="lt-LT"/>
                  </w:rPr>
                  <w:t xml:space="preserve">) ir </w:t>
                </w:r>
                <w:r>
                  <w:rPr>
                    <w:b/>
                    <w:bCs/>
                    <w:szCs w:val="24"/>
                    <w:lang w:val="en-GB" w:bidi="lt-LT"/>
                  </w:rPr>
                  <w:t>Europos žaliojo kurso</w:t>
                </w:r>
                <w:r>
                  <w:rPr>
                    <w:bCs/>
                    <w:szCs w:val="24"/>
                    <w:lang w:val="en-GB" w:bidi="lt-LT"/>
                  </w:rPr>
                  <w:t xml:space="preserve"> tikslų. Programa numato skatinti v</w:t>
                </w:r>
                <w:r>
                  <w:rPr>
                    <w:bCs/>
                    <w:iCs/>
                    <w:szCs w:val="24"/>
                    <w:lang w:val="en-GB" w:bidi="lt-LT"/>
                  </w:rPr>
                  <w:t xml:space="preserve">andens prieinamumo ir tvaraus vandens išteklių valdymą ir biologinę įvairovę, žaliąją infrastruktūrą miesto aplinkoje ir mažinti taršą. Taip pat, </w:t>
                </w:r>
                <w:r>
                  <w:rPr>
                    <w:szCs w:val="24"/>
                    <w:lang w:val="en-GB"/>
                  </w:rPr>
                  <w:t xml:space="preserve">Lietuva susiduria su daugeliu svarbių </w:t>
                </w:r>
                <w:r>
                  <w:rPr>
                    <w:b/>
                    <w:szCs w:val="24"/>
                    <w:lang w:val="en-GB"/>
                  </w:rPr>
                  <w:t>aplinkosauginių aspektų</w:t>
                </w:r>
                <w:r>
                  <w:rPr>
                    <w:szCs w:val="24"/>
                    <w:lang w:val="en-GB"/>
                  </w:rPr>
                  <w:t xml:space="preserve"> kaip efektyvus energijos vartojimas pastatuose, pramonėje, infrastruktūroje, aplinkos taršos mažinimas ir žiedinės ekonomikos vystymas, kovos su klimato kaita ir jai įtvirtinti reikalingų administracinių gebėjimų stiprinimas, todėl Programa investuos į pokyčius šiose srityse. Energetikos srityje pokyčiai sieks </w:t>
                </w:r>
                <w:r>
                  <w:rPr>
                    <w:b/>
                    <w:szCs w:val="24"/>
                    <w:lang w:val="en-GB"/>
                  </w:rPr>
                  <w:t>NEKSVP</w:t>
                </w:r>
                <w:r>
                  <w:rPr>
                    <w:szCs w:val="24"/>
                    <w:lang w:val="en-GB"/>
                  </w:rPr>
                  <w:t xml:space="preserve"> ir </w:t>
                </w:r>
                <w:r>
                  <w:rPr>
                    <w:b/>
                    <w:szCs w:val="24"/>
                    <w:lang w:val="en-GB"/>
                  </w:rPr>
                  <w:t>Nacionalinėje energetinės nepriklausomybės strategijoje</w:t>
                </w:r>
                <w:r>
                  <w:rPr>
                    <w:szCs w:val="24"/>
                    <w:lang w:val="en-GB"/>
                  </w:rPr>
                  <w:t xml:space="preserve"> (toliau – NENS) iškeltų tikslų įgyvendinimo. Siekiant šalies poveikio klimato neutralumui bus investuojama į energijos vartojimo efektyvumą didinančias priemones, ŠESD mažinimą, AEI dalies bendrame energijos suvartojime didinimą, </w:t>
                </w:r>
                <w:r>
                  <w:rPr>
                    <w:bCs/>
                    <w:iCs/>
                    <w:szCs w:val="24"/>
                    <w:lang w:val="en-GB" w:bidi="lt-LT"/>
                  </w:rPr>
                  <w:t>vietinės energijos iš AEI gamybą tiek elektros, tiek šilumos sektoriuose, į pažangiųjų elektros energijos technologijų ir ar sprendimų energetiniuose tinkluose diegimą.</w:t>
                </w:r>
              </w:p>
              <w:p>
                <w:pPr>
                  <w:ind w:firstLine="567"/>
                  <w:jc w:val="both"/>
                  <w:rPr>
                    <w:bCs/>
                    <w:iCs/>
                    <w:szCs w:val="24"/>
                    <w:lang w:val="en-GB" w:bidi="lt-LT"/>
                  </w:rPr>
                </w:pPr>
                <w:r>
                  <w:rPr>
                    <w:bCs/>
                    <w:iCs/>
                    <w:szCs w:val="24"/>
                    <w:lang w:val="en-GB" w:bidi="lt-LT"/>
                  </w:rPr>
                  <w:t xml:space="preserve">Dėl energetikos ir aplinkos apsaugos sektorių specifikos regioniniu požiūriu nėra numatytos jokios specifinės veiklos išskirtinai tik Sostinės regionui, todėl intervencijos bus įgyvendinamos visoje Lietuvoje arba tik VVL regione. Dalis veiklų VVL regione yra susijusios su Baltijos jūra – jos krantai kenčia nuo erozijos ir audrų, o pati jūra yra ganėtinai užteršta, todėl ES investicijos sieks apsaugoti ir įgalinti Baltijos jūrą, atsižvelgiant į valstybės ekonominius, socialinius ir aplinkosauginius poreikius bei tarptautinius įsipareigojimus. Be to, </w:t>
                </w:r>
                <w:r>
                  <w:rPr>
                    <w:szCs w:val="24"/>
                    <w:lang w:val="en-GB"/>
                  </w:rPr>
                  <w:t>pažangiąsias elektros energijos sistemas ir tinklus bei energijos kaupimo vietos lygmeniu sprendimus planuojama didžiąja dalimi diegti tik VVL regione. Šiame regione taip pat numatytos esminės energijos vartojimo efektyvumą skatinančios veiklos, kaip daugiabučių gyvenamųjų namų ir centrinės valdžios pastatų atnaujinimas bei katilų keitimas namų ūkiuose efektyvesnėmis AEI technologijomis.</w:t>
                </w:r>
                <w:r>
                  <w:rPr>
                    <w:bCs/>
                    <w:iCs/>
                    <w:szCs w:val="24"/>
                    <w:lang w:val="en-GB" w:bidi="lt-LT"/>
                  </w:rPr>
                  <w:t xml:space="preserve"> Taip pat, VVL regione reikia plėsti visuomenės perspėjimo sirenomis sistemą dėl egzistuojančio regioninio atotrūkio, kadangi Sostinės regione yra pasiekiami 75 proc. gyventojų, lyginant su 56 proc. likusioje Lietuvos dalyje. </w:t>
                </w:r>
              </w:p>
              <w:p>
                <w:pPr>
                  <w:ind w:firstLine="567"/>
                  <w:jc w:val="both"/>
                  <w:rPr>
                    <w:szCs w:val="24"/>
                    <w:lang w:val="en-GB"/>
                  </w:rPr>
                </w:pPr>
                <w:r>
                  <w:rPr>
                    <w:szCs w:val="24"/>
                    <w:lang w:val="en-GB"/>
                  </w:rPr>
                  <w:t xml:space="preserve">NEKSVP planuojamos politikos priemonėms įgyvendinti </w:t>
                </w:r>
                <w:r>
                  <w:rPr>
                    <w:b/>
                    <w:szCs w:val="24"/>
                    <w:lang w:val="en-GB"/>
                  </w:rPr>
                  <w:t>reikalingos bendros investicijos siekia apie 14,1 mlrd. Eur</w:t>
                </w:r>
                <w:r>
                  <w:rPr>
                    <w:szCs w:val="24"/>
                    <w:lang w:val="en-GB"/>
                  </w:rPr>
                  <w:t xml:space="preserve">, iš jų viešojo sektoriaus lėšų dalis preliminariu vertinimu sudarytų apie 9,8 mlrd. Eur. Vien tik ŠESD išmetimų mažinimo priemonėms įgyvendinti bendras lėšų poreikis sudarytų 10,8 mlrd. Eur, iš kurių viešojo sektoriaus lėšų reikėtų 6,5 mlrd. Eur. Siekiant 2030 m. klimato kaitos ir energetikos tikslų, </w:t>
                </w:r>
                <w:r>
                  <w:rPr>
                    <w:b/>
                    <w:szCs w:val="24"/>
                    <w:lang w:val="en-GB"/>
                  </w:rPr>
                  <w:t>pagrindiniai viešojo sektoriaus lėšų šaltiniai 2021–2030 m.</w:t>
                </w:r>
                <w:r>
                  <w:rPr>
                    <w:szCs w:val="24"/>
                    <w:lang w:val="en-GB"/>
                  </w:rPr>
                  <w:t xml:space="preserve"> bus 2021–2027 m. ES fondų (Europos regioninės plėtros ir Sanglaudos fondų bei Žemės ūkio fondas kaimo plėtrai ir Europos jūros reikalų ir žuvininkystės fondas) investicijos, elektros ir šilumos tarifai, valstybės biudžeto (Klimato kaitos programa, Atliekų tvarkymo programa ir kt.) ir savivaldybių biudžetų lėšos, Modernizavimo fondas, Inovacijų fondas, Europos infrastruktūros tinklų priemonė (CEF), Life programa. Taip pat, bus bandoma pasinaudoti finansavimo galimybėmis iš Europos Horizonto, InvestEU, Cosme programų. Mažesne apimtimi, bet taip pat bus pritraukiami viešųjų lėšų šaltiniai, pvz., už viešuosius interesus atitinkančias paslaugas gautos lėšos (VIAP lėšos), statistinių perdavimų bei Europos ekonominės erdvės ir Norvegijos finansinio mechanizmo lėšos. ES Sanglaudos politikos lėšomis bus finansuojamos tos veiklos, kurios labiausiai prisidės prie NEKSVP numatytų tikslų siekimo.</w:t>
                </w:r>
              </w:p>
              <w:p>
                <w:pPr>
                  <w:ind w:firstLine="567"/>
                  <w:jc w:val="both"/>
                  <w:rPr>
                    <w:rFonts w:eastAsia="Calibri"/>
                    <w:bCs/>
                    <w:szCs w:val="24"/>
                    <w:lang w:val="en-GB"/>
                  </w:rPr>
                </w:pPr>
                <w:r>
                  <w:rPr>
                    <w:rFonts w:eastAsia="Calibri"/>
                    <w:bCs/>
                    <w:szCs w:val="24"/>
                    <w:lang w:val="en-GB"/>
                  </w:rPr>
                  <w:t xml:space="preserve">Siekiant trečiojo politikos tikslo </w:t>
                </w:r>
                <w:r>
                  <w:rPr>
                    <w:rFonts w:eastAsia="Calibri"/>
                    <w:b/>
                    <w:bCs/>
                    <w:szCs w:val="24"/>
                    <w:lang w:val="en-GB"/>
                  </w:rPr>
                  <w:t>„Geriau sujungta Europa“,</w:t>
                </w:r>
                <w:r>
                  <w:rPr>
                    <w:rFonts w:eastAsia="Calibri"/>
                    <w:bCs/>
                    <w:szCs w:val="24"/>
                    <w:lang w:val="en-GB"/>
                  </w:rPr>
                  <w:t xml:space="preserve"> ES fondų investicijomis bus kuriamas </w:t>
                </w:r>
                <w:r>
                  <w:rPr>
                    <w:rFonts w:eastAsia="Calibri"/>
                    <w:b/>
                    <w:bCs/>
                    <w:szCs w:val="24"/>
                    <w:lang w:val="en-GB"/>
                  </w:rPr>
                  <w:t>tvarus, atsparus klimato kaitai, pažangus, saugus ir įvairiarūšis transeuropinis transporto tinklas</w:t>
                </w:r>
                <w:r>
                  <w:rPr>
                    <w:rFonts w:eastAsia="Calibri"/>
                    <w:bCs/>
                    <w:szCs w:val="24"/>
                    <w:lang w:val="en-GB"/>
                  </w:rPr>
                  <w:t xml:space="preserve">, taip pat gerinamas </w:t>
                </w:r>
                <w:r>
                  <w:rPr>
                    <w:rFonts w:eastAsia="Calibri"/>
                    <w:b/>
                    <w:bCs/>
                    <w:szCs w:val="24"/>
                    <w:lang w:val="en-GB"/>
                  </w:rPr>
                  <w:t>nacionalinis, regiono ir vietos judumas</w:t>
                </w:r>
                <w:r>
                  <w:rPr>
                    <w:rFonts w:eastAsia="Calibri"/>
                    <w:bCs/>
                    <w:szCs w:val="24"/>
                    <w:lang w:val="en-GB"/>
                  </w:rPr>
                  <w:t xml:space="preserve">, įskaitant geresnes galimybes naudotis TEN-T ir </w:t>
                </w:r>
                <w:r>
                  <w:rPr>
                    <w:rFonts w:eastAsia="Calibri"/>
                    <w:b/>
                    <w:bCs/>
                    <w:szCs w:val="24"/>
                    <w:lang w:val="en-GB"/>
                  </w:rPr>
                  <w:t>tarpvalstybinis judumas</w:t>
                </w:r>
                <w:r>
                  <w:rPr>
                    <w:rFonts w:eastAsia="Calibri"/>
                    <w:bCs/>
                    <w:szCs w:val="24"/>
                    <w:lang w:val="en-GB"/>
                  </w:rPr>
                  <w:t xml:space="preserve">. </w:t>
                </w:r>
              </w:p>
              <w:p>
                <w:pPr>
                  <w:ind w:firstLine="567"/>
                  <w:jc w:val="both"/>
                  <w:rPr>
                    <w:rFonts w:eastAsia="Calibri"/>
                    <w:bCs/>
                    <w:szCs w:val="24"/>
                    <w:lang w:val="en-GB"/>
                  </w:rPr>
                </w:pPr>
                <w:r>
                  <w:rPr>
                    <w:rFonts w:eastAsia="Calibri"/>
                    <w:bCs/>
                    <w:szCs w:val="24"/>
                    <w:lang w:val="en-GB"/>
                  </w:rPr>
                  <w:t xml:space="preserve">Numatoma </w:t>
                </w:r>
                <w:r>
                  <w:rPr>
                    <w:rFonts w:eastAsia="Calibri"/>
                    <w:b/>
                    <w:bCs/>
                    <w:szCs w:val="24"/>
                    <w:lang w:val="en-GB"/>
                  </w:rPr>
                  <w:t>siekti</w:t>
                </w:r>
                <w:r>
                  <w:rPr>
                    <w:rFonts w:eastAsia="Calibri"/>
                    <w:bCs/>
                    <w:szCs w:val="24"/>
                    <w:lang w:val="en-GB"/>
                  </w:rPr>
                  <w:t xml:space="preserve"> NPP </w:t>
                </w:r>
                <w:r>
                  <w:rPr>
                    <w:rFonts w:eastAsia="Calibri"/>
                    <w:b/>
                    <w:bCs/>
                    <w:szCs w:val="24"/>
                    <w:lang w:val="en-GB"/>
                  </w:rPr>
                  <w:t>tikslo 2030 m.</w:t>
                </w:r>
                <w:r>
                  <w:rPr>
                    <w:rFonts w:eastAsia="Calibri"/>
                    <w:bCs/>
                    <w:szCs w:val="24"/>
                    <w:lang w:val="en-GB"/>
                  </w:rPr>
                  <w:t>, kad ES transporto infrastruktūros ir paslaugų švieslentėje Lietuva būtų ne žemesnėje nei 10 vietoje (2018 m. užėmė 14 vietą)</w:t>
                </w:r>
              </w:p>
              <w:p>
                <w:pPr>
                  <w:ind w:firstLine="567"/>
                  <w:jc w:val="both"/>
                  <w:rPr>
                    <w:rFonts w:eastAsia="Calibri"/>
                    <w:bCs/>
                    <w:szCs w:val="24"/>
                    <w:lang w:val="en-GB"/>
                  </w:rPr>
                </w:pPr>
                <w:r>
                  <w:rPr>
                    <w:rFonts w:eastAsia="Calibri"/>
                    <w:bCs/>
                    <w:szCs w:val="24"/>
                    <w:lang w:val="en-GB"/>
                  </w:rPr>
                  <w:t xml:space="preserve">2018 m. Lietuvoje elektrifikuotų geležinkelių dalis nuo viso geležinkelių tinklo padidėjo iki 8 proc., tačiau yra viena žemiausių ES. Lėtą geležinkelių elektrifikaciją lemia laikui itin imlus elektrifikacijos darbų procesas. Planuojama, kad pagal 2014-2020 m. Programos periodo investicijas 2023 metais užbaigus elektrifikaciją ruože Kaišiadorys–Klaipėda, bus elektrifikuota 22 proc. šalies geležinkelio. Tai sudarys sąlygas keleivių ir krovinių gabenimui elektrine trauka bei prisidės prie </w:t>
                </w:r>
                <w:r>
                  <w:rPr>
                    <w:rFonts w:eastAsia="Calibri"/>
                    <w:b/>
                    <w:bCs/>
                    <w:szCs w:val="24"/>
                    <w:lang w:val="en-GB"/>
                  </w:rPr>
                  <w:t>ŠESD emisijos mažinimo</w:t>
                </w:r>
                <w:r>
                  <w:rPr>
                    <w:rFonts w:eastAsia="Calibri"/>
                    <w:bCs/>
                    <w:szCs w:val="24"/>
                    <w:lang w:val="en-GB"/>
                  </w:rPr>
                  <w:t xml:space="preserve"> geležinkelio transporto subsektoriuje. Nepaisant numatytų investicijų, bendra geležinkelių tinklo elektrifikacija vis dar nepakankama, nemaža dalis TEN-T tinklo Lietuvoje neatitinka jam keliamų reikalavimų, trūksta geležinkelių transporto infrastruktūros suderinamumo su kitomis transporto rūšimis, didžioji dalis keleivinių geležinkelių stočių ir peronų nėra pritaikyti specialius poreikius turintiems asmenims, neatitinka saugos parametrų. Viešojo transporto dalis, palyginti su ES vidurkiu (17,3 proc.), yra labai maža (8,9 proc.), nėra vieningos viešojo transporto organizavimo sistemos, o naudojimasis lengvaisiais automobiliais vis dar yra didžiausias ES. Nors Lietuvoje automobilių kelių tinklas yra vienas tankiausių Europoje, pagrindinis TEN-T kelių tinklas vis dar neatitinka jam reglamentuose nustatytų reikalavimų, trūksta aplinkkelių, prasti kelio dangos rodikliai. Situaciją apsunkiną ir netolygiai išvystytas kelių tinklas regionuose, kuris reikšmingai apsunkina vietos gyventojų susisiekimą su pagrindiniais socialiniais-ekonominiais centrais. Taip pat Lietuvoje žuvusiųjų keliuose skaičius vienam gyventojui yra vienas didžiausių Europoje. Atitinkamai, būtina </w:t>
                </w:r>
                <w:r>
                  <w:rPr>
                    <w:rFonts w:eastAsia="Calibri"/>
                    <w:b/>
                    <w:bCs/>
                    <w:szCs w:val="24"/>
                    <w:lang w:val="en-GB"/>
                  </w:rPr>
                  <w:t>kurti ir gerinti</w:t>
                </w:r>
                <w:r>
                  <w:rPr>
                    <w:rFonts w:eastAsia="Calibri"/>
                    <w:b/>
                    <w:bCs/>
                    <w:i/>
                    <w:szCs w:val="24"/>
                    <w:lang w:val="en-GB"/>
                  </w:rPr>
                  <w:t xml:space="preserve"> </w:t>
                </w:r>
                <w:r>
                  <w:rPr>
                    <w:rFonts w:eastAsia="Calibri"/>
                    <w:b/>
                    <w:bCs/>
                    <w:szCs w:val="24"/>
                    <w:lang w:val="en-GB"/>
                  </w:rPr>
                  <w:t>multimodalinę transporto infrastruktūrą</w:t>
                </w:r>
                <w:r>
                  <w:rPr>
                    <w:rFonts w:eastAsia="Calibri"/>
                    <w:bCs/>
                    <w:szCs w:val="24"/>
                    <w:lang w:val="en-GB"/>
                  </w:rPr>
                  <w:t xml:space="preserve">, kad ji būtų integruota į ES transporto tinklą bei tolygiai išdėstyta Lietuvos teritorijoje, taip sudarant sąlygas </w:t>
                </w:r>
                <w:r>
                  <w:rPr>
                    <w:rFonts w:eastAsia="Calibri"/>
                    <w:b/>
                    <w:bCs/>
                    <w:szCs w:val="24"/>
                    <w:lang w:val="en-GB"/>
                  </w:rPr>
                  <w:t>subalansuotai</w:t>
                </w:r>
                <w:r>
                  <w:rPr>
                    <w:rFonts w:eastAsia="Calibri"/>
                    <w:bCs/>
                    <w:szCs w:val="24"/>
                    <w:lang w:val="en-GB"/>
                  </w:rPr>
                  <w:t xml:space="preserve"> šalies </w:t>
                </w:r>
                <w:r>
                  <w:rPr>
                    <w:rFonts w:eastAsia="Calibri"/>
                    <w:b/>
                    <w:bCs/>
                    <w:szCs w:val="24"/>
                    <w:lang w:val="en-GB"/>
                  </w:rPr>
                  <w:t>regionų plėtrai</w:t>
                </w:r>
                <w:r>
                  <w:rPr>
                    <w:rFonts w:eastAsia="Calibri"/>
                    <w:bCs/>
                    <w:szCs w:val="24"/>
                    <w:lang w:val="en-GB"/>
                  </w:rPr>
                  <w:t xml:space="preserve"> bei stiprinant Lietuvos transporto infrastruktūros </w:t>
                </w:r>
                <w:r>
                  <w:rPr>
                    <w:rFonts w:eastAsia="Calibri"/>
                    <w:b/>
                    <w:bCs/>
                    <w:szCs w:val="24"/>
                    <w:lang w:val="en-GB"/>
                  </w:rPr>
                  <w:t>tarpvalstybinį ir regioninį sujungiamumą</w:t>
                </w:r>
                <w:r>
                  <w:rPr>
                    <w:rFonts w:eastAsia="Calibri"/>
                    <w:bCs/>
                    <w:szCs w:val="24"/>
                    <w:lang w:val="en-GB"/>
                  </w:rPr>
                  <w:t>, toliau plėsti geležinkelių elektrifikaciją.</w:t>
                </w:r>
                <w:r>
                  <w:rPr>
                    <w:rFonts w:eastAsia="Calibri"/>
                    <w:bCs/>
                    <w:i/>
                    <w:szCs w:val="24"/>
                    <w:lang w:val="en-GB"/>
                  </w:rPr>
                  <w:t xml:space="preserve"> </w:t>
                </w:r>
                <w:r>
                  <w:rPr>
                    <w:rFonts w:eastAsia="Calibri"/>
                    <w:bCs/>
                    <w:szCs w:val="24"/>
                    <w:lang w:val="en-GB"/>
                  </w:rPr>
                  <w:t xml:space="preserve">Siekiant užtikrinti </w:t>
                </w:r>
                <w:r>
                  <w:rPr>
                    <w:rFonts w:eastAsia="Calibri"/>
                    <w:b/>
                    <w:bCs/>
                    <w:szCs w:val="24"/>
                    <w:lang w:val="en-GB"/>
                  </w:rPr>
                  <w:t>avaringumo mažinimą ir darnų judumą</w:t>
                </w:r>
                <w:r>
                  <w:rPr>
                    <w:rFonts w:eastAsia="Calibri"/>
                    <w:bCs/>
                    <w:szCs w:val="24"/>
                    <w:lang w:val="en-GB"/>
                  </w:rPr>
                  <w:t xml:space="preserve">, būtinos tolimesnės investicijos į kelių techninių parametrų pagerinimą, eismo saugos ir aplinkosaugos priemonių, intelektinių transporto sistemų diegimą. </w:t>
                </w:r>
              </w:p>
              <w:p>
                <w:pPr>
                  <w:ind w:firstLine="567"/>
                  <w:jc w:val="both"/>
                  <w:rPr>
                    <w:rFonts w:eastAsia="Calibri"/>
                    <w:bCs/>
                    <w:szCs w:val="24"/>
                    <w:lang w:val="en-GB"/>
                  </w:rPr>
                </w:pPr>
                <w:r>
                  <w:rPr>
                    <w:rFonts w:eastAsia="Calibri"/>
                    <w:bCs/>
                    <w:szCs w:val="24"/>
                    <w:lang w:val="en-GB"/>
                  </w:rPr>
                  <w:t>Siekiant užtikrinti investicijų papildomumo principą, Programos lėšomis nebus finansuojamos tos veiklos, kurios bus finansuojamos iš kitų finansavimo šalinių. ES transporto TEN-T tinklo prioritetinio projekto Rail Baltica įgyvendinimą numatoma finansuoti CEF bei EGADP priemonių lėšomis. Nacionalinės lėšos bus koncentruojamos į vietinių kelių, žvyrkelių tobulinimą, modernizavimą.</w:t>
                </w:r>
              </w:p>
              <w:p>
                <w:pPr>
                  <w:ind w:firstLine="567"/>
                  <w:jc w:val="both"/>
                  <w:rPr>
                    <w:szCs w:val="24"/>
                    <w:lang w:val="en-GB"/>
                  </w:rPr>
                </w:pPr>
                <w:r>
                  <w:rPr>
                    <w:szCs w:val="24"/>
                    <w:lang w:val="en-GB"/>
                  </w:rPr>
                  <w:t xml:space="preserve">Siekiant ketvirtojo politikos tikslo </w:t>
                </w:r>
                <w:r>
                  <w:rPr>
                    <w:b/>
                    <w:szCs w:val="24"/>
                    <w:lang w:val="en-GB"/>
                  </w:rPr>
                  <w:t>„Socialiai atsakingesnė Europa“,</w:t>
                </w:r>
                <w:r>
                  <w:rPr>
                    <w:szCs w:val="24"/>
                    <w:lang w:val="en-GB"/>
                  </w:rPr>
                  <w:t xml:space="preserve"> ES fondų investicijomis bus įgyvendinami Europos socialinių teisių ramsčio principai, skatinant užimtumo, švietimo ir socialinės įtraukties politikos sričių investicijas į žmones ir sistemas. Programa numato sukurti labiau integruotą ir tvaresnį ekonomikos augimo modelį, gerinant Lietuvos konkurencingumą, sudarant geresnes sąlygas investicijoms, darbo vietų kūrimui ir socialinės sanglaudos skatinimui.</w:t>
                </w:r>
              </w:p>
              <w:p>
                <w:pPr>
                  <w:ind w:firstLine="624"/>
                  <w:jc w:val="both"/>
                  <w:rPr>
                    <w:szCs w:val="24"/>
                    <w:lang w:val="en-GB"/>
                  </w:rPr>
                </w:pPr>
                <w:r>
                  <w:rPr>
                    <w:szCs w:val="24"/>
                    <w:lang w:val="en-GB"/>
                  </w:rPr>
                  <w:t xml:space="preserve">Atsižvelgiant į COVID-19 viruso sukeltas pasekmes darbo rinkai, padidėjusį nedarbo lygį, mažėjančias namų ūkių vartojimo išlaidas, Lietuvai atitinkamai reikės peržiūrėti ir pritaikyti švietimo, socialinės apsaugos ir sveikatos sistemas, ypatingą dėmesį skiriant skaitmenizavimui. </w:t>
                </w:r>
              </w:p>
              <w:p>
                <w:pPr>
                  <w:ind w:firstLine="624"/>
                  <w:jc w:val="both"/>
                  <w:rPr>
                    <w:szCs w:val="24"/>
                    <w:lang w:val="en-GB"/>
                  </w:rPr>
                </w:pPr>
                <w:r>
                  <w:rPr>
                    <w:szCs w:val="24"/>
                    <w:lang w:val="en-GB"/>
                  </w:rPr>
                  <w:t>Nepaisant aukšto bendro užimtumo lygio, išliko dalyvavimo darbo rinkoje skirtumai tarp regionų ir atskirų socialinių grupių. Sostinės regione nedarbo lygis (4,4 proc.) 2019 m. buvo mažesnis nei VVL regione (7,1</w:t>
                </w:r>
                <w:r>
                  <w:rPr>
                    <w:lang w:val="en-GB"/>
                  </w:rPr>
                  <w:t xml:space="preserve"> </w:t>
                </w:r>
                <w:r>
                  <w:rPr>
                    <w:szCs w:val="24"/>
                    <w:lang w:val="en-GB"/>
                  </w:rPr>
                  <w:t>proc.). Nuo 2011 m. jaunimo (15–29 m. amžiaus) nedarbas nuosekliai mažėjo, tačiau 2019 m. jis šiek tiek padidėjo ir pasiekė 8,7</w:t>
                </w:r>
                <w:r>
                  <w:rPr>
                    <w:lang w:val="en-GB"/>
                  </w:rPr>
                  <w:t xml:space="preserve"> </w:t>
                </w:r>
                <w:r>
                  <w:rPr>
                    <w:szCs w:val="24"/>
                    <w:lang w:val="en-GB"/>
                  </w:rPr>
                  <w:t>proc. (2018 m. – 7,5 proc.). Dėl COVID-19 krizės darbo rinka pradėjo smarkiai trauktis. 2020 m. liepos 1 d. bedarbių buvo 208 tūkst., t.y. beveik trečdaliu daugiau nei 2020 m. sausio 1 d. (151,5 tūkst.).</w:t>
                </w:r>
              </w:p>
              <w:p>
                <w:pPr>
                  <w:ind w:firstLine="624"/>
                  <w:jc w:val="both"/>
                  <w:rPr>
                    <w:rFonts w:eastAsia="Calibri"/>
                    <w:szCs w:val="24"/>
                    <w:lang w:val="en-GB"/>
                  </w:rPr>
                </w:pPr>
                <w:r>
                  <w:rPr>
                    <w:rFonts w:eastAsia="Calibri"/>
                    <w:szCs w:val="24"/>
                    <w:lang w:val="en-GB"/>
                  </w:rPr>
                  <w:t xml:space="preserve">Mažėjant vietinių žmogiškųjų išteklių pasiūlai, svarbus bus palankių sąlygų visiems darbingo amžiaus žmonėms įsitraukti į darbo rinką sukūrimas. Šiems pokyčiams būtina </w:t>
                </w:r>
                <w:r>
                  <w:rPr>
                    <w:rFonts w:eastAsia="Calibri"/>
                    <w:b/>
                    <w:szCs w:val="24"/>
                    <w:lang w:val="en-GB"/>
                  </w:rPr>
                  <w:t>lankstesnė darbo rinka</w:t>
                </w:r>
                <w:r>
                  <w:rPr>
                    <w:rFonts w:eastAsia="Calibri"/>
                    <w:szCs w:val="24"/>
                    <w:lang w:val="en-GB"/>
                  </w:rPr>
                  <w:t>: dirbančių asmenų gebėjimas prisitaikyti prie naujų sąlygų (žinių ekonomikos, skaitmenizavimo), ir darbdavių lankstumas. Įgyvendinant užimtumą didinančias priemones, bus didinamos įsidarbinimo galimybės (specialias priemones skiriant asmenims, kuriems labiausiai gresia socialinės atskirties rizika), verslumas ir savarankiškas užimtumas (ypač socialinės atskirties rizikos grupėse), profesinis ir geografinis mobilumas, skatinamos karjeros planavimo ir konsultavimo priemonės, padedančios prisitaikyti prie darbo rinkos.</w:t>
                </w:r>
              </w:p>
              <w:p>
                <w:pPr>
                  <w:ind w:firstLine="567"/>
                  <w:jc w:val="both"/>
                  <w:rPr>
                    <w:szCs w:val="24"/>
                    <w:lang w:val="en-GB"/>
                  </w:rPr>
                </w:pPr>
                <w:r>
                  <w:rPr>
                    <w:szCs w:val="24"/>
                    <w:lang w:val="en-GB"/>
                  </w:rPr>
                  <w:t xml:space="preserve">Žemos kvalifikacijos darbuotojai turi mažiau galimybių įsidarbinant nei kitose ES valstybėse, asmenų įgyjamo išsilavinimo ir specializacijos pobūdis neatliepia darbo rinkos poreikių. Todėl toliau bus </w:t>
                </w:r>
                <w:r>
                  <w:rPr>
                    <w:iCs/>
                    <w:szCs w:val="24"/>
                    <w:lang w:val="en-GB"/>
                  </w:rPr>
                  <w:t xml:space="preserve">didinama individualizuotų ADRP priemonių aprėptis, </w:t>
                </w:r>
                <w:r>
                  <w:rPr>
                    <w:szCs w:val="24"/>
                    <w:lang w:val="en-GB"/>
                  </w:rPr>
                  <w:t>skatinamas savarankiškas darbas, verslo steigimas, atsakingų institucijų tarpusavio ir išorės bendradarbiavimas su verslo struktūromis bei socialinio dialogo plėtojimas.</w:t>
                </w:r>
              </w:p>
              <w:p>
                <w:pPr>
                  <w:ind w:firstLine="567"/>
                  <w:jc w:val="both"/>
                  <w:rPr>
                    <w:szCs w:val="24"/>
                    <w:lang w:val="en-GB"/>
                  </w:rPr>
                </w:pPr>
                <w:r>
                  <w:rPr>
                    <w:szCs w:val="24"/>
                    <w:lang w:val="en-GB"/>
                  </w:rPr>
                  <w:t xml:space="preserve">Švietimo srityje ES fondų investicijomis bus siekiama </w:t>
                </w:r>
                <w:r>
                  <w:rPr>
                    <w:b/>
                    <w:szCs w:val="24"/>
                    <w:lang w:val="en-GB"/>
                  </w:rPr>
                  <w:t>gerinti mokinių pasiekimus ir užtikrinti didesnę įtrauktį į mokymąsi visą gyvenimą</w:t>
                </w:r>
                <w:r>
                  <w:rPr>
                    <w:szCs w:val="24"/>
                    <w:lang w:val="en-GB"/>
                  </w:rPr>
                  <w:t xml:space="preserve">. Numatoma siekti NPP tikslo 2030 m., kad Lietuvos pozicija tarp Europos ekonominės erdvės (EEE) šalių pagal EBPO PISA tyrimų mokinių pasiekimų vidurkius (visose tarptautinių tyrimų srityse) pakiltų į </w:t>
                </w:r>
                <w:r>
                  <w:rPr>
                    <w:b/>
                    <w:szCs w:val="24"/>
                    <w:lang w:val="en-GB"/>
                  </w:rPr>
                  <w:t>10 vietą</w:t>
                </w:r>
                <w:r>
                  <w:rPr>
                    <w:szCs w:val="24"/>
                    <w:lang w:val="en-GB"/>
                  </w:rPr>
                  <w:t xml:space="preserve"> (2018 m. užėmė 21–27 vietą), taip pat siekiama per paskutines 4 savaites besimokiusių asmenų (25-64 m.) dalies augimo nuo 6,9 (2019 m.) iki </w:t>
                </w:r>
                <w:r>
                  <w:rPr>
                    <w:b/>
                    <w:szCs w:val="24"/>
                    <w:lang w:val="en-GB"/>
                  </w:rPr>
                  <w:t>15</w:t>
                </w:r>
                <w:r>
                  <w:rPr>
                    <w:szCs w:val="24"/>
                    <w:lang w:val="en-GB"/>
                  </w:rPr>
                  <w:t xml:space="preserve"> proc. (2030 m.).</w:t>
                </w:r>
              </w:p>
              <w:p>
                <w:pPr>
                  <w:ind w:firstLine="567"/>
                  <w:jc w:val="both"/>
                  <w:rPr>
                    <w:szCs w:val="24"/>
                    <w:lang w:val="en-GB"/>
                  </w:rPr>
                </w:pPr>
                <w:r>
                  <w:rPr>
                    <w:szCs w:val="24"/>
                    <w:lang w:val="en-GB"/>
                  </w:rPr>
                  <w:t xml:space="preserve">2018 m. Lietuvos mokinių skaitymo, matematinio ir gamtamokslinio raštingumo gebėjimai pagerėjo, tačiau pokytis nebuvo statistiškai reikšmingas, todėl pagrindinis iššūkis – gerinti mokinių pasiekimus, ypač visų mokinių gamtamokslinius gebėjimus ir žemiausius rezultatus demonstruojančių mokinių pasiekimus. </w:t>
                </w:r>
                <w:r>
                  <w:rPr>
                    <w:lang w:val="en-GB"/>
                  </w:rPr>
                  <w:t xml:space="preserve">Vienas iš Barselonos tikslų (2002) – pasiekti, kad instituciniame ugdyme dalyvautų 33 proc. vaikų nuo gimimo iki 3 metų, o „Europa 2020“ strategijoje numatyta šalims siekti, kad ne mažiau kaip 95 proc. vaikų nuo 4 m. iki pradinio ugdymo pradžios dalyvautų instituciniame ugdyme (ypač gyvenantys skurdo, socialinės atskirties sąlygomis ar socialinę riziką patiriančiose šeimose). Lietuvoje instituciniame ugdyme šiuo metu dalyvauja tik apie 15 proc. vaikų iki 3 m. ir 91 proc. vaikų nuo 4 metų iki mokyklos lankymo pradžios. </w:t>
                </w:r>
              </w:p>
              <w:p>
                <w:pPr>
                  <w:ind w:firstLine="567"/>
                  <w:jc w:val="both"/>
                  <w:rPr>
                    <w:szCs w:val="24"/>
                    <w:lang w:val="en-GB"/>
                  </w:rPr>
                </w:pPr>
                <w:r>
                  <w:rPr>
                    <w:szCs w:val="24"/>
                    <w:lang w:val="en-GB"/>
                  </w:rPr>
                  <w:t xml:space="preserve">Programos investicijos, remiantis EBPO parengta nacionaline įgūdžių strategija, bus nukreiptos į priemones, skirtas didinti švietimo ir mokymo sistemų kokybę, siekiant gerinti mokinių pasiekimus. Taip pat bus didinama nepalankias sąlygas turinčių mokinių įtrauktis, švietimo prieinamumas, kvalifikacijos tobulinimas vieno langelio principu. EBPO nurodė, kad Lietuvoje yra 20 proc. mokyklų, kuriose yra iki 50 mokinių, optimizavus mokyklas ir pasiekus, kad nebūtų mokyklų, kuriose yra mažiau nei 200 mokinių, mokinių pasiekimai būtų pagerinti 9 proc. ir būtų sutaupoma 9,9 mln. Eur. Atsižvelgiant į tai, investicijomis bus skatinama tolimesnė mokyklų konsolidacija, investuojant į tas mokyklas, kurios turi ne mažiau nei 200 mokinių (t. y. veikia efektyviai). </w:t>
                </w:r>
              </w:p>
              <w:p>
                <w:pPr>
                  <w:ind w:firstLine="567"/>
                  <w:jc w:val="both"/>
                  <w:rPr>
                    <w:rFonts w:eastAsia="AngsanaUPC"/>
                    <w:bCs/>
                    <w:szCs w:val="24"/>
                    <w:lang w:val="en-GB" w:eastAsia="lt-LT"/>
                  </w:rPr>
                </w:pPr>
                <w:r>
                  <w:rPr>
                    <w:szCs w:val="24"/>
                    <w:lang w:val="en-GB"/>
                  </w:rPr>
                  <w:t xml:space="preserve">2020 m. tik 5,9 proc., suaugusiųjų dalyvavo </w:t>
                </w:r>
                <w:r>
                  <w:rPr>
                    <w:b/>
                    <w:szCs w:val="24"/>
                    <w:lang w:val="en-GB"/>
                  </w:rPr>
                  <w:t>mokymosi visą gyvenimą</w:t>
                </w:r>
                <w:r>
                  <w:rPr>
                    <w:szCs w:val="24"/>
                    <w:lang w:val="en-GB"/>
                  </w:rPr>
                  <w:t xml:space="preserve"> veiklose, o tai gerokai mažiau nei ES vidurkis – 10,9 proc. Suaugusiųjų švietimo sistema nereaguoja į senėjančios visuomenės iššūkius ir reikalingų įgūdžių pokyčius, susijusius su skaitmenizavimu, darbo robotizavimu ir žalių darbo vietų paklausa. ES fondų investicijomis bus siekiama, kad į mokymosi visą gyvenimą ciklą būtų įsijungiama kuo anksčiau (didėjantis ikimokyklinio ugdymo prieinamumas ir dalyvavimas jame), optimizuotas mokyklų tinklas visiems besimokantiems garantuotų adekvatų pasiekimų lygį visose esminėse kompetencijose</w:t>
                </w:r>
                <w:r>
                  <w:rPr>
                    <w:rFonts w:eastAsia="Calibri"/>
                    <w:szCs w:val="24"/>
                    <w:lang w:val="en-GB"/>
                  </w:rPr>
                  <w:t xml:space="preserve">. Svarbu įgyti įgūdžius reikalingus prisitaikyti prie kintančios aplinkos. </w:t>
                </w:r>
                <w:r>
                  <w:rPr>
                    <w:szCs w:val="24"/>
                    <w:lang w:val="en-GB"/>
                  </w:rPr>
                  <w:t xml:space="preserve">Įgyvendinant </w:t>
                </w:r>
                <w:r>
                  <w:rPr>
                    <w:b/>
                    <w:szCs w:val="24"/>
                    <w:lang w:val="en-GB"/>
                  </w:rPr>
                  <w:t>Tarybos rekomendaciją dėl</w:t>
                </w:r>
                <w:r>
                  <w:rPr>
                    <w:szCs w:val="24"/>
                    <w:lang w:val="en-GB"/>
                  </w:rPr>
                  <w:t xml:space="preserve"> </w:t>
                </w:r>
                <w:r>
                  <w:rPr>
                    <w:rFonts w:eastAsia="AngsanaUPC"/>
                    <w:b/>
                    <w:bCs/>
                    <w:szCs w:val="24"/>
                    <w:lang w:val="en-GB" w:eastAsia="lt-LT"/>
                  </w:rPr>
                  <w:t>švietimo ir mokymo sistemos gerinimo</w:t>
                </w:r>
                <w:r>
                  <w:rPr>
                    <w:rFonts w:eastAsia="AngsanaUPC"/>
                    <w:bCs/>
                    <w:szCs w:val="24"/>
                    <w:lang w:val="en-GB" w:eastAsia="lt-LT"/>
                  </w:rPr>
                  <w:t xml:space="preserve">, numatoma gerinti švietimo ir mokymo sistemos bei suaugusiųjų mokymosi kokybę ir efektyvumą, toliau vykdoma švietimo reforma ir mokymo įstaigų konsolidavimas. </w:t>
                </w:r>
              </w:p>
              <w:p>
                <w:pPr>
                  <w:ind w:firstLine="567"/>
                  <w:jc w:val="both"/>
                  <w:rPr>
                    <w:szCs w:val="24"/>
                    <w:lang w:val="en-GB"/>
                  </w:rPr>
                </w:pPr>
                <w:r>
                  <w:rPr>
                    <w:szCs w:val="24"/>
                    <w:lang w:val="en-GB"/>
                  </w:rPr>
                  <w:t>Atsižvelgiant į vertinimų rekomendacijas, koncentruoti investicijas švietimo srityje, siekiant matomo pokyčio, Programos investicijos bus koncentruojamos į keturias kryptis: naujų pedagogų pritraukimas ir edukologijos išvystymas, privalomojo ugdymo ankstinimas ir ikimokyklinio ugdymo tobulinimas, pagalba mokiniams</w:t>
                </w:r>
                <w:r>
                  <w:rPr>
                    <w:lang w:val="en-GB"/>
                  </w:rPr>
                  <w:t xml:space="preserve">, turintiems SUP, patiriantiems socialinę atskirtį ar gyvenantiems socialinę riziką patiriančiose šeimose </w:t>
                </w:r>
                <w:r>
                  <w:rPr>
                    <w:szCs w:val="24"/>
                    <w:lang w:val="en-GB"/>
                  </w:rPr>
                  <w:t xml:space="preserve">ir MVG, sukuriant suaugusių mokymo sistemą pagal EBPO parengtą Įgūdžių strategiją. </w:t>
                </w:r>
              </w:p>
              <w:p>
                <w:pPr>
                  <w:ind w:firstLine="567"/>
                  <w:jc w:val="both"/>
                  <w:rPr>
                    <w:szCs w:val="24"/>
                    <w:lang w:val="en-GB"/>
                  </w:rPr>
                </w:pPr>
                <w:r>
                  <w:rPr>
                    <w:szCs w:val="24"/>
                    <w:lang w:val="en-GB"/>
                  </w:rPr>
                  <w:t xml:space="preserve">Kitas svarbus </w:t>
                </w:r>
                <w:r>
                  <w:rPr>
                    <w:b/>
                    <w:szCs w:val="24"/>
                    <w:lang w:val="en-GB"/>
                  </w:rPr>
                  <w:t>socialinės sanglaudos</w:t>
                </w:r>
                <w:r>
                  <w:rPr>
                    <w:szCs w:val="24"/>
                    <w:lang w:val="en-GB"/>
                  </w:rPr>
                  <w:t xml:space="preserve"> skatinimo aspektas – galimybių gauti įperkamas, darnias ir aukštos kokybės paslaugas didinimas, įskaitant sveikatos priežiūrą ir visuotinės svarbos socialines paslaugas.</w:t>
                </w:r>
                <w:r>
                  <w:rPr>
                    <w:lang w:val="en-GB" w:eastAsia="lt-LT"/>
                  </w:rPr>
                  <w:t xml:space="preserve"> 2018 m. Lietuvoje skurdo rizikoje ar socialinėje atskirtyje gyvenantys asmenys sudarė 28,3 proc. šalies gyventojų (ES vidurkis – 21,8 proc.). </w:t>
                </w:r>
                <w:r>
                  <w:rPr>
                    <w:lang w:val="en-GB"/>
                  </w:rPr>
                  <w:t xml:space="preserve">Ypatingą skurdo ir socialinės atskirties riziką dažniausiai patiria </w:t>
                </w:r>
                <w:r>
                  <w:rPr>
                    <w:bCs/>
                    <w:lang w:val="en-GB" w:eastAsia="lt-LT"/>
                  </w:rPr>
                  <w:t>sunkiai integruojami į darbo rinką arba joje ilgai neišsilaikantys asmenys.</w:t>
                </w:r>
              </w:p>
              <w:p>
                <w:pPr>
                  <w:ind w:firstLine="567"/>
                  <w:jc w:val="both"/>
                  <w:rPr>
                    <w:szCs w:val="24"/>
                    <w:lang w:val="en-GB"/>
                  </w:rPr>
                </w:pPr>
                <w:r>
                  <w:rPr>
                    <w:szCs w:val="24"/>
                    <w:lang w:val="en-GB"/>
                  </w:rPr>
                  <w:t>Mažinant socialinę atskirtį, toliau išlieka poreikis plėtoti socialines paslaugas, pagrindinę investicijų dalį skiriant bendruomenėje teikiamų paslaugų plėtrai, užtikrinant institucinės globos pertvarkos įgyvendinimą. Kartu svarbu diegti socialines inovacijas, užtikrinti žmogaus teisių standartus, skatinti socialinį aktyvumą, kad būtų atliepti įvairių socialinių grupių iššūkiai ir poreikiai. Bus įgyvendinamos integruotos priemonės, skirtos socialinei ir ekonominei marginalizuotų bendruomenių, migrantų ir nepalankias sąlygas turinčių grupių integracijai, skiriamas dėmesys socialinio būsto prieinamumui ir vaiko garantijos įgyvendinimui.</w:t>
                </w:r>
              </w:p>
              <w:p>
                <w:pPr>
                  <w:ind w:firstLine="567"/>
                  <w:jc w:val="both"/>
                  <w:rPr>
                    <w:szCs w:val="24"/>
                    <w:lang w:val="en-GB"/>
                  </w:rPr>
                </w:pPr>
                <w:r>
                  <w:rPr>
                    <w:lang w:val="en-GB"/>
                  </w:rPr>
                  <w:t xml:space="preserve">Atlikti vertinimai siūlo, plėtojant ilgalaikės priežiūros paslaugas, pirmenybę skirti paslaugų teikimui namuose, kurios yra pigesnės nei teikiamos specializuotose įstaigose. Taip pat į tokių paslaugų teikimą įtraukti bendruomenes. </w:t>
                </w:r>
                <w:r>
                  <w:rPr>
                    <w:szCs w:val="24"/>
                    <w:lang w:val="en-GB"/>
                  </w:rPr>
                  <w:t xml:space="preserve">Toliau bus finansuojama </w:t>
                </w:r>
                <w:r>
                  <w:rPr>
                    <w:lang w:val="en-GB"/>
                  </w:rPr>
                  <w:t xml:space="preserve">BIVP, stiprinant planavimo </w:t>
                </w:r>
                <w:r>
                  <w:rPr>
                    <w:szCs w:val="24"/>
                    <w:lang w:val="en-GB"/>
                  </w:rPr>
                  <w:t>principus „iš apačios į viršų“, grindžiamus partnerystėmis rengiant ir įgyvendinant BIVP strategijas.</w:t>
                </w:r>
              </w:p>
              <w:p>
                <w:pPr>
                  <w:ind w:firstLine="567"/>
                  <w:jc w:val="both"/>
                  <w:rPr>
                    <w:szCs w:val="24"/>
                    <w:lang w:val="en-GB"/>
                  </w:rPr>
                </w:pPr>
              </w:p>
              <w:p>
                <w:pPr>
                  <w:ind w:firstLine="567"/>
                  <w:jc w:val="both"/>
                  <w:rPr>
                    <w:b/>
                    <w:szCs w:val="24"/>
                    <w:lang w:val="en-GB"/>
                  </w:rPr>
                </w:pPr>
                <w:r>
                  <w:rPr>
                    <w:szCs w:val="24"/>
                    <w:lang w:val="en-GB"/>
                  </w:rPr>
                  <w:t xml:space="preserve">Kultūros ir kūrybinių industrijų sektorius yra vienas labiausiai nukentėjusių sektorių dėl priemonių, kurių buvo imtasi kovojant su </w:t>
                </w:r>
                <w:r>
                  <w:rPr>
                    <w:bCs/>
                    <w:shd w:val="clear" w:color="auto" w:fill="FFFFFF"/>
                    <w:lang w:val="en-GB"/>
                  </w:rPr>
                  <w:t>COVID-19</w:t>
                </w:r>
                <w:r>
                  <w:rPr>
                    <w:szCs w:val="24"/>
                    <w:lang w:val="en-GB"/>
                  </w:rPr>
                  <w:t xml:space="preserve"> pandemijos plitimu. Staiga, prasidėjus virusui, pasaulinė gamyba buvo sustabdyta ir paveikė visą vertės grandinę: renginiai buvo atidėti ar atšaukti, knygynai, kino teatrai, koncertų salės, muziejus, teatrai, paveldo objektai ar meno galerijos buvo uždarytos.</w:t>
                </w:r>
              </w:p>
              <w:p>
                <w:pPr>
                  <w:ind w:firstLine="567"/>
                  <w:jc w:val="both"/>
                  <w:rPr>
                    <w:szCs w:val="24"/>
                    <w:lang w:val="en-GB"/>
                  </w:rPr>
                </w:pPr>
                <w:r>
                  <w:rPr>
                    <w:b/>
                    <w:szCs w:val="24"/>
                    <w:lang w:val="en-GB"/>
                  </w:rPr>
                  <w:t xml:space="preserve">Kultūros srityje </w:t>
                </w:r>
                <w:r>
                  <w:rPr>
                    <w:szCs w:val="24"/>
                    <w:lang w:val="en-GB"/>
                  </w:rPr>
                  <w:t>investicijomis skatinančiomis Lietuvos ekonomikos transformacijos į aukštesnės pridėtinės vertės gamybą bei paslaugas, siekiama NPP tikslo 2030, matuojamo kultūros sektoriaus sukuriamos pridėtinės vertės dalies, palyginus su visa šalies sukuriama pridėtine verte, didėjimo nuo 2,2 proc. (2017) iki 3,5 proc. (2030). Programos i</w:t>
                </w:r>
                <w:r>
                  <w:rPr>
                    <w:bCs/>
                    <w:shd w:val="clear" w:color="auto" w:fill="FFFFFF"/>
                    <w:lang w:val="en-GB"/>
                  </w:rPr>
                  <w:t xml:space="preserve">nvesticijomis bus skatinamas KKI sektoriaus indėlis į šalies aukštos pridėtinės vertės ekonomiką bei dinamas </w:t>
                </w:r>
                <w:r>
                  <w:rPr>
                    <w:lang w:val="en-GB"/>
                  </w:rPr>
                  <w:t>kultūros ir paveldo objektų potencialo ir kuriamų ekonominių verčių išnaudojimas ekonomikos, turizmo ir socialinei plėtrai.</w:t>
                </w:r>
              </w:p>
              <w:p>
                <w:pPr>
                  <w:ind w:firstLine="567"/>
                  <w:jc w:val="both"/>
                  <w:rPr>
                    <w:szCs w:val="24"/>
                    <w:lang w:val="en-GB"/>
                  </w:rPr>
                </w:pPr>
                <w:r>
                  <w:rPr>
                    <w:szCs w:val="24"/>
                    <w:lang w:val="en-GB"/>
                  </w:rPr>
                  <w:t xml:space="preserve">Netikėtai iškilusi COVID-19 pandemija, parodė, kad </w:t>
                </w:r>
                <w:r>
                  <w:rPr>
                    <w:b/>
                    <w:szCs w:val="24"/>
                    <w:lang w:val="en-GB"/>
                  </w:rPr>
                  <w:t>sveikatos apsaugos sektorius</w:t>
                </w:r>
                <w:r>
                  <w:rPr>
                    <w:szCs w:val="24"/>
                    <w:lang w:val="en-GB"/>
                  </w:rPr>
                  <w:t xml:space="preserve"> nėra pasiruošęs kovoti su pandemijos pasekmėmis, todėl Programos investicijos bus nukreiptos į priemones, kurių reikia sveikatos priežiūros sistemos pajėgumų ir atsparumo didinimui reaguojant į krizes. Kinta gyventojų amžiaus struktūra, visuomenė sensta – mažėja vaikų, jaunų ir darbingo amžiaus ir daugėja vyresnio amžiaus žmonių. Be to, palyginus su ES vidurkiu, Lietuvos moterų vidutinė sveiko gyvenimo trukmė trumpesnė 4,8 metais, o vyrų – 7,3 metais (2016 m.). Išvengiamo mirtingumo nuo širdies ir kraujagyslių ligų ir dėl savižudybių, daugiausia vyrų, rodiklis daugiau nei dvigubai viršija ES vidurkį. Tokiu pat mastu ES vidurkį viršija prevencijos ir sveikatos priežiūros priemonėmis išvengiamas mirtingumas. Dideles ir mažas pajamas gaunančių Lietuvos gyventojų subjektyvus savo sveikatos įvertinimas, kuris apima tiek fizinę, tiek psichologinę sveikatos būklę, skiriasi beveik du kartus. Siekiant neutralizuoti neigiamą senėjimo pasekmių poveikį ir sumažinti sveikatos netolygumus, būtina gerinti sveikatos priežiūros ir ilgalaikės priežiūros paslaugų įperkamumą, kokybę ir veiksmingumą. Siekiant pagerinti sveikatos priežiūros paslaugų teikimą, numatomos: PSP stiprinimo, prevencijos, lėtinių ligų (kraujotakos sistemos ir onkologinių ligų) bei sunkių traumų valdymo, ilgalaikės priežiūros plėtojimo priemonės bei skaitmeninės sveikatos priemonės, skirtos sveikatos sistemos valdymo gerinimui, pažangių gydymo metodų ir naujų finansavimo modelių diegimui.</w:t>
                </w:r>
              </w:p>
              <w:p>
                <w:pPr>
                  <w:ind w:firstLine="567"/>
                  <w:jc w:val="both"/>
                  <w:rPr>
                    <w:rFonts w:eastAsia="Calibri"/>
                    <w:szCs w:val="24"/>
                    <w:lang w:val="en-GB"/>
                  </w:rPr>
                </w:pPr>
                <w:r>
                  <w:rPr>
                    <w:rFonts w:eastAsia="Calibri"/>
                    <w:szCs w:val="24"/>
                    <w:lang w:val="en-GB"/>
                  </w:rPr>
                  <w:t xml:space="preserve">Įgyvendinant </w:t>
                </w:r>
                <w:r>
                  <w:rPr>
                    <w:rFonts w:eastAsia="Calibri"/>
                    <w:b/>
                    <w:szCs w:val="24"/>
                    <w:lang w:val="en-GB"/>
                  </w:rPr>
                  <w:t>Tarybos rekomendacijas dėl sveikatos priežiūros paslaugų kokybės gerinimo</w:t>
                </w:r>
                <w:r>
                  <w:rPr>
                    <w:rFonts w:eastAsia="Calibri"/>
                    <w:szCs w:val="24"/>
                    <w:lang w:val="en-GB"/>
                  </w:rPr>
                  <w:t>, 2019 metais pradėtas projektas, skirtas sukurti ir įdiegti regioninį ligoninių teikiamų aktyviojo gydymo paslaugų organizavimo modelį, siekiant didinti rajoninėse ligoninėse teikiamų paslaugų kokybę, saugą ir efektyvumą bei tinkamai išnaudoti turimus žmogiškuosius ir materialinius resursus. Toliau bus gerinamas pirminių ambulatorinių asmens sveikatos priežiūros paslaugų prieinamumas; plėtojamos ambulatorinės slaugos paslaugos paciento namuose; diegiami skaitmeninės sveikatos sprendimai, mažinamos mažas pajamas gaunančių asmenų išlaidos sveikatos priežiūrai.</w:t>
                </w:r>
              </w:p>
              <w:p>
                <w:pPr>
                  <w:ind w:firstLine="567"/>
                  <w:jc w:val="both"/>
                  <w:rPr>
                    <w:bCs/>
                    <w:iCs/>
                    <w:szCs w:val="24"/>
                    <w:lang w:val="en-GB" w:bidi="lt-LT"/>
                  </w:rPr>
                </w:pPr>
                <w:r>
                  <w:rPr>
                    <w:bCs/>
                    <w:iCs/>
                    <w:szCs w:val="24"/>
                    <w:lang w:val="en-GB" w:bidi="lt-LT"/>
                  </w:rPr>
                  <w:t>Siekiant efektyviau spręsti iššūkius kylančius švietimo, socialinės srities, sveikatos tam tikrose srityse bei ieškoti naujų įsisenėjusių problemų sprendimo būdų, planuojama tam tikras intervencijas įgyvendinti taikant inovatyvias, efektyvias paslaugas, į asmeninius poreikius orientuotus inovatyvius paslaugų teikimo modelius, sprendimus, socialines iniciatyvas.</w:t>
                </w:r>
              </w:p>
              <w:p>
                <w:pPr>
                  <w:ind w:firstLine="567"/>
                  <w:jc w:val="both"/>
                  <w:rPr>
                    <w:bCs/>
                    <w:szCs w:val="24"/>
                    <w:lang w:eastAsia="lt-LT"/>
                  </w:rPr>
                </w:pPr>
                <w:r>
                  <w:rPr>
                    <w:szCs w:val="24"/>
                    <w:lang w:eastAsia="lt-LT"/>
                  </w:rPr>
                  <w:t>Siekiant penktojo politikos tikslo „</w:t>
                </w:r>
                <w:r>
                  <w:rPr>
                    <w:b/>
                    <w:szCs w:val="24"/>
                    <w:lang w:eastAsia="lt-LT"/>
                  </w:rPr>
                  <w:t>Piliečiams artimesnė Europa“</w:t>
                </w:r>
                <w:r>
                  <w:rPr>
                    <w:szCs w:val="24"/>
                    <w:lang w:eastAsia="lt-LT"/>
                  </w:rPr>
                  <w:t xml:space="preserve">, ES fondų investicijomis bus įgyvendinama tvari ir integruota miestų ir kaimų plėtra ir vietos </w:t>
                </w:r>
                <w:r>
                  <w:rPr>
                    <w:bCs/>
                    <w:szCs w:val="24"/>
                    <w:lang w:eastAsia="lt-LT"/>
                  </w:rPr>
                  <w:t xml:space="preserve">iniciatyvos, siekiant </w:t>
                </w:r>
                <w:r>
                  <w:rPr>
                    <w:szCs w:val="24"/>
                    <w:lang w:eastAsia="lt-LT"/>
                  </w:rPr>
                  <w:t xml:space="preserve">reaguoti į demografinius iššūkius ir mažinti socialinius ir ekonominius skirtumus. Programa sieks didinti miestų vietovių patrauklumą ir verslo aplinką, užtikrinant ryšius su funkcinėmis miestų zonomis; bus derinamos prisitaikymo ir gyvenimo kokybės priemonės su investicijomis augimui skatinti. </w:t>
                </w:r>
                <w:r>
                  <w:rPr>
                    <w:bCs/>
                    <w:szCs w:val="24"/>
                    <w:lang w:eastAsia="lt-LT"/>
                  </w:rPr>
                  <w:t>Toliau bus vystomos ITI konkrečiose tikslinėse teritorijose.</w:t>
                </w:r>
              </w:p>
              <w:p>
                <w:pPr>
                  <w:ind w:firstLine="567"/>
                  <w:jc w:val="both"/>
                  <w:rPr>
                    <w:rFonts w:eastAsia="Calibri"/>
                    <w:szCs w:val="24"/>
                    <w:lang w:val="en-GB"/>
                  </w:rPr>
                </w:pPr>
                <w:r>
                  <w:rPr>
                    <w:bCs/>
                    <w:szCs w:val="24"/>
                    <w:lang w:val="en-GB" w:eastAsia="lt-LT"/>
                  </w:rPr>
                  <w:t xml:space="preserve">Regioniniai skirtumai Lietuvoje išlieka dideli, nepaisant visos šalies konvergencijos ES. Užimtumo skirtumai tarp miesto ir kaimo skiriasi dvigubai ir ši tendencija linkusi nežymiai svyruoti kaimiškų vietovių nenaudai. </w:t>
                </w:r>
                <w:r>
                  <w:rPr>
                    <w:bCs/>
                    <w:szCs w:val="24"/>
                    <w:lang w:val="en-GB"/>
                  </w:rPr>
                  <w:t>Spartus regionų mažėjimas (mažėja gyventojų skaičius, visuomenės senėjimas)</w:t>
                </w:r>
                <w:r>
                  <w:rPr>
                    <w:rFonts w:eastAsia="Calibri"/>
                    <w:szCs w:val="24"/>
                    <w:lang w:val="en-GB"/>
                  </w:rPr>
                  <w:t xml:space="preserve"> sukelia </w:t>
                </w:r>
                <w:r>
                  <w:rPr>
                    <w:bCs/>
                    <w:szCs w:val="24"/>
                    <w:lang w:val="en-GB"/>
                  </w:rPr>
                  <w:t xml:space="preserve">spaudimą viešosios infrastruktūros ir paslaugų efektyvumui. </w:t>
                </w:r>
                <w:r>
                  <w:rPr>
                    <w:rFonts w:eastAsia="Calibri"/>
                    <w:szCs w:val="24"/>
                    <w:lang w:val="en-GB"/>
                  </w:rPr>
                  <w:t>Santykinai stabilus darbingo amžiaus gyventojų skaičius yra tik Vilniaus mieste ir aplink didžiuosius miestus išsidėsčiusiose žiedinėse savivaldybėse ir kurortuose.</w:t>
                </w:r>
                <w:r>
                  <w:rPr>
                    <w:bCs/>
                    <w:szCs w:val="24"/>
                    <w:lang w:val="en-GB"/>
                  </w:rPr>
                  <w:t xml:space="preserve"> Kaimiškųjų regionų konkurencingumui kenkia tinkamos kvalifikacijos darbuotojų stoka, didelė ekonomiškai neaktyvių gyventojų dalis bei žemesnė viešųjų paslaugų kokybė atskiruose regionuose.</w:t>
                </w:r>
                <w:r>
                  <w:rPr>
                    <w:rFonts w:eastAsia="Calibri"/>
                    <w:szCs w:val="24"/>
                    <w:lang w:val="en-GB"/>
                  </w:rPr>
                  <w:t xml:space="preserve"> Susisiekimo spragos periferiniuose ir pasienio regionuose vis dar yra didelės, o infrastruktūros kokybė tebėra prasta.</w:t>
                </w:r>
                <w:r>
                  <w:rPr>
                    <w:lang w:val="en-GB"/>
                  </w:rPr>
                  <w:t xml:space="preserve"> Taip pat </w:t>
                </w:r>
                <w:r>
                  <w:rPr>
                    <w:rFonts w:eastAsia="Calibri"/>
                    <w:szCs w:val="24"/>
                    <w:lang w:val="en-GB"/>
                  </w:rPr>
                  <w:t>yra ryškūs kultūros vartojimo teritoriniai netolygumai tarp regionų ir didžiųjų miestų (30,6</w:t>
                </w:r>
                <w:r>
                  <w:rPr>
                    <w:lang w:val="en-GB"/>
                  </w:rPr>
                  <w:t xml:space="preserve"> </w:t>
                </w:r>
                <w:r>
                  <w:rPr>
                    <w:rFonts w:eastAsia="Calibri"/>
                    <w:szCs w:val="24"/>
                    <w:lang w:val="en-GB"/>
                  </w:rPr>
                  <w:t>proc. miestuose ir 14,6</w:t>
                </w:r>
                <w:r>
                  <w:rPr>
                    <w:lang w:val="en-GB"/>
                  </w:rPr>
                  <w:t xml:space="preserve"> </w:t>
                </w:r>
                <w:r>
                  <w:rPr>
                    <w:rFonts w:eastAsia="Calibri"/>
                    <w:szCs w:val="24"/>
                    <w:lang w:val="en-GB"/>
                  </w:rPr>
                  <w:t>proc. kaimiškose vietovėse) bei stipriai skiriasi pati kultūros kokybė ir sklaida.</w:t>
                </w:r>
              </w:p>
              <w:p>
                <w:pPr>
                  <w:ind w:firstLine="567"/>
                  <w:jc w:val="both"/>
                  <w:rPr>
                    <w:bCs/>
                    <w:szCs w:val="24"/>
                    <w:lang w:val="en-GB"/>
                  </w:rPr>
                </w:pPr>
                <w:r>
                  <w:rPr>
                    <w:bCs/>
                    <w:szCs w:val="24"/>
                    <w:lang w:val="en-GB"/>
                  </w:rPr>
                  <w:t>Tvarios miestų plėtros srityje Programa rems integruotą teritorinę plėtrą miestuose, siekiant veiksmingiau spręsti ekonominius, aplinkos, klimato, demografinius ir socialinius uždavinius, įskaitant funkcines miestų teritorijas, kartu atsižvelgiant į poreikį skatinti miestų ir kaimo ryšius.</w:t>
                </w:r>
              </w:p>
              <w:p>
                <w:pPr>
                  <w:ind w:firstLine="567"/>
                  <w:jc w:val="both"/>
                  <w:rPr>
                    <w:lang w:val="en-GB"/>
                  </w:rPr>
                </w:pPr>
                <w:r>
                  <w:rPr>
                    <w:bCs/>
                    <w:szCs w:val="24"/>
                    <w:lang w:val="en-GB"/>
                  </w:rPr>
                  <w:t xml:space="preserve">Lietuva ir toliau planuoja įgyvendinti </w:t>
                </w:r>
                <w:r>
                  <w:rPr>
                    <w:b/>
                    <w:bCs/>
                    <w:szCs w:val="24"/>
                    <w:lang w:val="en-GB"/>
                  </w:rPr>
                  <w:t>finansinės priemones</w:t>
                </w:r>
                <w:r>
                  <w:rPr>
                    <w:bCs/>
                    <w:szCs w:val="24"/>
                    <w:lang w:val="en-GB"/>
                  </w:rPr>
                  <w:t xml:space="preserve"> ir derinti jas su kitomis finansavimo formomis kuo platesniu mastu, nes tai puiki galimybė padidinti ribotų valstybės biudžeto bei ES fondų investicijų grąžą ir efektyvumą. </w:t>
                </w:r>
                <w:r>
                  <w:rPr>
                    <w:lang w:val="en-GB"/>
                  </w:rPr>
                  <w:t>Pažymėtina, kad šiuo metu rinkos finansavimo trūkumas verslo finansavimo individualių garantijų priemonių įgyvendinimui susidaro 675 mln. EUR, MTEPI veikloms – 756 mln. EUR, socialiniam verslui – 800 tūkst. EUR, viešųjų pastatų renovavimui – apie 700 mln. EUR, daugiabučių namų modernizavimui 1.357 mln. EUR.</w:t>
                </w:r>
              </w:p>
              <w:p>
                <w:pPr>
                  <w:ind w:firstLine="567"/>
                  <w:jc w:val="both"/>
                  <w:rPr>
                    <w:lang w:val="en-GB"/>
                  </w:rPr>
                </w:pPr>
                <w:r>
                  <w:rPr>
                    <w:bCs/>
                    <w:szCs w:val="24"/>
                    <w:lang w:val="en-GB"/>
                  </w:rPr>
                  <w:t xml:space="preserve">Iki 2019 m. pabaigos buvo įsteigta dešimt fondų, kuriems skirta 1,1 mlrd. EUR, o valstybės investuota 2 mlrd. EUR, privataus kapitalo pritraukta už 2,5 mlrd. EUR, pakartotinai investuota už 528 mln. EUR. Be to, renovuota beveik 60 tūkst. namų, sutaupyta 616 GWH energijos, CO2 sumažinta 143 667 T, suteikta 9508 paskolų/garantijų SVV, suteikta 100 investicijų į rizikos kapitalą bei 5404 garantijų žemė ūkio subjektams. Finansinės priemonės jau nuo 2008 m. efektyviai įgyvendinamos pasiteisinusios daugiabučių namų renovavimo, SVV </w:t>
                </w:r>
                <w:r>
                  <w:rPr>
                    <w:lang w:val="en-GB"/>
                  </w:rPr>
                  <w:t xml:space="preserve">veiklos pradžios, vykdymo ir plėtros srityse, o nuo 2015 m. finansinių priemonių įgyvendinimas plečiamas į kitas sritis, tokias kaip centrinės valdžios ir viešųjų pastatų </w:t>
                </w:r>
                <w:r>
                  <w:rPr>
                    <w:szCs w:val="24"/>
                    <w:lang w:val="en-GB"/>
                  </w:rPr>
                  <w:t>atnaujinimo didinant energijos vartojimo efektyvumą, vandentvarkos (Vandentvarkos fondas), komercinės alternatyvių degalų ir transporto sektoriaus AEI srityse.</w:t>
                </w:r>
              </w:p>
              <w:p>
                <w:pPr>
                  <w:ind w:firstLine="567"/>
                  <w:jc w:val="both"/>
                  <w:rPr>
                    <w:b/>
                    <w:lang w:val="en-GB"/>
                  </w:rPr>
                </w:pPr>
                <w:r>
                  <w:rPr>
                    <w:szCs w:val="24"/>
                    <w:lang w:val="en-GB"/>
                  </w:rPr>
                  <w:t>Vadovaujančioji institucija skatins strateginį viešųjų pirkimų naudojimą, įgyvendinant numatytus politikos tikslus. Paramos gavėjai bus skatinami naudoti daugiau su kokybe ir gyvavimo ciklu susijusių išlaidų kriterijų.</w:t>
                </w:r>
                <w:r>
                  <w:rPr>
                    <w:sz w:val="22"/>
                    <w:lang w:val="en-GB"/>
                  </w:rPr>
                  <w:t xml:space="preserve"> </w:t>
                </w:r>
                <w:r>
                  <w:rPr>
                    <w:szCs w:val="24"/>
                    <w:lang w:val="en-GB"/>
                  </w:rPr>
                  <w:t>Kur įmanoma, aplinkosaugos ir socialiniai aspektai, taip pat naujovių skatinimo priemonės turėtų būti įtrauktos į viešųjų pirkimų procedūras.</w:t>
                </w:r>
              </w:p>
              <w:p>
                <w:pPr>
                  <w:ind w:firstLine="567"/>
                  <w:rPr>
                    <w:b/>
                    <w:lang w:val="en-GB"/>
                  </w:rPr>
                </w:pPr>
                <w:r>
                  <w:rPr>
                    <w:b/>
                    <w:lang w:val="en-GB"/>
                  </w:rPr>
                  <w:t>Administraciniai gebėjimai ir supaprastinimai</w:t>
                </w:r>
              </w:p>
              <w:p>
                <w:pPr>
                  <w:ind w:firstLine="567"/>
                  <w:jc w:val="both"/>
                  <w:rPr>
                    <w:szCs w:val="24"/>
                    <w:lang w:val="en-GB"/>
                  </w:rPr>
                </w:pPr>
                <w:r>
                  <w:rPr>
                    <w:szCs w:val="24"/>
                    <w:lang w:val="en-GB"/>
                  </w:rPr>
                  <w:t xml:space="preserve">Administracinių gebėjimų srityje pagrindiniais iššūkiais 2021–2027 m. laikotarpiu bus kokybiškų ir į pokyčius orientuotų intervencijų stiprinimas, naujų sistemos dalyvių integravimas ir jiems reikalingų gebėjimų užtikrinimas, turimų kompetencijų išlaikymas, naujų pritraukimas, administracinės naštos mažinimas. </w:t>
                </w:r>
              </w:p>
              <w:p>
                <w:pPr>
                  <w:ind w:firstLine="567"/>
                  <w:jc w:val="both"/>
                  <w:rPr>
                    <w:szCs w:val="24"/>
                    <w:lang w:val="en-GB"/>
                  </w:rPr>
                </w:pPr>
                <w:r>
                  <w:rPr>
                    <w:szCs w:val="24"/>
                    <w:lang w:val="en-GB"/>
                  </w:rPr>
                  <w:t>Naujai sukurtos regioninės politikos institucinės sistemos pagrindiniam dalyviui (regionų plėtros taryboms) bus būtina stiprinti bazinius gebėjimus (žmogiškųjų išteklių ir finansų valdymo, strateginio planavimo) ir gebėjimus reikalingus kokybiškai įgyvendinti naujus procesus ir priemones pagal pasikeitusią strateginio valdymo sistemą. Projektų vykdytojams bus reikalingos kompetencijos ir specifiniai gebėjimai įgyvendinant naujas veiklas (pvz. poveikio aplinkai vertinimo, bendruomenės įtraukimo, kt.). Šias veiklas ketinama finansuoti iš 5 VP prioriteto.</w:t>
                </w:r>
              </w:p>
              <w:p>
                <w:pPr>
                  <w:ind w:firstLine="567"/>
                  <w:jc w:val="both"/>
                  <w:rPr>
                    <w:szCs w:val="24"/>
                    <w:lang w:val="en-GB"/>
                  </w:rPr>
                </w:pPr>
                <w:r>
                  <w:rPr>
                    <w:szCs w:val="24"/>
                    <w:lang w:val="en-GB"/>
                  </w:rPr>
                  <w:t xml:space="preserve">Siekiant skatinti suinteresuotųjų pusių įsitraukimą įvairiais VP rengimo ir įgyvendinimo ciklo etapais pagal vykdomą strateginio valdymo pertvarką </w:t>
                </w:r>
                <w:r>
                  <w:rPr>
                    <w:b/>
                    <w:szCs w:val="24"/>
                    <w:lang w:val="en-GB"/>
                  </w:rPr>
                  <w:t>socialiniai ekonominiai partneriai bus dar aktyviau įtraukiami į intervencijų planavimo ir stebėsenos procesą</w:t>
                </w:r>
                <w:r>
                  <w:rPr>
                    <w:szCs w:val="24"/>
                    <w:lang w:val="en-GB"/>
                  </w:rPr>
                  <w:t xml:space="preserve"> tiek identifikuojant problemas, tiek ieškant sprendimų bei kuriant priemones joms spręsti, taip pat jų įgyvendinimo pažangai vertinti. Siekiant kokybiškos partnerystės, bus plečiamos socialinių ekonominių partnerių gebėjimų stiprinimo galimybės, atsižvelgiant į konkretų poreikį ar iškylančias problemas.</w:t>
                </w:r>
              </w:p>
              <w:p>
                <w:pPr>
                  <w:ind w:firstLine="567"/>
                  <w:jc w:val="both"/>
                  <w:rPr>
                    <w:szCs w:val="24"/>
                    <w:lang w:val="en-GB"/>
                  </w:rPr>
                </w:pPr>
                <w:r>
                  <w:rPr>
                    <w:szCs w:val="24"/>
                    <w:lang w:val="en-GB"/>
                  </w:rPr>
                  <w:t xml:space="preserve">2021-2027 m. ir toliau daug dėmesio bus skirta </w:t>
                </w:r>
                <w:r>
                  <w:rPr>
                    <w:b/>
                    <w:szCs w:val="24"/>
                    <w:lang w:val="en-GB"/>
                  </w:rPr>
                  <w:t>žmogiškųjų išteklių ir organizacijų valdymo tobulinimui</w:t>
                </w:r>
                <w:r>
                  <w:rPr>
                    <w:szCs w:val="24"/>
                    <w:lang w:val="en-GB"/>
                  </w:rPr>
                  <w:t xml:space="preserve">, </w:t>
                </w:r>
                <w:r>
                  <w:rPr>
                    <w:b/>
                    <w:szCs w:val="24"/>
                    <w:lang w:val="en-GB"/>
                  </w:rPr>
                  <w:t>vadovų lyderystės</w:t>
                </w:r>
                <w:r>
                  <w:rPr>
                    <w:szCs w:val="24"/>
                    <w:lang w:val="en-GB"/>
                  </w:rPr>
                  <w:t xml:space="preserve"> stiprinimui, </w:t>
                </w:r>
                <w:r>
                  <w:rPr>
                    <w:b/>
                    <w:szCs w:val="24"/>
                    <w:lang w:val="en-GB"/>
                  </w:rPr>
                  <w:t>planavimo ir analitinių</w:t>
                </w:r>
                <w:r>
                  <w:rPr>
                    <w:szCs w:val="24"/>
                    <w:lang w:val="en-GB"/>
                  </w:rPr>
                  <w:t xml:space="preserve"> kompetencijų tobulinimui, mokymosi galimybių gerinimui, metodikų ir pagalbinių įrankių (pvz. priemonių ir projektų naudingumui vertinti) kūrimui ir efektyviam panaudojimui, o taip pat priemonių, padedančių pritraukti ir išlaikyti talentus, paieškai (pvz. bendradarbiavimas su universitetais).  </w:t>
                </w:r>
              </w:p>
              <w:p>
                <w:pPr>
                  <w:ind w:firstLine="567"/>
                  <w:jc w:val="both"/>
                  <w:rPr>
                    <w:szCs w:val="24"/>
                    <w:lang w:val="en-GB"/>
                  </w:rPr>
                </w:pPr>
                <w:r>
                  <w:rPr>
                    <w:szCs w:val="24"/>
                    <w:lang w:val="en-GB"/>
                  </w:rPr>
                  <w:t xml:space="preserve">Vykdant </w:t>
                </w:r>
                <w:r>
                  <w:rPr>
                    <w:b/>
                    <w:szCs w:val="24"/>
                    <w:lang w:val="en-GB"/>
                  </w:rPr>
                  <w:t>strateginio planavimo sistemos pertvarką</w:t>
                </w:r>
                <w:r>
                  <w:rPr>
                    <w:szCs w:val="24"/>
                    <w:lang w:val="en-GB"/>
                  </w:rPr>
                  <w:t xml:space="preserve"> ir kuriant naujus 2021-2027 m. ES fondų administravimo procesus, siekiant juos optimizuoti, bus peržiūrimi ir įvertinami esami procesai, </w:t>
                </w:r>
                <w:r>
                  <w:rPr>
                    <w:b/>
                    <w:szCs w:val="24"/>
                    <w:lang w:val="en-GB"/>
                  </w:rPr>
                  <w:t xml:space="preserve">eliminuojant juose perteklinius </w:t>
                </w:r>
                <w:r>
                  <w:rPr>
                    <w:szCs w:val="24"/>
                    <w:lang w:val="en-GB"/>
                  </w:rPr>
                  <w:t xml:space="preserve">žingsnius. Naujiems procesams planuojama nustatyti tikslus ir rodiklius, pagal kuriuos periodiškai bus vertinamas procesų efektyvumas. </w:t>
                </w:r>
              </w:p>
              <w:p>
                <w:pPr>
                  <w:ind w:firstLine="567"/>
                  <w:jc w:val="both"/>
                  <w:rPr>
                    <w:szCs w:val="24"/>
                    <w:lang w:val="en-GB"/>
                  </w:rPr>
                </w:pPr>
                <w:r>
                  <w:rPr>
                    <w:szCs w:val="24"/>
                    <w:lang w:val="en-GB"/>
                  </w:rPr>
                  <w:t xml:space="preserve">Ir toliau planuojama </w:t>
                </w:r>
                <w:r>
                  <w:rPr>
                    <w:b/>
                    <w:szCs w:val="24"/>
                    <w:lang w:val="en-GB"/>
                  </w:rPr>
                  <w:t xml:space="preserve">intensyviai taikyti supaprastintą išlaidų apmokėjimą </w:t>
                </w:r>
                <w:r>
                  <w:rPr>
                    <w:szCs w:val="24"/>
                    <w:lang w:val="en-GB"/>
                  </w:rPr>
                  <w:t>bei pasinaudoti galimybe supaprastintai apmokamų išlaidų dydžius nustatyti Programoje. Tai užtikrintų paprastesnį atsiskaitymo tarp Lietuvos ir EK procesą.</w:t>
                </w:r>
              </w:p>
              <w:p>
                <w:pPr>
                  <w:ind w:firstLine="567"/>
                  <w:jc w:val="both"/>
                  <w:rPr>
                    <w:b/>
                    <w:bCs/>
                    <w:szCs w:val="24"/>
                    <w:lang w:val="en-GB"/>
                  </w:rPr>
                </w:pPr>
                <w:r>
                  <w:rPr>
                    <w:b/>
                    <w:szCs w:val="24"/>
                    <w:lang w:val="en-GB"/>
                  </w:rPr>
                  <w:t>Siekiant efektyviau organizuoti viešuosius pirkimus ir užtikrinti didesnę konkurenciją pirkimuose</w:t>
                </w:r>
                <w:r>
                  <w:rPr>
                    <w:szCs w:val="24"/>
                    <w:lang w:val="en-GB"/>
                  </w:rPr>
                  <w:t>, įgyvendinamas Viešųjų pirkimų profesionalumo stiprinimo planas, pagal kurį yra rengiamos rekomenduojamos pirkimų specialistų mokymo programos, mokymų medžiaga ir nuotolinio mokymo moduliai.</w:t>
                </w:r>
              </w:p>
              <w:p>
                <w:pPr>
                  <w:ind w:firstLine="567"/>
                  <w:jc w:val="both"/>
                  <w:rPr>
                    <w:b/>
                    <w:bCs/>
                    <w:szCs w:val="24"/>
                    <w:lang w:val="en-GB"/>
                  </w:rPr>
                </w:pPr>
                <w:r>
                  <w:rPr>
                    <w:b/>
                    <w:bCs/>
                    <w:szCs w:val="24"/>
                    <w:lang w:val="en-GB"/>
                  </w:rPr>
                  <w:t>ES Baltijos jūros regiono strategijos įgyvendinimas</w:t>
                </w:r>
              </w:p>
              <w:p>
                <w:pPr>
                  <w:ind w:firstLine="567"/>
                  <w:jc w:val="both"/>
                  <w:rPr>
                    <w:szCs w:val="24"/>
                    <w:lang w:eastAsia="lt-LT"/>
                  </w:rPr>
                </w:pPr>
                <w:r>
                  <w:rPr>
                    <w:bCs/>
                    <w:lang w:val="en-GB"/>
                  </w:rPr>
                  <w:t xml:space="preserve">Rengiant Programą įvertintos galimos sąsajos su ES BJRS bei jos atnaujintu veiksmų planu, taip pat finansavimo sritimis, kurios gali prisidėti prie šios strategijos įgyvendinimo. Lietuva mato didelį potencialą </w:t>
                </w:r>
                <w:r>
                  <w:rPr>
                    <w:lang w:val="en-GB"/>
                  </w:rPr>
                  <w:t>stiprinti MTI pajėgumus ir pažangiųjų technologijų naudojimą bendradarbiaujant su kitomis šalimis ir vadovaujantis ES BJRS politine kryptimi „Inovacijos“, taip pat identifikuojant naujas eksporto rinkas ir skatinti MVĮ dalyvavimą bendradarbiavimo tinkluose ir tarpregioniniuose klasteriuose. Kita svarbi bendradarbiavimo sritis yra prisitaikymas prie klimato kaitos, rizikos prevencija, todėl svarbu skatinti koordinuotus ir bendradarbiavimu grindžiamus prevencinius veiksmus tarp Baltijos jūros valstybių.</w:t>
                </w:r>
              </w:p>
              <w:p>
                <w:pPr>
                  <w:framePr w:hSpace="180" w:wrap="auto" w:vAnchor="text" w:hAnchor="margin" w:y="1"/>
                  <w:ind w:firstLine="567"/>
                  <w:jc w:val="both"/>
                  <w:rPr>
                    <w:szCs w:val="24"/>
                    <w:lang w:eastAsia="ar-SA"/>
                  </w:rPr>
                </w:pPr>
                <w:r>
                  <w:rPr>
                    <w:szCs w:val="24"/>
                    <w:lang w:eastAsia="ar-SA"/>
                  </w:rPr>
                  <w:t xml:space="preserve">Alytaus rajono savivaldybė, organizuodama savo veiklą, atsižvelgia į savivaldybei tiesioginį ir netiesioginį poveikį turinčius ES rekomendacinio pobūdžio dokumentus </w:t>
                </w:r>
                <w:r>
                  <w:rPr>
                    <w:bCs/>
                    <w:szCs w:val="24"/>
                    <w:lang w:eastAsia="ar-SA"/>
                  </w:rPr>
                  <w:t>–</w:t>
                </w:r>
                <w:r>
                  <w:rPr>
                    <w:szCs w:val="24"/>
                    <w:lang w:eastAsia="ar-SA"/>
                  </w:rPr>
                  <w:t xml:space="preserve"> rekomendacijas, gaires, strategijas. ES teisės aktai reguliuoja daugelį sričių, tradiciškai priklausančių regioninės ir vietos valdžios kompetencijai: viešuosius pirkimus, aplinkos apsaugą, ekonominės veiklos reguliavimą, viešųjų paslaugų teikimą, privačių įmonių subsidijavimą.</w:t>
                </w:r>
              </w:p>
              <w:p>
                <w:pPr>
                  <w:ind w:firstLine="567"/>
                  <w:jc w:val="both"/>
                  <w:rPr>
                    <w:szCs w:val="24"/>
                    <w:lang w:eastAsia="lt-LT"/>
                  </w:rPr>
                </w:pPr>
                <w:r>
                  <w:rPr>
                    <w:szCs w:val="24"/>
                  </w:rPr>
                  <w:t>Alytaus rajono savivaldybė atsakingai įsisavina ES struktūrinės paramos lėšas. Rengiami projektai, skirti infrastruktūrai plėtoti, gyvenamosios aplinkos gerinimui, gamtos ir kultūros paveldo išsaugojimui, užimtumui didinti, viešųjų paslaugų kokybės ir prieinamumo didinimui.</w:t>
                </w:r>
                <w:r>
                  <w:rPr>
                    <w:szCs w:val="24"/>
                    <w:lang w:eastAsia="lt-LT"/>
                  </w:rPr>
                  <w:t xml:space="preserve"> </w:t>
                </w:r>
              </w:p>
              <w:p>
                <w:pPr>
                  <w:ind w:firstLine="567"/>
                  <w:jc w:val="both"/>
                  <w:rPr>
                    <w:b/>
                    <w:szCs w:val="24"/>
                  </w:rPr>
                </w:pPr>
                <w:r>
                  <w:rPr>
                    <w:szCs w:val="24"/>
                    <w:lang w:eastAsia="lt-LT"/>
                  </w:rPr>
                  <w:t xml:space="preserve">Svarbiausi norminiai teisės aktai, kuriais savo veikloje vadovaujasi Alytaus rajono savivaldybė, yra Europos vietos savivaldos chartija, Lietuvos Respublikos Konstitucija, Lietuvos Respublikos vietos savivaldos įstatymas, vietos savivaldą reglamentuojantys teisės aktai, Lietuvos Respublikos savivaldybių tarybų rinkimų įstatymas, Lietuvos Respublikos teritorijos administracinių vienetų ir jų ribų įstatymas, Lietuvos Respublikos viešojo administravimo įstatymas, Lietuvos Respublikos valstybės tarnybos įstatymas, </w:t>
                </w:r>
                <w:r>
                  <w:rPr>
                    <w:szCs w:val="24"/>
                  </w:rPr>
                  <w:t>Alytaus rajono savivaldybės tarybos veiklos reglamentas, Alytaus rajono savivaldybės administracijos veiklos nuostatai ir kiti savivaldos institucijų veiklą reglamentuojantys dokumentai.</w:t>
                </w:r>
              </w:p>
              <w:p>
                <w:pPr>
                  <w:ind w:firstLine="567"/>
                  <w:jc w:val="both"/>
                  <w:rPr>
                    <w:szCs w:val="24"/>
                    <w:lang w:eastAsia="lt-LT"/>
                  </w:rPr>
                </w:pPr>
                <w:r>
                  <w:rPr>
                    <w:szCs w:val="24"/>
                    <w:lang w:eastAsia="lt-LT"/>
                  </w:rPr>
                  <w:t xml:space="preserve">Savivaldybės ekonominius klausimus reglamentuoja Lietuvos Respublikos biudžeto sandaros įstatymas, Lietuvos Respublikos savivaldybių biudžetų pajamų nustatymo metodikos įstatymas, </w:t>
                </w:r>
                <w:r>
                  <w:rPr>
                    <w:szCs w:val="24"/>
                  </w:rPr>
                  <w:t>Valstybės biudžeto ir savivaldybių biudžetų planavimo, rengimo, tvirtinimo procedūros reglamentuotos Lietuvos Respublikos valstybės biudžeto ir savivaldybių biudžetų sudarymo ir vykdymo taisyklėse patvirtintose Lietuvos Respublikos Vyriausybės 2001 m. gegužės 14 d. nutarimu Nr. 543 „Dėl Lietuvos Respublikos valstybės biudžeto ir savivaldybių biudžetų sudarymo ir vykdymo taisyklių patvirtinimo“</w:t>
                </w:r>
                <w:r>
                  <w:rPr>
                    <w:szCs w:val="24"/>
                    <w:lang w:eastAsia="lt-LT"/>
                  </w:rPr>
                  <w:t xml:space="preserve"> ir kita.</w:t>
                </w:r>
              </w:p>
              <w:p>
                <w:pPr>
                  <w:framePr w:hSpace="180" w:wrap="auto" w:vAnchor="text" w:hAnchor="margin" w:y="1"/>
                  <w:tabs>
                    <w:tab w:val="left" w:pos="3090"/>
                  </w:tabs>
                  <w:ind w:firstLine="567"/>
                  <w:jc w:val="both"/>
                  <w:rPr>
                    <w:szCs w:val="24"/>
                    <w:lang w:eastAsia="lt-LT"/>
                  </w:rPr>
                </w:pPr>
                <w:r>
                  <w:rPr>
                    <w:szCs w:val="24"/>
                    <w:lang w:eastAsia="lt-LT"/>
                  </w:rPr>
                  <w:t xml:space="preserve">Alytaus rajono savivaldybė, planuodama savo veiklą, privalo taip pat įvertinti šiuos dokumentus: Lietuvos Respublikos Seimo 2002 m. lapkričio 12 d. nutarimu Nr. IX–1187 patvirtintą Valstybės ilgalaikės raidos strategiją, kurioje numatytos visų Lietuvos ūkio šakų ir sektorių ilgalaikės plėtros kryptys (ilgalaikiais valstybės raidos prioritetais nustatyti – žinių visuomenė, saugi visuomenė ir konkurencinga ekonomika), Lietuvos Respublikos Vyriausybės 2003 m. rugsėjo 11 d. nutarimu Nr. 1160 </w:t>
                </w:r>
                <w:r>
                  <w:rPr>
                    <w:szCs w:val="24"/>
                  </w:rPr>
                  <w:t>„Dėl Nacionalinės darnaus vystymosi strategijos patvirtinimo ir įgyvendinimo“</w:t>
                </w:r>
                <w:r>
                  <w:rPr>
                    <w:szCs w:val="24"/>
                    <w:lang w:eastAsia="lt-LT"/>
                  </w:rPr>
                  <w:t xml:space="preserve"> patvirtintą Nacionalinę darnaus vystymosi strategiją, Lietuvos Respublikos Vyriausybės </w:t>
                </w:r>
                <w:r>
                  <w:rPr>
                    <w:szCs w:val="24"/>
                  </w:rPr>
                  <w:t xml:space="preserve">2021 m. balandžio 28 d. nutarimu Nr. 292 „„Dėl </w:t>
                </w:r>
                <w:r>
                  <w:rPr>
                    <w:rFonts w:eastAsia="Calibri"/>
                    <w:szCs w:val="24"/>
                  </w:rPr>
                  <w:t>Lietuvos Respublikos strateginio valdymo įstatymo, Lietuvos Respublikos regioninės plėtros įstatymo 4 straipsnio 3 ir 5 dalių, 7 straipsnio 1 ir 4 dalių ir</w:t>
                </w:r>
                <w:r>
                  <w:rPr>
                    <w:szCs w:val="24"/>
                  </w:rPr>
                  <w:t xml:space="preserve"> </w:t>
                </w:r>
                <w:r>
                  <w:rPr>
                    <w:bCs/>
                    <w:szCs w:val="24"/>
                  </w:rPr>
                  <w:t>Lietuvos Respublikos biudžeto sandaros įstatymo 14</w:t>
                </w:r>
                <w:r>
                  <w:rPr>
                    <w:bCs/>
                    <w:szCs w:val="24"/>
                    <w:vertAlign w:val="superscript"/>
                  </w:rPr>
                  <w:t>1</w:t>
                </w:r>
                <w:r>
                  <w:rPr>
                    <w:bCs/>
                    <w:szCs w:val="24"/>
                  </w:rPr>
                  <w:t> straipsnio 3 dalies</w:t>
                </w:r>
                <w:r>
                  <w:rPr>
                    <w:rFonts w:eastAsia="Calibri"/>
                    <w:szCs w:val="24"/>
                  </w:rPr>
                  <w:t xml:space="preserve"> </w:t>
                </w:r>
                <w:r>
                  <w:rPr>
                    <w:szCs w:val="24"/>
                    <w:lang w:eastAsia="lt-LT"/>
                  </w:rPr>
                  <w:t>įgyvendinimo“ patvirtintą Strateginio valdymo metodiką.</w:t>
                </w:r>
              </w:p>
            </w:tc>
          </w:tr>
          <w:tr>
            <w:tc>
              <w:tcPr>
                <w:tcW w:w="4974" w:type="pct"/>
                <w:shd w:val="clear" w:color="auto" w:fill="auto"/>
              </w:tcPr>
              <w:p>
                <w:pPr>
                  <w:jc w:val="center"/>
                  <w:rPr>
                    <w:rFonts w:eastAsia="Calibri"/>
                    <w:b/>
                    <w:szCs w:val="24"/>
                    <w:lang w:eastAsia="lt-LT"/>
                  </w:rPr>
                </w:pPr>
                <w:r>
                  <w:rPr>
                    <w:rFonts w:eastAsia="Calibri"/>
                    <w:b/>
                    <w:szCs w:val="24"/>
                    <w:lang w:eastAsia="lt-LT"/>
                  </w:rPr>
                  <w:t>Ekonominiai veiksniai. Lietuvos ekonomikos raida ir perspektyvos</w:t>
                </w:r>
              </w:p>
              <w:p>
                <w:pPr>
                  <w:jc w:val="both"/>
                  <w:rPr>
                    <w:szCs w:val="24"/>
                    <w:lang w:eastAsia="lt-LT"/>
                  </w:rPr>
                </w:pPr>
                <w:r>
                  <w:rPr>
                    <w:szCs w:val="24"/>
                    <w:lang w:eastAsia="lt-LT"/>
                  </w:rPr>
                  <w:t>Įsibėgėjant vakcinacijai pasaulio ekonomika atsigauna. Prognozuojama, kad ji šiais metais turėtų augti 6, o kitais metais – 4,9 proc. Tačiau šalių ekonomikų atsigavimas nėra tolygus – dėl skirtingų vakcinacijos tempų ir teikiamos fiskalinės paramos apimties atsigavimo raida valstybėse skiriasi. Išsivysčiusioms valstybėms, paskiepijusioms beveik pusę savo populiacijos, numatomas grįžimas į prieš pandemiją prognozuotą augimo lygį 2022 m., o besivystančioms valstybėms, paskiepijusioms tik apie dešimtadalį savo populiacijos ir turinčioms ribotas fiskalinio skatinimo galimybes, dėl atsinaujinančių COVID-19 protrūkių jis užtruks gerokai ilgiau. Kadangi pasaulio ekonomika visiškai galės atsigauti tik tada, kai pandemijos plitimas bus sustabdytas visame pasaulyje, COVID-19 ir toliau yra pagrindinė grėsmė pasaulio ekonomikos atsigavimui. Tad lėtesnis, nei tikimasi, vakcinacijos tempas ir galimos naujos vakcinoms atsparios COVID-19 atmainos bei jų protrūkiai tebėra įvardijami kaip pagrindinės rizikos dabar numatomam pasaulio ekonomikos atsigavimui. Besitęsianti COVID-19 pandemija taip pat apsunkina ir kitų pasaulio ekonomikoje susidariusių disbalansų normalizavimąsi. Pavyzdžiui, per pandemiją susidarę tiekimo grandinių trikdžiai neleidžia išspręsti žaliavų trūkumo problemos, kuri buvo įvardijama tarp svarbiausių veiksnių, nulėmusių lėtesnį, nei tikėtasi, didžiausių pasaulio ekonomikų – JAV ir Kinijos – augimą šių metų antrąjį ketvirtį. Pažymėtini ir valstybių skolos tvarumo iššūkiai: viena vertus, norint išvengti įmonių bankrotų bangos besitęsiant pandemijai, valstybėms svarbu per anksti nenutraukti fiskalinės paramos, kita vertus, gali apsunkinti didelį įsiskolinimą turinčių vyriausybių ir įmonių galimybes suvaldyti savo skolas ir su jomis susijusias sąnaudas ateityje, pagrindinėms pasaulio ekonomikoms perėjus į ciklinio pakilimo etapą ir palūkanų normoms ėmus normalizuotis. Visa tai per tarptautinės prekybos ir finansinius ryšius veikia ekonominį aktyvumą ir Lietuvoje.</w:t>
                </w:r>
              </w:p>
              <w:p>
                <w:pPr>
                  <w:jc w:val="both"/>
                  <w:rPr>
                    <w:szCs w:val="24"/>
                    <w:lang w:eastAsia="lt-LT"/>
                  </w:rPr>
                </w:pPr>
                <w:r>
                  <w:rPr>
                    <w:szCs w:val="24"/>
                    <w:lang w:eastAsia="lt-LT"/>
                  </w:rPr>
                  <w:t>Antrasis karantinas nesustabdė Lietuvos ekonomikos plėtros. Tiek pirmąjį, tiek antrąjį ketvirčiais fiksuotas ekonomikos augimas rodo, kad Lietuvos įmonės sugebėjo tinkamai pasirengti naujai pandemijos bangai. Pasinaudodami atveriamose pagrindinių prekybos partnerių ekonomikose atsigaunančia paklausa, Lietuvos eksportuotojai toliau didino pardavimų apimtį užsienio rinkose. Nors</w:t>
                  <w:br/>
                  <w:t>prie eksporto augimo daugiausia prisidėjo chemijos ir baldų pramonėje gaminama produkcija, eksporto apimtį didino ir daugelis kitų apdirbamosios gamybos šakų. Šių metų antrąjį ketvirtį daugelio jų gamybos apimtis buvo didžiausia nuo duomenų skelbimo pradžios. Sėkminga plėtra užsienio rinkose, gera įmonių finansinė padėtis ir iki aukštumų pakilęs gamybos pajėgumų panaudojimo lygis teigiamai veikė įmonių lūkesčius, o tai paskatino privačiojo sektoriaus investicijų atsigavimą. Prasidėjus pandemijai sumenkusi užsienio paklausa ir neapibrėžtumas dėl pasaulio ekonomikos raidos lėmė nemenką investicijų krytį. Nors 2020 m. antrąjį pusmetį investicijos pradėjo atsigauti, jas daugiausia skatino valstybinis sektorius ir tik nuo šių metų pradžios daugiau investuoti pradėjo ir privatusis sektorius. Palanki eksportuojančiojo sektoriaus raida sudarė sąlygas išlikti darbuotojams palankiai darbo rinkos raidai. Tai kartu su kitų veiklų atsivėrimu bei valdžios sektoriaus sprendimais didino namų ūkių disponuojamąsias pajamas ir gerino namų ūkių lūkesčius. Visi šie veiksniai prisidėjo prie didesnio namų ūkių vartojimo, augusio tiek šių metų pirmąjį, tiek antrąjį ketvirčiais. Tiesa, net ir stipriai sumažėjus karantino suvaržymams, o namų ūkių disponuojamosioms pajamoms reikšmingai tebeviršijant išlaidas, namų ūkiai šių metų antrąjį ketvirtį tik gana nuosaikiai padidino vartojimo išlaidas, kartu, Lietuvos banko vertinimu, istorinėse aukštumose palaikydami taupymo normą.</w:t>
                </w:r>
              </w:p>
              <w:p>
                <w:pPr>
                  <w:rPr>
                    <w:sz w:val="14"/>
                    <w:szCs w:val="14"/>
                  </w:rPr>
                </w:pPr>
              </w:p>
              <w:p>
                <w:pPr>
                  <w:jc w:val="both"/>
                  <w:rPr>
                    <w:szCs w:val="24"/>
                    <w:lang w:eastAsia="lt-LT"/>
                  </w:rPr>
                </w:pPr>
                <w:r>
                  <w:rPr>
                    <w:szCs w:val="24"/>
                    <w:lang w:eastAsia="lt-LT"/>
                  </w:rPr>
                  <w:t>Augant ekonomikai gerėja padėtis ir darbo rinkoje. Po kryčio 2020 m. nuo šių metų pradžios dirbančiųjų skaičius šalyje auga, o metų viduryje jis pasiekė ir prieš pandemiją stebėtą lygį. Tiesa, darbo vietų kūrimas įvairiose ekonominėse veiklose skiriasi. Mažiau pandemijos paveiktose veiklose, pavyzdžiui, informacijos ir ryšių, transporto ir saugojimo, apdirbamosios gamybos veiklose,</w:t>
                  <w:br/>
                  <w:t>darbuotojų skaičius didėjo jau šių metų pradžioje, o labiau paveiktose veiklose, pavyzdžiui, apgyvendinimo ir maitinimo paslaugų veikloje, jis pradėjo atsigauti tik šių metų antrąjį ketvirtį, t. y. po to, kai buvo pradėti mažinti šioms veikloms taikomi karantino ribojimai. Vėl pradėjusi didėti darbuotojų samda vis labiau ryškina dar prieš pandemiją iškilusią darbuotojų stygiaus</w:t>
                  <w:br/>
                  <w:t>problemą. O tai yra viena svarbiausių priežasčių, lėmusių ir itin spartų darbo užmokesčio kilimą. Nors vidutinis darbo užmokestis šalyje gana sparčiai didėjo ir prieš pandemiją, po pirmojo karantino jis dar sparčiau kilo – nuo 2020 m. trečiojo ketvirčio tiek privačiajame, tiek valdžios sektoriuje darbo užmokestis vidutiniškai kilo dviženkliu tempu. Prie tokios vidutinio darbo užmokesčio</w:t>
                  <w:br/>
                  <w:t>raidos šalyje pastebimai prisidėjo valstybės priimami sprendimai, kuriais buvo keliamas viešojo sektoriaus darbuotojų darbo atlygis, didinamas mažiausias pajamas gaunančių asmenų darbo užmokestis. Tikėtina, kad darbo atlygio raidai poveikį turėjo ir gyventojams mokėtos darbo paieškos išmokos, kurios galimai ribojo gyventojų paskatas siekti užimtumo. Galimybes taip sparčiai kilti darbo užmokesčiui sudarė ir per pandemiją priimti veiklos efektyvinimo ir prisitaikymo prie pandemijos sąlygų sprendimai, leidę Lietuvos įmonėms reikšmingai pakelti darbo našumą. 2020 m. jo augimas Lietuvoje buvo vienas didžiausių tarp ES šalių.</w:t>
                </w:r>
              </w:p>
              <w:p>
                <w:pPr>
                  <w:rPr>
                    <w:sz w:val="14"/>
                    <w:szCs w:val="14"/>
                  </w:rPr>
                </w:pPr>
              </w:p>
              <w:p>
                <w:pPr>
                  <w:jc w:val="both"/>
                  <w:rPr>
                    <w:szCs w:val="24"/>
                    <w:lang w:eastAsia="lt-LT"/>
                  </w:rPr>
                </w:pPr>
                <w:r>
                  <w:rPr>
                    <w:szCs w:val="24"/>
                    <w:lang w:eastAsia="lt-LT"/>
                  </w:rPr>
                  <w:t>Tolesnę Lietuvos ekonomikos plėtrą ir toliau lems pasaulinis pandeminės padėties valdymas, vis labiau atsigausianti vidaus paklausa ir į eksportą orientuotų veiklų raida. Lemiamą poveikį ekonomikos aktyvumui tebedarys pandemijos mastas ir prisitaikymas prie jos tiek Lietuvoje, tiek užsienio šalyse. Šiose prognozėse yra daroma prielaida, kad artimiausiais mėnesiais Lietuvoje ir toliau bus sėkmingai įgyvendinama gyventojų vakcinacija, kuri kartu su kitomis priemonėmis ribos naujų susirgimų COVID-19 skaičių, o tai leis išvengti gyventojų ir įmonių veiklos apribojimų, kurie reikšmingai paveiktų ekonominį aktyvumą. Tai sudarys didesnių galimybių namų ūkiams įsigyti norimas prekes ir paslaugas. Jų nusiteikimą daugiau vartoti rodo iki aukščiausio lygio nuo pasaulinės krizės pradžios padidėjusi namų ūkių, planuojančių įsigyti didesnius pirkinius, dalis. Būtent grįžimas prie įprastesnių vartojimo įpročių ir perteklinio taupymo mažėjimas turėtų būti vieni pagrindinių veiksnių, lemsiančių spartų namų ūkių vartojimo augimą, kuris artimiausiais metais turėtų viršyti net ir padidėjusį disponuojamųjų pajamų augimą. Prognozuojamas išsivysčiusių valstybių, sudarančių reikšmingą dalį svarbiausių Lietuvos prekybos partnerių, ekonomikos atsigavimas didins lietuviškų prekių paklausą, o tai palankiai veiks eksportuotojus. Šiuo metu tikimasi, kad užsienio paklausa lietuviškoms prekėms šiais metais bus daugiau nei 8 proc. didesnė nei prieš metus, o vėlesniais metais kils perpus lėčiau. Numatoma, kad paklausa augs tiek vidaus, tiek išorės rinkoje, o tai teigiamai veikia įmonių lūkesčius. Tai ir toliau skatins privačiojo sektoriaus investicijas, prie kurių didėjimo prisidės ir suintensyvėję ES paramos lėšų srautai. Prognozuojama, kad visi šie veiksniai lems gana reikšmingą ekonomikos plėtrą artimiausiais metais – Lietuvos realusis BVP 2021 m. augs 4,9, o 2022 m. – 3,5 proc.</w:t>
                </w:r>
              </w:p>
              <w:p>
                <w:pPr>
                  <w:rPr>
                    <w:sz w:val="14"/>
                    <w:szCs w:val="14"/>
                  </w:rPr>
                </w:pPr>
              </w:p>
              <w:p>
                <w:pPr>
                  <w:jc w:val="both"/>
                  <w:rPr>
                    <w:szCs w:val="24"/>
                    <w:lang w:eastAsia="lt-LT"/>
                  </w:rPr>
                </w:pPr>
                <w:r>
                  <w:rPr>
                    <w:szCs w:val="24"/>
                    <w:lang w:eastAsia="lt-LT"/>
                  </w:rPr>
                  <w:t>Sparčiai atsigaunant Lietuvos ir pasaulio ekonomikai, auga infliacija. Infliacijos padidėjimui didžiausią įtaką turi atsigavusios naftos kainos, žema palyginamoji jų bazė ir pakilusios įvairių kitų žaliavų, pavyzdžiui, metalų, kainos. Ilgiau, nei tikėtasi, užsitęsę tiekimo trikdžiai ir įtampa pasaulinėje žaliavų rinkoje turėjo įtakos spartesniam pramonės prekių kainų augimui. Didinant žaliavų pasiūlą, pusiausvyra tarp daugelio žaliavų paklausos ir pasiūlos ateityje turėtų būti panaši į buvusią iki pandemijos, o sumažėjęs atsargų lygis – atkurtas, tad tikėtina, kad daugelio žaliavų kainos ateityje turėtų mažėti. Vis dėlto prognozuojama, kad tiek dar šių metų paskutiniais mėnesiais, tiek kitų metų pradžioje pramonės prekių kainos tebekils sparčiai. Pakilusios pasaulinės maisto žaliavų kainos, prastas daržovių derlius ir aukštesnės kitos sąnaudos, įskaitant didesnį darbo užmokestį, paspartins ir maisto kainų kilimą. Vis dėlto maisto kainos tiek 2021 m., tiek 2022 m. vidutiniškai kils mažiau nei iki pandemijos. Numatomas spartus darbo užmokesčio augimas, kurį daugiausia lemia darbuotojų trūkumas, konvergencija bei sukauptos santaupos, kurių vis daugiau bus nukreipiama į paslaugų sektorių, turės įtakos ir paslaugų kainoms – jos kils sparčiau. Numatoma, kad infliacija Lietuvoje šiemet sieks 3,3 proc. –1,1 proc.</w:t>
                  <w:br/>
                  <w:t xml:space="preserve">punkto daugiau, nei prognozuota anksčiau. Palyginti su praėjusiais metais, infliacija bus 2,2 proc. punkto didesnė – daugiausia dėl kylančių energijos produktų ir pramonės prekių kainų. Kitąmet infliacija šiek tiek sumažės ir sudarys 2,6 proc. Infliacijos tiek daug nebedidins energijos produktų kainos, bet ją stipriau veiks su vidaus ekonomine raida labiau susijusios paslaugų kainos. Infliaciją kitais metais gali labiau didinti ir sparčiau kilsiančios maisto produktų kainos. </w:t>
                </w:r>
              </w:p>
              <w:p>
                <w:pPr>
                  <w:rPr>
                    <w:sz w:val="14"/>
                    <w:szCs w:val="14"/>
                  </w:rPr>
                </w:pPr>
              </w:p>
              <w:p>
                <w:pPr>
                  <w:jc w:val="both"/>
                  <w:rPr>
                    <w:rFonts w:eastAsia="Calibri"/>
                    <w:szCs w:val="24"/>
                    <w:lang w:eastAsia="lt-LT"/>
                  </w:rPr>
                </w:pPr>
              </w:p>
              <w:p>
                <w:pPr>
                  <w:jc w:val="center"/>
                  <w:rPr>
                    <w:rFonts w:eastAsia="Calibri"/>
                    <w:b/>
                    <w:szCs w:val="24"/>
                    <w:lang w:eastAsia="lt-LT"/>
                  </w:rPr>
                </w:pPr>
                <w:r>
                  <w:rPr>
                    <w:rFonts w:eastAsia="Calibri"/>
                    <w:b/>
                    <w:szCs w:val="24"/>
                    <w:lang w:eastAsia="lt-LT"/>
                  </w:rPr>
                  <w:t>Alytaus rajono savivaldybės ekonominiai rodikliai</w:t>
                </w:r>
              </w:p>
              <w:p>
                <w:pPr>
                  <w:jc w:val="center"/>
                  <w:rPr>
                    <w:rFonts w:eastAsia="Calibri"/>
                    <w:b/>
                    <w:szCs w:val="24"/>
                    <w:lang w:eastAsia="lt-LT"/>
                  </w:rPr>
                </w:pPr>
              </w:p>
              <w:p>
                <w:pPr>
                  <w:jc w:val="both"/>
                  <w:rPr>
                    <w:rFonts w:eastAsia="Calibri"/>
                    <w:szCs w:val="24"/>
                    <w:lang w:eastAsia="lt-LT"/>
                  </w:rPr>
                </w:pPr>
                <w:r>
                  <w:rPr>
                    <w:rFonts w:eastAsia="Calibri"/>
                    <w:szCs w:val="24"/>
                    <w:lang w:eastAsia="lt-LT"/>
                  </w:rPr>
                  <w:t xml:space="preserve">Statistikos departamentas prie Lietuvos Respublikos Vyriausybės neteikia duomenų apie savivaldybėse sukuriamą bendrąjį vidaus produktą (BVP). Šis rodiklis skaičiuojamas apskričių mastu. 1 pav. pateiktas palyginimas, kaip 2012-2020 metais kito BVP vienam gyventojui, to meto kainomis, šalies mastu ir Alytaus apskrityje. Analizuojant 2020 m. galima teigti, kad rodiklis labiau išaugo šalies mastu (0,2 proc.), o Alytaus apskrityje pastebimas taip pat nedidelis padidėjimas, t. y. 0,2 proc. </w:t>
                </w:r>
              </w:p>
              <w:p>
                <w:pPr>
                  <w:ind w:firstLine="744"/>
                  <w:jc w:val="both"/>
                  <w:rPr>
                    <w:rFonts w:eastAsia="Calibri"/>
                    <w:sz w:val="14"/>
                    <w:szCs w:val="24"/>
                    <w:lang w:eastAsia="lt-LT"/>
                  </w:rPr>
                </w:pPr>
              </w:p>
              <w:p>
                <w:pPr>
                  <w:jc w:val="center"/>
                  <w:rPr>
                    <w:rFonts w:eastAsia="Calibri"/>
                    <w:szCs w:val="24"/>
                    <w:lang w:eastAsia="lt-LT"/>
                  </w:rPr>
                </w:pPr>
                <w:r>
                  <w:rPr>
                    <w:lang w:eastAsia="lt-LT"/>
                  </w:rPr>
                  <w:drawing>
                    <wp:inline distT="0" distB="0" distL="0" distR="0">
                      <wp:extent cx="4876800" cy="3486150"/>
                      <wp:effectExtent l="0" t="0" r="0" b="0"/>
                      <wp:docPr id="101" name="Diagrama 101"/>
                      <wp:cNvGraphicFramePr/>
                      <a:graphic xmlns:a="http://schemas.openxmlformats.org/drawingml/2006/main">
                        <a:graphicData uri="http://schemas.openxmlformats.org/drawingml/2006/chart">
                          <c:chart xmlns:c="http://schemas.openxmlformats.org/drawingml/2006/chart" r:id="rId40"/>
                        </a:graphicData>
                      </a:graphic>
                    </wp:inline>
                  </w:drawing>
                </w:r>
              </w:p>
              <w:p>
                <w:pPr>
                  <w:rPr>
                    <w:sz w:val="10"/>
                    <w:szCs w:val="10"/>
                  </w:rPr>
                </w:pPr>
              </w:p>
              <w:p>
                <w:pPr>
                  <w:jc w:val="center"/>
                  <w:rPr>
                    <w:rFonts w:eastAsia="Calibri"/>
                    <w:szCs w:val="24"/>
                    <w:lang w:eastAsia="lt-LT"/>
                  </w:rPr>
                </w:pPr>
                <w:r>
                  <w:rPr>
                    <w:rFonts w:eastAsia="Calibri"/>
                    <w:b/>
                    <w:i/>
                    <w:szCs w:val="24"/>
                    <w:lang w:eastAsia="lt-LT"/>
                  </w:rPr>
                  <w:t>1 pav.</w:t>
                </w:r>
                <w:r>
                  <w:rPr>
                    <w:rFonts w:eastAsia="Calibri"/>
                    <w:szCs w:val="24"/>
                    <w:lang w:eastAsia="lt-LT"/>
                  </w:rPr>
                  <w:t xml:space="preserve"> Bendrasis vidaus produktas vienam gyventojui, tūkst. Eur</w:t>
                </w:r>
              </w:p>
              <w:p>
                <w:pPr>
                  <w:jc w:val="center"/>
                  <w:rPr>
                    <w:rFonts w:eastAsia="Calibri"/>
                    <w:sz w:val="20"/>
                    <w:szCs w:val="24"/>
                    <w:lang w:eastAsia="lt-LT"/>
                  </w:rPr>
                </w:pPr>
                <w:r>
                  <w:rPr>
                    <w:rFonts w:eastAsia="Calibri"/>
                    <w:sz w:val="20"/>
                    <w:szCs w:val="24"/>
                    <w:lang w:eastAsia="lt-LT"/>
                  </w:rPr>
                  <w:t>Šaltinis: Lietuvos statistikos departamentas, 2021</w:t>
                </w:r>
              </w:p>
              <w:p>
                <w:pPr>
                  <w:rPr>
                    <w:sz w:val="10"/>
                    <w:szCs w:val="10"/>
                  </w:rPr>
                </w:pPr>
              </w:p>
              <w:p>
                <w:pPr>
                  <w:tabs>
                    <w:tab w:val="left" w:pos="574"/>
                  </w:tabs>
                  <w:jc w:val="center"/>
                  <w:rPr>
                    <w:rFonts w:eastAsia="Calibri"/>
                    <w:b/>
                    <w:szCs w:val="24"/>
                    <w:lang w:eastAsia="lt-LT"/>
                  </w:rPr>
                </w:pPr>
                <w:r>
                  <w:rPr>
                    <w:rFonts w:eastAsia="Calibri"/>
                    <w:b/>
                    <w:szCs w:val="24"/>
                    <w:lang w:eastAsia="lt-LT"/>
                  </w:rPr>
                  <w:t xml:space="preserve">Tiesioginės užsienio investicijos apskrityse ir savivaldybėse  2021 m.</w:t>
                </w:r>
              </w:p>
              <w:p>
                <w:pPr>
                  <w:ind w:firstLine="567"/>
                  <w:jc w:val="both"/>
                  <w:rPr>
                    <w:rFonts w:eastAsia="Calibri"/>
                    <w:szCs w:val="24"/>
                    <w:lang w:eastAsia="lt-LT"/>
                  </w:rPr>
                </w:pPr>
                <w:r>
                  <w:rPr>
                    <w:rFonts w:eastAsia="Calibri"/>
                    <w:szCs w:val="24"/>
                    <w:lang w:eastAsia="lt-LT"/>
                  </w:rPr>
                  <w:t>Formuojant ir įgyvendinant savivaldybės investicijų politiką, pagrindinis tikslas yra gerinti regiono investicinę aplinką ir kurti efektyvią tiesioginių vidaus ir užsienio investicijų skatinimo sistemą.Visų pirma orientuotą į ilgalaikę šalies ūkio plėtrą, ekonomikos augimą ir visuomenės gerovės didinimą.</w:t>
                </w:r>
              </w:p>
              <w:p>
                <w:pPr>
                  <w:ind w:firstLine="567"/>
                  <w:jc w:val="both"/>
                  <w:rPr>
                    <w:rFonts w:eastAsia="Calibri"/>
                    <w:szCs w:val="24"/>
                    <w:lang w:eastAsia="lt-LT"/>
                  </w:rPr>
                </w:pPr>
                <w:r>
                  <w:rPr>
                    <w:rFonts w:eastAsia="Calibri"/>
                    <w:szCs w:val="24"/>
                    <w:lang w:eastAsia="lt-LT"/>
                  </w:rPr>
                  <w:t>Tiesioginės užsienio investicijos (toliau - TUI) pagal savo pobūdį iš esmės skiriasi nuo finansinių investicijų. TUI yra laikoma tokia investicija, kurios pagrindu susiformuoja ilgalaikiai ekonominiai finansiniai santykiai ir interesai tarp tiesioginio užsienio investuotojo ir tiesioginio – investavimo įmonės. Prie šių investicijų priskiriamas ne tik pirminis kapitalo investavimas, bet ir visos vėlesnės ekonominės operacijos tarp investuotojo ir įmonės (reinvesticijos, paskolos, prekybinės skolos, dividendai ir t.t.).</w:t>
                </w:r>
              </w:p>
              <w:p>
                <w:pPr>
                  <w:ind w:firstLine="567"/>
                  <w:jc w:val="both"/>
                  <w:rPr>
                    <w:rFonts w:eastAsia="Calibri"/>
                    <w:szCs w:val="24"/>
                    <w:lang w:eastAsia="lt-LT"/>
                  </w:rPr>
                </w:pPr>
                <w:r>
                  <w:rPr>
                    <w:rFonts w:eastAsia="Calibri"/>
                    <w:szCs w:val="24"/>
                    <w:lang w:eastAsia="lt-LT"/>
                  </w:rPr>
                  <w:t>2020 metų pabaigos duomenimis, TUI Lietuvos Respublikoje sudarė 23938,13 mln. Eur, kuomet 2019 m. pabaigoje – 20691,38 mln. Eur. Alytaus apskrityje atitinkamai 2020 m. pab. – TUI siekė 201,85 mln. Eur, o 2019 m. pab. – 178,59 mln. Eur. Remiantis Lietuvos statistikos departamento duomenimis galima teigti, kad TUI išsaugo 11,5 proc. (žr. 2 pav.).</w:t>
                </w:r>
              </w:p>
              <w:p>
                <w:pPr>
                  <w:jc w:val="both"/>
                  <w:rPr>
                    <w:rFonts w:eastAsia="Calibri"/>
                    <w:szCs w:val="24"/>
                    <w:lang w:eastAsia="lt-LT"/>
                  </w:rPr>
                </w:pPr>
                <w:r>
                  <w:rPr>
                    <w:lang w:eastAsia="lt-LT"/>
                  </w:rPr>
                  <w:drawing>
                    <wp:inline distT="0" distB="0" distL="0" distR="0">
                      <wp:extent cx="6344285" cy="5457825"/>
                      <wp:effectExtent l="0" t="0" r="18415" b="9525"/>
                      <wp:docPr id="152" name="Diagrama 152"/>
                      <wp:cNvGraphicFramePr/>
                      <a:graphic xmlns:a="http://schemas.openxmlformats.org/drawingml/2006/main">
                        <a:graphicData uri="http://schemas.openxmlformats.org/drawingml/2006/chart">
                          <c:chart xmlns:c="http://schemas.openxmlformats.org/drawingml/2006/chart" r:id="rId41"/>
                        </a:graphicData>
                      </a:graphic>
                    </wp:inline>
                  </w:drawing>
                </w:r>
              </w:p>
              <w:p>
                <w:pPr>
                  <w:rPr>
                    <w:sz w:val="10"/>
                    <w:szCs w:val="10"/>
                  </w:rPr>
                </w:pPr>
              </w:p>
              <w:p>
                <w:pPr>
                  <w:jc w:val="center"/>
                  <w:rPr>
                    <w:rFonts w:eastAsia="Calibri"/>
                    <w:szCs w:val="24"/>
                    <w:lang w:eastAsia="lt-LT"/>
                  </w:rPr>
                </w:pPr>
                <w:r>
                  <w:rPr>
                    <w:rFonts w:eastAsia="Calibri"/>
                    <w:b/>
                    <w:i/>
                    <w:szCs w:val="24"/>
                    <w:lang w:eastAsia="lt-LT"/>
                  </w:rPr>
                  <w:t>2 pav.</w:t>
                </w:r>
                <w:r>
                  <w:rPr>
                    <w:rFonts w:eastAsia="Calibri"/>
                    <w:szCs w:val="24"/>
                    <w:lang w:eastAsia="lt-LT"/>
                  </w:rPr>
                  <w:t xml:space="preserve"> Tiesioginių užsienio investicijų Lietuvos Respublikoje ir Alytaus apskrityje palyginimas</w:t>
                </w:r>
              </w:p>
              <w:p>
                <w:pPr>
                  <w:jc w:val="center"/>
                  <w:rPr>
                    <w:rFonts w:eastAsia="Calibri"/>
                    <w:szCs w:val="24"/>
                    <w:lang w:eastAsia="lt-LT"/>
                  </w:rPr>
                </w:pPr>
                <w:r>
                  <w:rPr>
                    <w:rFonts w:eastAsia="Calibri"/>
                    <w:sz w:val="20"/>
                    <w:szCs w:val="24"/>
                    <w:lang w:eastAsia="lt-LT"/>
                  </w:rPr>
                  <w:t>Šaltinis: Lietuvos statistikos departamentas, 2021</w:t>
                </w:r>
              </w:p>
              <w:p>
                <w:pPr>
                  <w:rPr>
                    <w:sz w:val="10"/>
                    <w:szCs w:val="10"/>
                  </w:rPr>
                </w:pPr>
              </w:p>
              <w:p>
                <w:pPr>
                  <w:ind w:firstLine="567"/>
                  <w:jc w:val="both"/>
                  <w:rPr>
                    <w:rFonts w:eastAsia="Calibri"/>
                    <w:szCs w:val="24"/>
                    <w:lang w:eastAsia="lt-LT"/>
                  </w:rPr>
                </w:pPr>
                <w:r>
                  <w:rPr>
                    <w:rFonts w:eastAsia="Calibri"/>
                    <w:szCs w:val="24"/>
                    <w:lang w:eastAsia="lt-LT"/>
                  </w:rPr>
                  <w:t xml:space="preserve">Lyginant TUI, tenkančias vienam gyventojui, galima teigti, kad TUI Alytaus apskrityje 2019 m. pabaigoje buvo 1332 Eur, o 2020 m. pabaigoje - 1524 Eur. Lietuvos Respublikoje atitinkamai šie skaičiai buvo 7405 Eur ir 8563 Eur. Galima teigti, kad TUI vienam gyventojui per 2019-2020 m. laikotarpį sparčiau didėjo Alytaus apskrityje. </w:t>
                </w:r>
              </w:p>
              <w:p>
                <w:pPr>
                  <w:ind w:firstLine="682"/>
                  <w:jc w:val="both"/>
                  <w:rPr>
                    <w:rFonts w:eastAsia="Calibri"/>
                    <w:szCs w:val="24"/>
                    <w:lang w:eastAsia="lt-LT"/>
                  </w:rPr>
                </w:pPr>
                <w:r>
                  <w:rPr>
                    <w:rFonts w:eastAsia="Calibri"/>
                    <w:szCs w:val="24"/>
                    <w:lang w:eastAsia="lt-LT"/>
                  </w:rPr>
                  <w:t xml:space="preserve">Tiesioginių užsienio investicijų kategorijai priskiriamos tokios tarptautinės investicijos, kurios vienam investuotojui nerezidentui (fiziniam ar juridiniam asmeniui) arba investuotojų nerezidentų grupei suteikia 10 ir daugiau procentų balso teisių. Mažesnė nei 10 procentų balso teisių užsienio investicija yra laikoma ne tiesiogine, o portfeline investicija. </w:t>
                </w:r>
              </w:p>
              <w:p>
                <w:pPr>
                  <w:tabs>
                    <w:tab w:val="left" w:pos="4620"/>
                  </w:tabs>
                  <w:ind w:firstLine="567"/>
                  <w:jc w:val="both"/>
                  <w:rPr>
                    <w:rFonts w:eastAsia="Calibri"/>
                    <w:szCs w:val="24"/>
                    <w:lang w:eastAsia="lt-LT"/>
                  </w:rPr>
                </w:pPr>
                <w:r>
                  <w:rPr>
                    <w:rFonts w:eastAsia="Calibri"/>
                    <w:b/>
                    <w:i/>
                    <w:szCs w:val="24"/>
                    <w:lang w:eastAsia="lt-LT"/>
                  </w:rPr>
                  <w:t>Veikiančių ūkio subjektų analizė.</w:t>
                </w:r>
                <w:r>
                  <w:rPr>
                    <w:rFonts w:eastAsia="Calibri"/>
                    <w:szCs w:val="24"/>
                    <w:lang w:eastAsia="lt-LT"/>
                  </w:rPr>
                  <w:t xml:space="preserve"> Alytaus rajone veiklą vykdo 595 ūkio subjektai, jų skaičius, palyginti su 2020 metais, padidėjo 17 ūkio subjektu. Didžiausią dalį veikiančių ūkio subjektų, pagal skirtingas teisines formas, sudaro uždarosios akcinės bendrovės, individualios įmonės, asociacijos. Mažiausiai pagal teisinę formą – bendrijos, tradicinės religinės bendruomenės ar bendrijos, kooperatinės bendrovės, šeimynos.</w:t>
                </w:r>
              </w:p>
              <w:p>
                <w:pPr>
                  <w:tabs>
                    <w:tab w:val="left" w:pos="4620"/>
                  </w:tabs>
                  <w:ind w:firstLine="567"/>
                  <w:jc w:val="both"/>
                  <w:rPr>
                    <w:rFonts w:eastAsia="Calibri"/>
                    <w:szCs w:val="24"/>
                    <w:lang w:eastAsia="lt-LT"/>
                  </w:rPr>
                </w:pPr>
              </w:p>
              <w:p>
                <w:pPr>
                  <w:tabs>
                    <w:tab w:val="left" w:pos="4620"/>
                  </w:tabs>
                  <w:jc w:val="center"/>
                  <w:rPr>
                    <w:rFonts w:eastAsia="Calibri"/>
                    <w:szCs w:val="24"/>
                    <w:lang w:eastAsia="lt-LT"/>
                  </w:rPr>
                </w:pPr>
                <w:r>
                  <w:rPr>
                    <w:lang w:eastAsia="lt-LT"/>
                  </w:rPr>
                  <w:drawing>
                    <wp:inline distT="0" distB="0" distL="0" distR="0">
                      <wp:extent cx="5591175" cy="3429000"/>
                      <wp:effectExtent l="0" t="0" r="9525" b="0"/>
                      <wp:docPr id="153" name="Diagrama 153"/>
                      <wp:cNvGraphicFramePr/>
                      <a:graphic xmlns:a="http://schemas.openxmlformats.org/drawingml/2006/main">
                        <a:graphicData uri="http://schemas.openxmlformats.org/drawingml/2006/chart">
                          <c:chart xmlns:c="http://schemas.openxmlformats.org/drawingml/2006/chart" r:id="rId42"/>
                        </a:graphicData>
                      </a:graphic>
                    </wp:inline>
                  </w:drawing>
                </w:r>
              </w:p>
              <w:p>
                <w:pPr>
                  <w:rPr>
                    <w:sz w:val="10"/>
                    <w:szCs w:val="10"/>
                  </w:rPr>
                </w:pPr>
              </w:p>
              <w:p>
                <w:pPr>
                  <w:tabs>
                    <w:tab w:val="left" w:pos="4620"/>
                  </w:tabs>
                  <w:ind w:firstLine="567"/>
                  <w:jc w:val="center"/>
                  <w:rPr>
                    <w:rFonts w:eastAsia="Calibri"/>
                    <w:szCs w:val="24"/>
                    <w:lang w:eastAsia="lt-LT"/>
                  </w:rPr>
                </w:pPr>
                <w:r>
                  <w:rPr>
                    <w:rFonts w:eastAsia="Calibri"/>
                    <w:b/>
                    <w:i/>
                    <w:szCs w:val="24"/>
                    <w:lang w:eastAsia="lt-LT"/>
                  </w:rPr>
                  <w:t>3 pav</w:t>
                </w:r>
                <w:r>
                  <w:rPr>
                    <w:rFonts w:eastAsia="Calibri"/>
                    <w:szCs w:val="24"/>
                    <w:lang w:eastAsia="lt-LT"/>
                  </w:rPr>
                  <w:t>. Veikiantys ūkio subjektai metų pradžioje</w:t>
                </w:r>
              </w:p>
              <w:p>
                <w:pPr>
                  <w:ind w:firstLine="709"/>
                  <w:jc w:val="center"/>
                  <w:rPr>
                    <w:rFonts w:eastAsia="Calibri"/>
                    <w:sz w:val="20"/>
                    <w:szCs w:val="24"/>
                    <w:lang w:eastAsia="lt-LT"/>
                  </w:rPr>
                </w:pPr>
                <w:r>
                  <w:rPr>
                    <w:rFonts w:eastAsia="Calibri"/>
                    <w:sz w:val="20"/>
                    <w:szCs w:val="24"/>
                    <w:lang w:eastAsia="lt-LT"/>
                  </w:rPr>
                  <w:t>Šaltinis: Lietuvos statistikos departamentas, 2021</w:t>
                </w:r>
              </w:p>
              <w:p>
                <w:pPr>
                  <w:rPr>
                    <w:sz w:val="10"/>
                    <w:szCs w:val="10"/>
                  </w:rPr>
                </w:pPr>
              </w:p>
              <w:p>
                <w:pPr>
                  <w:tabs>
                    <w:tab w:val="left" w:pos="4620"/>
                  </w:tabs>
                  <w:ind w:firstLine="567"/>
                  <w:jc w:val="both"/>
                  <w:rPr>
                    <w:rFonts w:eastAsia="Calibri"/>
                    <w:szCs w:val="24"/>
                    <w:lang w:eastAsia="lt-LT"/>
                  </w:rPr>
                </w:pPr>
                <w:r>
                  <w:rPr>
                    <w:rFonts w:eastAsia="Calibri"/>
                    <w:szCs w:val="24"/>
                    <w:lang w:eastAsia="lt-LT"/>
                  </w:rPr>
                  <w:t>Analizuojant verslo sektoriaus veiklos apimtis bei pasiskirstymą pagal ekonomines veiklos rūšis, pastebima, kad 2021 metų pradžioje, tarp savivaldybėje veikiančių įmonių, labiausiai išvystytas paslaugų sektorius (52 % visų veikiančių įmonių), sukuriantis daugiausia darbo vietų. Paslaugų sektoriuje didžiąją dalį veikiančių įmonių (291 įmonės iš 595 veikiančių) sudaro įmonės, užsiimančios didmenine ir mažmenine prekyba, transporto priemonių ir motociklų remontu (129 įmonės), transportavimu ir saugojimu (66 įmonės), menine, pramogine ir poilsio organizavimo veikla (21 įmonių), kita aptarnavimo veikla (75 įmonės). Savivaldybėje nemaža dalis įmonių yra užsienio kapitalo, tačiau produkcijai pagaminti yra naudojama vietiniai gamtos ištekliai. Alytaus rajono savivaldybės pramonės plėtrą atspindi baldų, durų ir langų, plastiko ir akmens gaminių, mėsos ir žuvies produktų gamyba.</w:t>
                </w:r>
              </w:p>
            </w:tc>
          </w:tr>
          <w:tr>
            <w:tc>
              <w:tcPr>
                <w:tcW w:w="5000" w:type="pct"/>
                <w:shd w:val="clear" w:color="auto" w:fill="auto"/>
              </w:tcPr>
              <w:p>
                <w:pPr>
                  <w:jc w:val="center"/>
                  <w:rPr>
                    <w:b/>
                    <w:sz w:val="28"/>
                    <w:szCs w:val="24"/>
                  </w:rPr>
                </w:pPr>
                <w:r>
                  <w:rPr>
                    <w:b/>
                    <w:sz w:val="28"/>
                    <w:szCs w:val="24"/>
                  </w:rPr>
                  <w:t>Socialiniai veiksniai</w:t>
                </w:r>
              </w:p>
              <w:p>
                <w:pPr>
                  <w:jc w:val="center"/>
                  <w:rPr>
                    <w:b/>
                    <w:szCs w:val="24"/>
                  </w:rPr>
                </w:pPr>
                <w:r>
                  <w:rPr>
                    <w:b/>
                    <w:szCs w:val="24"/>
                  </w:rPr>
                  <w:t>Demografinė padėtis</w:t>
                </w:r>
              </w:p>
              <w:p>
                <w:pPr>
                  <w:ind w:firstLine="567"/>
                  <w:jc w:val="both"/>
                  <w:rPr>
                    <w:b/>
                    <w:szCs w:val="24"/>
                  </w:rPr>
                </w:pPr>
                <w:r>
                  <w:rPr>
                    <w:szCs w:val="24"/>
                    <w:lang w:eastAsia="lt-LT"/>
                  </w:rPr>
                  <w:t xml:space="preserve">Žmonių socialinė aplinka – tai jų gyvenimo ir darbo sąlygos, pajamų lygis, išsilavinimas ir bendruomenės, kurioms jie priklauso. Visa tai labai veikia sveikatą. Dideli socialinės aplinkos Europoje skirtumai yra viena iš nevienodos sveikatos būklės priežasčių. Labai skiriasi turtingų ir neturtingų, gerai ir menkai išsilavinusių gyventojų, fizinį darbą dirbančių asmenų ir specialistų gyvenimo trukmė bei sergamumas. </w:t>
                </w:r>
              </w:p>
              <w:p>
                <w:pPr>
                  <w:ind w:firstLine="567"/>
                  <w:jc w:val="both"/>
                  <w:rPr>
                    <w:b/>
                    <w:szCs w:val="24"/>
                  </w:rPr>
                </w:pPr>
                <w:r>
                  <w:rPr>
                    <w:szCs w:val="24"/>
                    <w:lang w:eastAsia="lt-LT"/>
                  </w:rPr>
                  <w:t>Pagrindinės socialinės problemos – kvalifikuotos darbo jėgos emigracija ir jos trūkumas, darbingo amžiaus žmonių skaičiaus mažėjimas, didelė nedarbo lygio diferenciacija tarp skirtingų Lietuvos regionų.</w:t>
                </w:r>
              </w:p>
              <w:p>
                <w:pPr>
                  <w:ind w:firstLine="567"/>
                  <w:jc w:val="both"/>
                  <w:rPr>
                    <w:szCs w:val="24"/>
                  </w:rPr>
                </w:pPr>
                <w:r>
                  <w:rPr>
                    <w:szCs w:val="24"/>
                  </w:rPr>
                  <w:t>Problematinė sritis yra demografinė situacija, sąlygojama emigracijos ir visuomenės senėjimo. Pastaraisiais metais vis daugiau žmonių emigruoja į labiau išsivysčiusias šalis ir atsivėrusias darbo rinkas, siekdami užsitikrinti savo gerovę. Taip pat pastebimas reiškinys – „</w:t>
                </w:r>
                <w:r>
                  <w:rPr>
                    <w:bCs/>
                    <w:szCs w:val="24"/>
                  </w:rPr>
                  <w:t>Protų nutekėjimas“.</w:t>
                </w:r>
                <w:r>
                  <w:rPr>
                    <w:b/>
                    <w:bCs/>
                    <w:szCs w:val="24"/>
                  </w:rPr>
                  <w:t xml:space="preserve"> </w:t>
                </w:r>
                <w:r>
                  <w:rPr>
                    <w:bCs/>
                    <w:szCs w:val="24"/>
                  </w:rPr>
                  <w:t>Kiekvienais metais matomas vis didesnis lietuvių, norinčių ar besiruošiančių studijuoti ir dirbti svetur, skaičius.</w:t>
                </w:r>
                <w:r>
                  <w:rPr>
                    <w:b/>
                    <w:szCs w:val="24"/>
                  </w:rPr>
                  <w:t xml:space="preserve"> </w:t>
                </w:r>
              </w:p>
              <w:p>
                <w:pPr>
                  <w:ind w:left="181" w:firstLine="567"/>
                  <w:jc w:val="both"/>
                  <w:rPr>
                    <w:szCs w:val="24"/>
                  </w:rPr>
                </w:pPr>
                <w:r>
                  <w:rPr>
                    <w:szCs w:val="24"/>
                  </w:rPr>
                  <w:t xml:space="preserve">Remiantis 2021 m. Lietuvos statistikos departamento duomenimis, 2021 m. pradžioje Lietuvoje preliminariai gyveno 2 795 175 gyventojai. Gyventojų skaičius, mažėjęs kiekvienais metais, stabilizavosi ir net padidėjo 1 000 gyventojų, palyginus su praėjusiais metais. Tam įtakos turėjo Jungtinės Karalystės išstojimas iš Europos Sąjungojos ir COVID-19 pandemija. Iki šių metų gyventojų mažėdavo dėl įvairių veiksnių: neigiamo gyventojų gimstamumo, mirtingumo, emigracijos. </w:t>
                </w:r>
              </w:p>
              <w:p>
                <w:pPr>
                  <w:ind w:firstLine="62"/>
                  <w:jc w:val="both"/>
                  <w:rPr>
                    <w:szCs w:val="24"/>
                  </w:rPr>
                </w:pPr>
                <w:r>
                  <w:rPr>
                    <w:lang w:eastAsia="lt-LT"/>
                  </w:rPr>
                  <w:drawing>
                    <wp:inline distT="0" distB="0" distL="0" distR="0">
                      <wp:extent cx="6257925" cy="3600450"/>
                      <wp:effectExtent l="0" t="0" r="9525" b="0"/>
                      <wp:docPr id="154" name="Diagrama 154"/>
                      <wp:cNvGraphicFramePr/>
                      <a:graphic xmlns:a="http://schemas.openxmlformats.org/drawingml/2006/main">
                        <a:graphicData uri="http://schemas.openxmlformats.org/drawingml/2006/chart">
                          <c:chart xmlns:c="http://schemas.openxmlformats.org/drawingml/2006/chart" r:id="rId43"/>
                        </a:graphicData>
                      </a:graphic>
                    </wp:inline>
                  </w:drawing>
                </w:r>
              </w:p>
              <w:p>
                <w:pPr>
                  <w:rPr>
                    <w:sz w:val="10"/>
                    <w:szCs w:val="10"/>
                  </w:rPr>
                </w:pPr>
              </w:p>
              <w:p>
                <w:pPr>
                  <w:tabs>
                    <w:tab w:val="left" w:pos="3090"/>
                  </w:tabs>
                  <w:jc w:val="center"/>
                  <w:rPr>
                    <w:szCs w:val="24"/>
                  </w:rPr>
                </w:pPr>
                <w:r>
                  <w:rPr>
                    <w:b/>
                    <w:i/>
                    <w:szCs w:val="24"/>
                  </w:rPr>
                  <w:t>4 pav.</w:t>
                </w:r>
                <w:r>
                  <w:rPr>
                    <w:b/>
                    <w:szCs w:val="24"/>
                  </w:rPr>
                  <w:t xml:space="preserve"> </w:t>
                </w:r>
                <w:r>
                  <w:rPr>
                    <w:szCs w:val="24"/>
                  </w:rPr>
                  <w:t>Alytaus rajono gyventojų kaita 2011–2021 metais, metų pradžioje</w:t>
                </w:r>
              </w:p>
              <w:p>
                <w:pPr>
                  <w:tabs>
                    <w:tab w:val="left" w:pos="3090"/>
                  </w:tabs>
                  <w:jc w:val="center"/>
                  <w:rPr>
                    <w:szCs w:val="24"/>
                  </w:rPr>
                </w:pPr>
                <w:r>
                  <w:rPr>
                    <w:sz w:val="20"/>
                    <w:szCs w:val="24"/>
                  </w:rPr>
                  <w:t>Šaltinis: Lietuvos statistikos departamentas, 2021</w:t>
                </w:r>
              </w:p>
              <w:p>
                <w:pPr>
                  <w:rPr>
                    <w:sz w:val="10"/>
                    <w:szCs w:val="10"/>
                  </w:rPr>
                </w:pPr>
              </w:p>
              <w:p>
                <w:pPr>
                  <w:ind w:firstLine="567"/>
                  <w:jc w:val="both"/>
                  <w:rPr>
                    <w:szCs w:val="24"/>
                  </w:rPr>
                </w:pPr>
                <w:r>
                  <w:rPr>
                    <w:szCs w:val="24"/>
                  </w:rPr>
                  <w:t xml:space="preserve">Remiantis 4 pav., galima teigti, kad 2011-2021 metų laikotarpiu gyventojų skaičius mažėjo, tik 2019 m. buvo šiek tiek padidėjęs. 2021 m. pradžioje Alytaus rajone pagal Lietuvos statistikos departamento duomenis buvo 25837 gyventojai, o 2021 m. liepos 1 d. duomenimis buvo 25657. </w:t>
                </w:r>
              </w:p>
              <w:p>
                <w:pPr>
                  <w:ind w:firstLine="567"/>
                  <w:jc w:val="both"/>
                  <w:rPr>
                    <w:sz w:val="10"/>
                    <w:szCs w:val="24"/>
                  </w:rPr>
                </w:pPr>
              </w:p>
              <w:p>
                <w:pPr>
                  <w:ind w:firstLine="691"/>
                  <w:jc w:val="both"/>
                  <w:rPr>
                    <w:szCs w:val="24"/>
                  </w:rPr>
                </w:pPr>
                <w:r>
                  <w:rPr>
                    <w:lang w:eastAsia="lt-LT"/>
                  </w:rPr>
                  <w:drawing>
                    <wp:inline distT="0" distB="0" distL="0" distR="0">
                      <wp:extent cx="5343525" cy="3143250"/>
                      <wp:effectExtent l="0" t="0" r="9525" b="0"/>
                      <wp:docPr id="155" name="Diagrama 155"/>
                      <wp:cNvGraphicFramePr/>
                      <a:graphic xmlns:a="http://schemas.openxmlformats.org/drawingml/2006/main">
                        <a:graphicData uri="http://schemas.openxmlformats.org/drawingml/2006/chart">
                          <c:chart xmlns:c="http://schemas.openxmlformats.org/drawingml/2006/chart" r:id="rId44"/>
                        </a:graphicData>
                      </a:graphic>
                    </wp:inline>
                  </w:drawing>
                </w:r>
              </w:p>
              <w:p>
                <w:pPr>
                  <w:rPr>
                    <w:sz w:val="10"/>
                    <w:szCs w:val="10"/>
                  </w:rPr>
                </w:pPr>
              </w:p>
              <w:p>
                <w:pPr>
                  <w:jc w:val="center"/>
                  <w:rPr>
                    <w:szCs w:val="24"/>
                  </w:rPr>
                </w:pPr>
                <w:r>
                  <w:rPr>
                    <w:b/>
                    <w:i/>
                    <w:szCs w:val="24"/>
                  </w:rPr>
                  <w:t>5 pav.</w:t>
                </w:r>
                <w:r>
                  <w:rPr>
                    <w:i/>
                    <w:szCs w:val="24"/>
                  </w:rPr>
                  <w:t xml:space="preserve"> </w:t>
                </w:r>
                <w:r>
                  <w:rPr>
                    <w:szCs w:val="24"/>
                  </w:rPr>
                  <w:t>Gimusiųjų ir mirusiųjų kaita 2012–2020 metais</w:t>
                </w:r>
              </w:p>
              <w:p>
                <w:pPr>
                  <w:jc w:val="center"/>
                  <w:rPr>
                    <w:sz w:val="20"/>
                    <w:szCs w:val="24"/>
                  </w:rPr>
                </w:pPr>
                <w:r>
                  <w:rPr>
                    <w:sz w:val="20"/>
                    <w:szCs w:val="24"/>
                  </w:rPr>
                  <w:t>Šaltinis: Lietuvos statistikos departamentas, 2021</w:t>
                </w:r>
              </w:p>
              <w:p>
                <w:pPr>
                  <w:rPr>
                    <w:sz w:val="10"/>
                    <w:szCs w:val="10"/>
                  </w:rPr>
                </w:pPr>
              </w:p>
              <w:p>
                <w:pPr>
                  <w:ind w:left="34" w:firstLine="567"/>
                  <w:jc w:val="both"/>
                  <w:rPr>
                    <w:szCs w:val="24"/>
                  </w:rPr>
                </w:pPr>
                <w:r>
                  <w:rPr>
                    <w:b/>
                    <w:bCs/>
                    <w:szCs w:val="24"/>
                  </w:rPr>
                  <w:t>Gyventojų gimstamumas Lietuvoje</w:t>
                </w:r>
                <w:r>
                  <w:rPr>
                    <w:szCs w:val="24"/>
                  </w:rPr>
                  <w:t xml:space="preserve">, po truputį didėjęs 2005–2009 m., pastaraisiais metais stabilizavosi, o 2020 m. vėl sumažėjo. Natūrali gyventojų kaita Lietuvoje yra neigiama. 2020 m. suminis gimstamumo indeksas buvo 1,60 (2000 m. – 1,39, 2005 m. – 1,29, 2010 m. – 1,5, 2015 m. – 1,70). </w:t>
                </w:r>
              </w:p>
              <w:p>
                <w:pPr>
                  <w:ind w:left="34" w:firstLine="567"/>
                  <w:jc w:val="both"/>
                  <w:rPr>
                    <w:szCs w:val="24"/>
                  </w:rPr>
                </w:pPr>
                <w:r>
                  <w:rPr>
                    <w:szCs w:val="24"/>
                  </w:rPr>
                  <w:t>Per visą analizuojamą laikotarpį išliko neigiama natūrali gyventojų kaita, kadangi mirusiųjų gyventojų skaičius viršijo gimusiųjų skaičių. Mirusiųjų skaičius 2020 m. lyginant su 2012 metais sumažėjo 28 asmenimis (žr. 5</w:t>
                </w:r>
                <w:r>
                  <w:rPr>
                    <w:b/>
                    <w:szCs w:val="24"/>
                  </w:rPr>
                  <w:t xml:space="preserve"> </w:t>
                </w:r>
                <w:r>
                  <w:rPr>
                    <w:szCs w:val="24"/>
                  </w:rPr>
                  <w:t xml:space="preserve">pav.). Lyginant su praėjusiais metais mirusiųjų skaičius sumažėjo 20 asmenimis. Gimusių vaikų skaičius, lyginant 2019 m. ir 2020 m. sumažėjo 9 vaikais. </w:t>
                </w:r>
              </w:p>
              <w:p>
                <w:pPr>
                  <w:suppressAutoHyphens/>
                  <w:jc w:val="both"/>
                  <w:textAlignment w:val="baseline"/>
                  <w:rPr>
                    <w:b/>
                    <w:kern w:val="3"/>
                    <w:szCs w:val="24"/>
                  </w:rPr>
                </w:pPr>
              </w:p>
              <w:p>
                <w:pPr>
                  <w:suppressAutoHyphens/>
                  <w:jc w:val="center"/>
                  <w:textAlignment w:val="baseline"/>
                  <w:rPr>
                    <w:kern w:val="3"/>
                    <w:szCs w:val="24"/>
                  </w:rPr>
                </w:pPr>
                <w:r>
                  <w:rPr>
                    <w:b/>
                    <w:kern w:val="3"/>
                    <w:szCs w:val="24"/>
                  </w:rPr>
                  <w:t>Švietimas</w:t>
                </w:r>
              </w:p>
              <w:p>
                <w:pPr>
                  <w:suppressAutoHyphens/>
                  <w:ind w:firstLine="567"/>
                  <w:jc w:val="both"/>
                  <w:textAlignment w:val="baseline"/>
                  <w:rPr>
                    <w:kern w:val="3"/>
                  </w:rPr>
                </w:pPr>
                <w:r>
                  <w:rPr>
                    <w:kern w:val="3"/>
                    <w:szCs w:val="24"/>
                  </w:rPr>
                  <w:t>Švietimas – prioritetinė valstybės remiama sritis. Švietimo sistemos paslaugų apimtį ir įvairumą lemia ekonominių ir demografinių procesų kaita. Alytaus rajono savivaldybėje pastebimas vaikų mažėjimas, dėl šios priežasties mažėja ir švietimo įstaigų apkrovimas bei daugelis mokyklų dėl vaikų trūkumo, neišnaudoja savo potencialo ir tampa nuostolingos.</w:t>
                </w:r>
              </w:p>
              <w:p>
                <w:pPr>
                  <w:ind w:firstLine="567"/>
                  <w:jc w:val="both"/>
                  <w:rPr>
                    <w:szCs w:val="24"/>
                  </w:rPr>
                </w:pPr>
                <w:r>
                  <w:rPr>
                    <w:szCs w:val="24"/>
                  </w:rPr>
                  <w:t xml:space="preserve">Alytaus rajone veikia </w:t>
                </w:r>
                <w:r>
                  <w:rPr>
                    <w:bCs/>
                    <w:szCs w:val="24"/>
                  </w:rPr>
                  <w:t xml:space="preserve"> 6 gimnazijos (Krokialaukio Tomo Noraus-Naruševičiaus,</w:t>
                </w:r>
                <w:r>
                  <w:rPr>
                    <w:szCs w:val="24"/>
                  </w:rPr>
                  <w:t xml:space="preserve"> Simno, Butrimonių, Daugų Vlado Mirono, Miroslavo, Pivašiūnų</w:t>
                </w:r>
                <w:r>
                  <w:rPr>
                    <w:bCs/>
                    <w:szCs w:val="24"/>
                  </w:rPr>
                  <w:t xml:space="preserve">), </w:t>
                </w:r>
                <w:r>
                  <w:rPr>
                    <w:szCs w:val="24"/>
                  </w:rPr>
                  <w:t>2 pagrindinio ugdymo ir daugiafunkciai skyriai (Punios, Alovės), 1 specialioji mokykla (Simno specialioji mokykla), 1 neformaliojo ugdymo įstaiga (Meno ir sporto mokykla), 6 ikimokyklinio ugdymo skyriai (</w:t>
                </w:r>
                <w:r>
                  <w:rPr>
                    <w:rFonts w:eastAsia="Calibri"/>
                    <w:szCs w:val="24"/>
                    <w:lang w:eastAsia="lt-LT"/>
                  </w:rPr>
                  <w:t xml:space="preserve">Venciūnų, </w:t>
                </w:r>
                <w:r>
                  <w:rPr>
                    <w:bCs/>
                    <w:kern w:val="3"/>
                    <w:szCs w:val="24"/>
                  </w:rPr>
                  <w:t>Miroslavo, Butrimonių, Daugų, Simno, Makniūnų</w:t>
                </w:r>
                <w:r>
                  <w:rPr>
                    <w:rFonts w:eastAsia="Calibri"/>
                    <w:szCs w:val="24"/>
                    <w:lang w:eastAsia="lt-LT"/>
                  </w:rPr>
                  <w:t>)</w:t>
                </w:r>
                <w:r>
                  <w:rPr>
                    <w:szCs w:val="24"/>
                  </w:rPr>
                  <w:t>.</w:t>
                </w:r>
              </w:p>
              <w:p>
                <w:pPr>
                  <w:ind w:firstLine="567"/>
                  <w:jc w:val="both"/>
                  <w:rPr>
                    <w:sz w:val="8"/>
                    <w:szCs w:val="24"/>
                  </w:rPr>
                </w:pPr>
              </w:p>
              <w:p>
                <w:pPr>
                  <w:ind w:firstLine="310"/>
                  <w:jc w:val="both"/>
                  <w:rPr>
                    <w:szCs w:val="24"/>
                  </w:rPr>
                </w:pPr>
                <w:r>
                  <w:rPr>
                    <w:lang w:eastAsia="lt-LT"/>
                  </w:rPr>
                  <w:drawing>
                    <wp:inline distT="0" distB="0" distL="0" distR="0">
                      <wp:extent cx="6378575" cy="3029585"/>
                      <wp:effectExtent l="0" t="0" r="3175" b="18415"/>
                      <wp:docPr id="156" name="Diagrama 156"/>
                      <wp:cNvGraphicFramePr/>
                      <a:graphic xmlns:a="http://schemas.openxmlformats.org/drawingml/2006/main">
                        <a:graphicData uri="http://schemas.openxmlformats.org/drawingml/2006/chart">
                          <c:chart xmlns:c="http://schemas.openxmlformats.org/drawingml/2006/chart" r:id="rId45"/>
                        </a:graphicData>
                      </a:graphic>
                    </wp:inline>
                  </w:drawing>
                </w:r>
              </w:p>
              <w:p>
                <w:pPr>
                  <w:jc w:val="center"/>
                  <w:rPr>
                    <w:szCs w:val="24"/>
                  </w:rPr>
                </w:pPr>
                <w:r>
                  <w:rPr>
                    <w:b/>
                    <w:i/>
                    <w:szCs w:val="24"/>
                  </w:rPr>
                  <w:t>6 pav.</w:t>
                </w:r>
                <w:r>
                  <w:rPr>
                    <w:i/>
                    <w:szCs w:val="24"/>
                  </w:rPr>
                  <w:t xml:space="preserve"> </w:t>
                </w:r>
                <w:r>
                  <w:rPr>
                    <w:szCs w:val="24"/>
                  </w:rPr>
                  <w:t>Mokinių skaičiaus kaita 2012–2020 metais, rugsėjo 1 d.</w:t>
                </w:r>
              </w:p>
              <w:p>
                <w:pPr>
                  <w:spacing w:line="360" w:lineRule="auto"/>
                  <w:jc w:val="center"/>
                  <w:rPr>
                    <w:sz w:val="20"/>
                    <w:szCs w:val="24"/>
                  </w:rPr>
                </w:pPr>
                <w:r>
                  <w:rPr>
                    <w:sz w:val="20"/>
                    <w:szCs w:val="24"/>
                  </w:rPr>
                  <w:t>Šaltinis: Alytaus rajono savivaldybės administracija, 2022</w:t>
                </w:r>
              </w:p>
              <w:p>
                <w:pPr>
                  <w:suppressAutoHyphens/>
                  <w:ind w:firstLine="567"/>
                  <w:jc w:val="both"/>
                  <w:textAlignment w:val="baseline"/>
                  <w:rPr>
                    <w:kern w:val="3"/>
                  </w:rPr>
                </w:pPr>
                <w:r>
                  <w:rPr>
                    <w:kern w:val="3"/>
                    <w:szCs w:val="24"/>
                  </w:rPr>
                  <w:t>Kiekvienais metais iki 2020 m. rugsėjo mėn. rajono mokyklose mažėjo mokinių. Tačiau tikimasi, kad stabilizuojasi ir 2021 m. rugsėjo 1 d. bendrojo ugdymo mokyklose buvo 1373 mokiniai, 86 priešmokyklinio ugdymo ir 276 ikimokyklinio ugdymo vaikai (žr. 6 pav.). Įsteigus papildomas ikimokyklinio ugdymo grupes pagal ikimokyklinio ugdymo programą ugdomų vaikų skaičius nuo 2012 m. ugdomų 140 vaikų padidėjo iki 276 vaikų 2021 metais.</w:t>
                </w:r>
              </w:p>
              <w:p>
                <w:pPr>
                  <w:ind w:firstLine="558"/>
                  <w:jc w:val="both"/>
                  <w:rPr>
                    <w:lang w:val="en-GB"/>
                  </w:rPr>
                </w:pPr>
                <w:r>
                  <w:t xml:space="preserve">2021 m. Valstybinį lietuvių kalbos ir literatūros egzaminą laikiusių Alytaus rajono gimnazijų abiturientų rezultatai geresni nei pernai ir yra arti šalies vidurkio. Aukščiausiu 100 balų įvertintų abiturientų – yra ir Alytaus rajono abiturientų. Valstybinį lietuvių kalbos ir literatūros egzaminą laikė 44 rajono gimnazijų abiturientai. Aukščiausią 100 balų įvertinimą gavo trys Daugų Valdo Mirono gimnazijos abiturientai, keturi įvertinti nuo 86 iki 99 balų. </w:t>
                </w:r>
                <w:r>
                  <w:rPr>
                    <w:lang w:val="en-GB"/>
                  </w:rPr>
                  <w:t xml:space="preserve">Nuo 36 iki 85 balų gavo 38,64 proc. abiturientų, o nuo 16 iki 35 – 36,36 proc. Šiais metais valstybinio lietuvių kalbos ir literatūros egzamino bendras rezultatas geresnis nei pernai, neišlaikiusių procentas tik 0,45 didesnis už šalies vidurkį. Egzamino neišlaikė 4 rajono abiturientai, tai yra 9,09 proc., šalyje neišlaikė 1440 arba 8,64 proc. Daugiausiai egzaminą laikė ir geriausiai išlaikė Daugų gimnazijos abiturientai. Laikė 12, rezultato vidurkis 63,67 proc. Deja, šiais metais prasčiau sekėsi Simno gimnazijai – joje egzamino įvertinimo vidurkis 27,63 proc.,  2 iš 4 rajone jo neišlaikiusių yra šios gimnazijos mokiniai. Valstybinius egzaminus laikė 130 abiturientų (skaičiuojant su besimokančiais Daugų technologijų ir verslo mokykloje). Matematikos valstybinį brandos egzaminą rajone pasirinko laikyti 42 mokiniai, lietuvių kalbos ir literatūros – 44, anglų kalbos – 42, istorijos – 22, biologijos – 10, geografijos – 14, informacinių technologijų – 6, fizikos – 6, chemijos 2 abiturientai. Mokyklinius lietuvių kalbos ir literatūros egzaminus Alytaus rajone laikė 86 abiturientai, menų – 7, technologijų – 83. Aukščiausiais įvertinimais atskirus egzaminus išlaikė keturi rajono moksleiviai. Jiems ir dar vienam moksleiviui, pasiekusiam itin aukštus pasiekimus moksle, Daugų Vlado Mirono gimnazijos abiturientams Miglei Venckutei, Viktorijai Kilmanaitei, Karoliui Kilmoniui, Evelinai Baležentytei bei Simno gimnazijos abiturientui Mantui Vansauskui, skirtos savivaldybės premijos - po 290 eurų. Paskelbus brandos egzaminų rezultatus paaiškėjo, kad Alytaus rajono abiturientai valstybinius brandos egzaminus išlaikė gerai, Alytaus rajono savivaldybės mokinių laikytų egzaminų rezultatų vidurkis daugelyje dalykų panašus į šalies vidurkį. Alytaus rajono abiturientai geriausiai laikė lietuvių kalbos valstybinį egzaminą. Trijų abiturientų iš Daugų Vlado Mirono gimnazijos lietuvių kalbos žinios įvertintos 100 balų. 100 balų įvertinimą gavo ir viena šios gimnazijos abiturientė, laikydama anglų kalbos valstybinį egzaminą. Šį valstybinį brandos egzaminą išlaikė visi 42 jį pasirinkę mūsų rajono abiturientai. 80,95 proc. moksleivių už anglų kalbos egzaminą gavo įvertinimą gerai ir labai gerai. Geri ir istorijos egzamino rezultatai. Visi pasirinkusieji istorijos egzaminą jį išlaikė. Įvertinimų vidurkis – 47,09 balo, bendras šalies vidurkis – 48,83 balo. Gerai ir labai gerai istorijos egzaminą išlaikė 63,64 proc. rajono abiturientų. Taip pat visi Alytaus rajono abiturientai išlaikė valstybinius biologijos, chemijos, geografijos, fizikos egzaminus. </w:t>
                </w:r>
              </w:p>
              <w:p>
                <w:pPr>
                  <w:jc w:val="both"/>
                  <w:rPr>
                    <w:lang w:val="en-GB"/>
                  </w:rPr>
                </w:pPr>
                <w:r>
                  <w:rPr>
                    <w:lang w:val="en-GB"/>
                  </w:rPr>
                  <w:t>Sunkiausia, kaip ir visoje Lietuvoje, įveikiamas buvo matematikos egzaminas. Alytaus rajone jo neišlaikė 19,05 proc. pasirinkusiųjų, Lietuvoje – 15,22 proc. Ne visiems sėkmingas buvo informacinių technologijų valstybinis egzaminas. Jo neišlaikė 1 iš 6 laikiusiųjų. Visgi, vienas Simno gimnazijos abiturientas buvo įvertintas 100 balų.</w:t>
                </w:r>
              </w:p>
              <w:p>
                <w:pPr>
                  <w:ind w:firstLine="620"/>
                  <w:jc w:val="both"/>
                  <w:rPr>
                    <w:lang w:val="en-GB"/>
                  </w:rPr>
                </w:pPr>
                <w:r>
                  <w:rPr>
                    <w:lang w:val="en-GB"/>
                  </w:rPr>
                  <w:t xml:space="preserve">2021 m. rajone vidurinį išsilavinimą įgijo 83 abiturientai, besimokantys Alytaus rajono gimnazijose. Iš jų 25 įstojo į universitetus ir 9 į kolegijas. Iš viso į aukštąsias mokyklas įstojo 41% abiturientų, 21 abiturientas arba 25% įstojo į profesines mokyklas. 2021 m. likę abiturientai arba 34% pasirinko tarnybą kariuomenėje arba pradėjo dirbti. </w:t>
                </w:r>
              </w:p>
              <w:p>
                <w:pPr>
                  <w:ind w:firstLine="620"/>
                  <w:jc w:val="both"/>
                  <w:rPr>
                    <w:lang w:val="en-GB"/>
                  </w:rPr>
                </w:pPr>
                <w:r>
                  <w:rPr>
                    <w:lang w:val="en-GB"/>
                  </w:rPr>
                  <w:t>2021 m. rajone pagrindinį išsilavinimą įgijo 121 dešimtokas.</w:t>
                </w:r>
              </w:p>
              <w:p>
                <w:pPr>
                  <w:widowControl w:val="0"/>
                  <w:suppressAutoHyphens/>
                  <w:ind w:firstLine="567"/>
                  <w:jc w:val="both"/>
                  <w:textAlignment w:val="baseline"/>
                  <w:rPr>
                    <w:lang w:val="en-GB"/>
                  </w:rPr>
                </w:pPr>
              </w:p>
              <w:p>
                <w:pPr>
                  <w:jc w:val="both"/>
                  <w:rPr>
                    <w:b/>
                  </w:rPr>
                </w:pPr>
              </w:p>
              <w:p>
                <w:pPr>
                  <w:jc w:val="center"/>
                  <w:rPr>
                    <w:b/>
                  </w:rPr>
                </w:pPr>
                <w:r>
                  <w:rPr>
                    <w:b/>
                  </w:rPr>
                  <w:t>Užimtumas</w:t>
                </w:r>
              </w:p>
              <w:p>
                <w:pPr>
                  <w:jc w:val="center"/>
                  <w:rPr>
                    <w:b/>
                  </w:rPr>
                </w:pPr>
              </w:p>
              <w:p>
                <w:pPr>
                  <w:ind w:firstLine="558"/>
                  <w:jc w:val="both"/>
                  <w:textAlignment w:val="baseline"/>
                  <w:rPr>
                    <w:rFonts w:eastAsia="Calibri"/>
                    <w:lang w:eastAsia="lt-LT"/>
                  </w:rPr>
                </w:pPr>
                <w:r>
                  <w:rPr>
                    <w:rFonts w:eastAsia="Calibri"/>
                    <w:lang w:eastAsia="lt-LT"/>
                  </w:rPr>
                  <w:t xml:space="preserve">Darbo biržos nuo 2018 m. spalio 1 d. tapo viena įstaiga – Užimtumo tarnyba prie Lietuvos Respublikos socialinės apsaugos ir darbo ministerijos. </w:t>
                </w:r>
              </w:p>
              <w:p>
                <w:pPr>
                  <w:rPr>
                    <w:sz w:val="26"/>
                    <w:szCs w:val="26"/>
                  </w:rPr>
                </w:pPr>
              </w:p>
              <w:p>
                <w:pPr>
                  <w:ind w:firstLine="496"/>
                  <w:jc w:val="both"/>
                  <w:textAlignment w:val="baseline"/>
                  <w:rPr>
                    <w:rFonts w:eastAsia="Calibri"/>
                    <w:lang w:eastAsia="lt-LT"/>
                  </w:rPr>
                </w:pPr>
                <w:r>
                  <w:rPr>
                    <w:rFonts w:eastAsia="Calibri"/>
                    <w:lang w:eastAsia="lt-LT"/>
                  </w:rPr>
                  <w:t>Gruodžio 1 d. šalyje buvo registruota 175,9 tūkst. darbo neturinčių asmenų – 7,3 proc. arba 13,8 tūkst. mažiau negu prieš mėnesį. Palyginti su 2020 m. gruodžio 1 d. bedarbių skaičius mažėjo 34 proc. arba 90,7 tūkst. Registruotas nedarbas šalyje lapkritį mažėjo 0,8 proc. punkto ir gruodžio 1 d. buvo 10,1 proc. Palyginti su praėjusių metų gruodžio 1 d. registruotas nedarbas sumažėjo 5,4 proc. punkto. Lapkričio mėnesį registruoto nedarbo rodikliai mažėjo beveik visose šalies savivaldybėse, išskyrus Neringą, kur augo 0,3 proc. punkto, Pakruojį (+0,2 proc. punkto) ir Raseinius (nepakito). Didžiausias mažėjimas fiksuotas Biržų (1,5 proc. punkto) ir Panevėžio miesto bei rajono (po 1,2 proc. punkto) savivaldybėse. Lapkričio mėnesį darbo ieškantys asmenys galėjo rinktis  iš 51,6 tūkst. laisvų darbo vietų – 8,1 proc. mažiau nei spalį. Lapkričio pabaigoje registruotų laisvų darbo vietų buvo 17,1 tūkst. Daugiausia darbo pasiūlymų per lapkritį buvo registruota sunkiasvorių sunkvežimių ir krovinių transporto priemonių vairuotojams, krovikams, biurų, viešbučių ir kitų įstaigų valytojams, kambarinėms ir pagalbininkams, parduotuvių pardavėjams, nekvalifikuotiems apdirbimo pramonės darbininkams, virėjams, pakuotojams, lengvųjų automobilių, taksi ir furgonų vairuotojams, kepėjams ir konditeriams, statybininkams montuotojams. Užimtumas lapkritį suteiktas 30,6 tūkst. darbo ieškančių asmenų, tai yra 9,5 proc. mažiau nei spalį. 18,5 tūkst. suteiktos tarpininkavimo įdarbinant paslaugos – 9,1 proc. mažiau nei spalį. 2,6 tūkst. – pradėjo dalyvauti aktyvios darbo rinkos politikos priemonėse. Po 1,1 tūkst. darbo neturinčių asmenų suteikta pagalba per remiamojo įdarbinimo arba paramos mokymuisi priemones. 9,5 tūkst. – pradėjo savarankišką veiklą įsigiję verslo liudijimus, spalį savarankišką veiklą pagal verslo liudijimus pradėjo 10,5 tūkst. Lapkritį į Užimtumo tarnybos klientų aptarnavimo skyrius kreipėsi 21,6 tūkst. darbo neturinčių asmenų, tai yra 1,4 tūkst. arba 6,2 proc. mažiau nei spalį. Palyginti su 2020 m. lapkričiu darbo neturinčių asmenų registravosi 15,2 proc. mažiau.</w:t>
                </w:r>
              </w:p>
              <w:p>
                <w:pPr>
                  <w:rPr>
                    <w:sz w:val="26"/>
                    <w:szCs w:val="26"/>
                  </w:rPr>
                </w:pPr>
              </w:p>
              <w:p>
                <w:pPr>
                  <w:ind w:firstLine="558"/>
                  <w:jc w:val="both"/>
                  <w:textAlignment w:val="baseline"/>
                  <w:rPr>
                    <w:rFonts w:eastAsia="Calibri"/>
                    <w:lang w:eastAsia="lt-LT"/>
                  </w:rPr>
                </w:pPr>
                <w:r>
                  <w:rPr>
                    <w:rFonts w:eastAsia="Calibri"/>
                    <w:lang w:eastAsia="lt-LT"/>
                  </w:rPr>
                  <w:t>Statistikos departamento duomenimis nedarbo lygis šalyje, išaugęs per ekonominę krizę, kasmet mažėjo, tačiau pandemija COVID-19 lėmė nedarbo lygio pakilimą. 2020 metais jis buvo apie 8,5 proc. Atitinkamai kasmet didėja užimtumo lygis, paskutiniais metais nukritęs tik per 0,5 proc.</w:t>
                </w:r>
              </w:p>
              <w:p>
                <w:pPr>
                  <w:rPr>
                    <w:sz w:val="26"/>
                    <w:szCs w:val="26"/>
                  </w:rPr>
                </w:pPr>
              </w:p>
              <w:p>
                <w:pPr>
                  <w:ind w:firstLine="434"/>
                  <w:jc w:val="both"/>
                  <w:textAlignment w:val="baseline"/>
                  <w:rPr>
                    <w:rFonts w:eastAsia="Calibri"/>
                    <w:sz w:val="10"/>
                    <w:szCs w:val="24"/>
                    <w:lang w:eastAsia="lt-LT"/>
                  </w:rPr>
                </w:pPr>
              </w:p>
            </w:tc>
          </w:tr>
          <w:tr>
            <w:tc>
              <w:tcPr>
                <w:tcW w:w="4974" w:type="pct"/>
                <w:shd w:val="clear" w:color="auto" w:fill="auto"/>
              </w:tcPr>
              <w:p>
                <w:pPr>
                  <w:spacing w:line="360" w:lineRule="auto"/>
                  <w:rPr>
                    <w:b/>
                    <w:bCs/>
                    <w:i/>
                    <w:szCs w:val="24"/>
                  </w:rPr>
                </w:pPr>
                <w:r>
                  <w:rPr>
                    <w:lang w:eastAsia="lt-LT"/>
                  </w:rPr>
                  <w:drawing>
                    <wp:inline distT="0" distB="0" distL="0" distR="0">
                      <wp:extent cx="6096000" cy="2819400"/>
                      <wp:effectExtent l="0" t="0" r="0" b="0"/>
                      <wp:docPr id="157" name="Diagrama 157"/>
                      <wp:cNvGraphicFramePr/>
                      <a:graphic xmlns:a="http://schemas.openxmlformats.org/drawingml/2006/main">
                        <a:graphicData uri="http://schemas.openxmlformats.org/drawingml/2006/chart">
                          <c:chart xmlns:c="http://schemas.openxmlformats.org/drawingml/2006/chart" r:id="rId46"/>
                        </a:graphicData>
                      </a:graphic>
                    </wp:inline>
                  </w:drawing>
                </w:r>
              </w:p>
              <w:p>
                <w:pPr>
                  <w:jc w:val="center"/>
                  <w:rPr>
                    <w:bCs/>
                    <w:szCs w:val="24"/>
                  </w:rPr>
                </w:pPr>
                <w:r>
                  <w:rPr>
                    <w:b/>
                    <w:bCs/>
                    <w:i/>
                    <w:szCs w:val="24"/>
                  </w:rPr>
                  <w:t>7 pav.</w:t>
                </w:r>
                <w:r>
                  <w:rPr>
                    <w:b/>
                    <w:bCs/>
                    <w:szCs w:val="24"/>
                  </w:rPr>
                  <w:t xml:space="preserve"> </w:t>
                </w:r>
                <w:r>
                  <w:rPr>
                    <w:bCs/>
                    <w:szCs w:val="24"/>
                  </w:rPr>
                  <w:t>Registruotų bedarbių ir darbingo amžiaus gyventojų santykis 2012–2020 metais, proc.</w:t>
                </w:r>
              </w:p>
              <w:p>
                <w:pPr>
                  <w:jc w:val="center"/>
                  <w:rPr>
                    <w:sz w:val="20"/>
                    <w:szCs w:val="24"/>
                  </w:rPr>
                </w:pPr>
                <w:r>
                  <w:rPr>
                    <w:sz w:val="20"/>
                    <w:szCs w:val="24"/>
                  </w:rPr>
                  <w:t>Šaltinis: Lietuvos statistikos departamentas, 2021</w:t>
                </w:r>
              </w:p>
              <w:p>
                <w:pPr>
                  <w:rPr>
                    <w:sz w:val="10"/>
                    <w:szCs w:val="10"/>
                  </w:rPr>
                </w:pPr>
              </w:p>
              <w:p>
                <w:pPr>
                  <w:ind w:firstLine="567"/>
                  <w:jc w:val="both"/>
                  <w:rPr>
                    <w:rFonts w:eastAsia="Calibri"/>
                    <w:bCs/>
                    <w:szCs w:val="24"/>
                    <w:lang w:eastAsia="lt-LT"/>
                  </w:rPr>
                </w:pPr>
                <w:r>
                  <w:rPr>
                    <w:rFonts w:eastAsia="Calibri"/>
                    <w:szCs w:val="24"/>
                    <w:lang w:eastAsia="lt-LT"/>
                  </w:rPr>
                  <w:t xml:space="preserve">Nedarbo lygis – tai bedarbių ir darbingo amžiaus gyventojų santykis. Alytaus rajone 2020 metais nedarbas sudarė </w:t>
                </w:r>
                <w:r>
                  <w:rPr>
                    <w:rFonts w:eastAsia="Calibri"/>
                    <w:bCs/>
                    <w:szCs w:val="24"/>
                    <w:lang w:eastAsia="lt-LT"/>
                  </w:rPr>
                  <w:t>13,8 procento, kai šalies vidurkis –  12,6 procento. Didelę įtaką padarė visame pasaulyje susiklosčius padėčiai. Pandemija sukėlė pasaulinę ekonominę krizę.</w:t>
                </w:r>
              </w:p>
              <w:p>
                <w:pPr>
                  <w:ind w:firstLine="567"/>
                  <w:jc w:val="both"/>
                  <w:rPr>
                    <w:rFonts w:eastAsia="Calibri"/>
                    <w:szCs w:val="24"/>
                    <w:lang w:eastAsia="lt-LT"/>
                  </w:rPr>
                </w:pPr>
                <w:r>
                  <w:rPr>
                    <w:rFonts w:eastAsia="Calibri"/>
                    <w:bCs/>
                    <w:szCs w:val="24"/>
                    <w:lang w:eastAsia="lt-LT"/>
                  </w:rPr>
                  <w:t>A</w:t>
                </w:r>
                <w:r>
                  <w:rPr>
                    <w:rFonts w:eastAsia="Calibri"/>
                    <w:szCs w:val="24"/>
                    <w:lang w:eastAsia="lt-LT"/>
                  </w:rPr>
                  <w:t xml:space="preserve">lytaus rajono savivaldybė yra žiedinė savivaldybė, o situaciją jos darbo rinkoje stipriai įtakoja tendencijos Alytaus miesto ūkyje ir darbo rinkoje. Bankrutavus stambiosioms Alytaus miesto pramonės įmonėms, kur dirbo nemaža dalis rajono gyventojų, jie neteko darbo.  </w:t>
                </w: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Cs w:val="24"/>
                  </w:rPr>
                </w:pPr>
                <w:r>
                  <w:rPr>
                    <w:sz w:val="36"/>
                    <w:szCs w:val="36"/>
                  </w:rPr>
                  <w:t>Alytaus rajono savivaldybė</w:t>
                </w:r>
              </w:p>
              <w:p>
                <w:pPr>
                  <w:ind w:firstLine="964"/>
                  <w:jc w:val="both"/>
                  <w:rPr>
                    <w:lang w:eastAsia="lt-LT"/>
                  </w:rPr>
                </w:pPr>
                <w:r>
                  <w:rPr>
                    <w:lang w:eastAsia="lt-LT"/>
                  </w:rPr>
                  <w:drawing>
                    <wp:inline distT="0" distB="0" distL="0" distR="0">
                      <wp:extent cx="4905375" cy="2962275"/>
                      <wp:effectExtent l="0" t="0" r="9525" b="9525"/>
                      <wp:docPr id="158" name="Paveikslėlis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905375" cy="2962275"/>
                              </a:xfrm>
                              <a:prstGeom prst="rect">
                                <a:avLst/>
                              </a:prstGeom>
                              <a:noFill/>
                              <a:ln>
                                <a:noFill/>
                              </a:ln>
                            </pic:spPr>
                          </pic:pic>
                        </a:graphicData>
                      </a:graphic>
                    </wp:inline>
                  </w:drawing>
                </w:r>
              </w:p>
              <w:p>
                <w:pPr>
                  <w:rPr>
                    <w:sz w:val="10"/>
                    <w:szCs w:val="10"/>
                  </w:rPr>
                </w:pPr>
              </w:p>
              <w:p>
                <w:pPr>
                  <w:ind w:firstLine="34"/>
                  <w:jc w:val="both"/>
                </w:pPr>
                <w:r>
                  <w:rPr>
                    <w:b/>
                    <w:i/>
                    <w:lang w:eastAsia="lt-LT"/>
                  </w:rPr>
                  <w:t>2 lentelė</w:t>
                </w:r>
                <w:r>
                  <w:rPr>
                    <w:lang w:eastAsia="lt-LT"/>
                  </w:rPr>
                  <w:t xml:space="preserve">. Užimtumo tarnybos statistinė informacija Alytaus rajono savivaldybėje </w:t>
                </w:r>
              </w:p>
              <w:p>
                <w:pPr>
                  <w:rPr>
                    <w:sz w:val="10"/>
                    <w:szCs w:val="10"/>
                  </w:rPr>
                </w:pPr>
              </w:p>
              <w:tbl>
                <w:tblPr>
                  <w:tblW w:w="10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8"/>
                  <w:gridCol w:w="1283"/>
                  <w:gridCol w:w="1223"/>
                  <w:gridCol w:w="2496"/>
                  <w:gridCol w:w="1469"/>
                  <w:gridCol w:w="1468"/>
                </w:tblGrid>
                <w:tr>
                  <w:trPr>
                    <w:trHeight w:val="448"/>
                  </w:trPr>
                  <w:tc>
                    <w:tcPr>
                      <w:tcW w:w="2078" w:type="dxa"/>
                      <w:shd w:val="clear" w:color="auto" w:fill="auto"/>
                      <w:vAlign w:val="center"/>
                    </w:tcPr>
                    <w:p>
                      <w:pPr>
                        <w:jc w:val="center"/>
                        <w:rPr>
                          <w:b/>
                          <w:i/>
                        </w:rPr>
                      </w:pPr>
                      <w:r>
                        <w:rPr>
                          <w:b/>
                          <w:i/>
                        </w:rPr>
                        <w:t>Per mėnesį</w:t>
                      </w:r>
                    </w:p>
                  </w:tc>
                  <w:tc>
                    <w:tcPr>
                      <w:tcW w:w="2506" w:type="dxa"/>
                      <w:gridSpan w:val="2"/>
                      <w:shd w:val="clear" w:color="auto" w:fill="auto"/>
                      <w:vAlign w:val="center"/>
                    </w:tcPr>
                    <w:p>
                      <w:pPr>
                        <w:jc w:val="center"/>
                        <w:rPr>
                          <w:b/>
                          <w:i/>
                        </w:rPr>
                      </w:pPr>
                      <w:r>
                        <w:rPr>
                          <w:b/>
                          <w:i/>
                        </w:rPr>
                        <w:t>Skaičius, vnt.</w:t>
                      </w:r>
                    </w:p>
                  </w:tc>
                  <w:tc>
                    <w:tcPr>
                      <w:tcW w:w="2496" w:type="dxa"/>
                      <w:shd w:val="clear" w:color="auto" w:fill="auto"/>
                    </w:tcPr>
                    <w:p>
                      <w:pPr>
                        <w:jc w:val="both"/>
                        <w:rPr>
                          <w:b/>
                          <w:i/>
                        </w:rPr>
                      </w:pPr>
                    </w:p>
                  </w:tc>
                  <w:tc>
                    <w:tcPr>
                      <w:tcW w:w="2937" w:type="dxa"/>
                      <w:gridSpan w:val="2"/>
                      <w:vAlign w:val="center"/>
                    </w:tcPr>
                    <w:p>
                      <w:pPr>
                        <w:jc w:val="center"/>
                        <w:rPr>
                          <w:b/>
                          <w:i/>
                        </w:rPr>
                      </w:pPr>
                      <w:r>
                        <w:rPr>
                          <w:b/>
                          <w:i/>
                        </w:rPr>
                        <w:t>Skaičius, vnt.</w:t>
                      </w:r>
                    </w:p>
                  </w:tc>
                </w:tr>
                <w:tr>
                  <w:trPr>
                    <w:trHeight w:val="448"/>
                  </w:trPr>
                  <w:tc>
                    <w:tcPr>
                      <w:tcW w:w="2078" w:type="dxa"/>
                      <w:shd w:val="clear" w:color="auto" w:fill="auto"/>
                    </w:tcPr>
                    <w:p>
                      <w:pPr>
                        <w:jc w:val="center"/>
                      </w:pPr>
                    </w:p>
                  </w:tc>
                  <w:tc>
                    <w:tcPr>
                      <w:tcW w:w="1283" w:type="dxa"/>
                      <w:shd w:val="clear" w:color="auto" w:fill="auto"/>
                    </w:tcPr>
                    <w:p>
                      <w:pPr>
                        <w:jc w:val="center"/>
                      </w:pPr>
                      <w:r>
                        <w:t>Per 2020 m.</w:t>
                      </w:r>
                    </w:p>
                  </w:tc>
                  <w:tc>
                    <w:tcPr>
                      <w:tcW w:w="1223" w:type="dxa"/>
                    </w:tcPr>
                    <w:p>
                      <w:pPr>
                        <w:jc w:val="center"/>
                      </w:pPr>
                      <w:r>
                        <w:t>Per 2021 m.</w:t>
                      </w:r>
                    </w:p>
                  </w:tc>
                  <w:tc>
                    <w:tcPr>
                      <w:tcW w:w="2496" w:type="dxa"/>
                      <w:shd w:val="clear" w:color="auto" w:fill="auto"/>
                    </w:tcPr>
                    <w:p>
                      <w:pPr>
                        <w:jc w:val="center"/>
                      </w:pPr>
                    </w:p>
                  </w:tc>
                  <w:tc>
                    <w:tcPr>
                      <w:tcW w:w="1469" w:type="dxa"/>
                    </w:tcPr>
                    <w:p>
                      <w:pPr>
                        <w:jc w:val="center"/>
                      </w:pPr>
                      <w:r>
                        <w:rPr>
                          <w:i/>
                        </w:rPr>
                        <w:t>2021-01-01</w:t>
                      </w:r>
                    </w:p>
                  </w:tc>
                  <w:tc>
                    <w:tcPr>
                      <w:tcW w:w="1468" w:type="dxa"/>
                      <w:shd w:val="clear" w:color="auto" w:fill="auto"/>
                    </w:tcPr>
                    <w:p>
                      <w:pPr>
                        <w:jc w:val="center"/>
                      </w:pPr>
                      <w:r>
                        <w:rPr>
                          <w:i/>
                        </w:rPr>
                        <w:t>2021-04-01</w:t>
                      </w:r>
                    </w:p>
                  </w:tc>
                </w:tr>
                <w:tr>
                  <w:trPr>
                    <w:trHeight w:val="448"/>
                  </w:trPr>
                  <w:tc>
                    <w:tcPr>
                      <w:tcW w:w="2078" w:type="dxa"/>
                      <w:shd w:val="clear" w:color="auto" w:fill="auto"/>
                      <w:vAlign w:val="center"/>
                    </w:tcPr>
                    <w:p>
                      <w:pPr/>
                      <w:r>
                        <w:t>Įregistruota darbo ieškančių</w:t>
                      </w:r>
                    </w:p>
                  </w:tc>
                  <w:tc>
                    <w:tcPr>
                      <w:tcW w:w="1283" w:type="dxa"/>
                      <w:shd w:val="clear" w:color="auto" w:fill="auto"/>
                      <w:vAlign w:val="center"/>
                    </w:tcPr>
                    <w:p>
                      <w:pPr>
                        <w:jc w:val="center"/>
                      </w:pPr>
                      <w:r>
                        <w:t>467</w:t>
                      </w:r>
                    </w:p>
                  </w:tc>
                  <w:tc>
                    <w:tcPr>
                      <w:tcW w:w="1223" w:type="dxa"/>
                      <w:vAlign w:val="center"/>
                    </w:tcPr>
                    <w:p>
                      <w:pPr>
                        <w:jc w:val="center"/>
                      </w:pPr>
                      <w:r>
                        <w:t>2423</w:t>
                      </w:r>
                    </w:p>
                  </w:tc>
                  <w:tc>
                    <w:tcPr>
                      <w:tcW w:w="2496" w:type="dxa"/>
                      <w:shd w:val="clear" w:color="auto" w:fill="auto"/>
                      <w:vAlign w:val="center"/>
                    </w:tcPr>
                    <w:p>
                      <w:pPr/>
                      <w:r>
                        <w:t>Darbo ieškančių</w:t>
                      </w:r>
                    </w:p>
                  </w:tc>
                  <w:tc>
                    <w:tcPr>
                      <w:tcW w:w="1469" w:type="dxa"/>
                      <w:vAlign w:val="center"/>
                    </w:tcPr>
                    <w:p>
                      <w:pPr>
                        <w:jc w:val="center"/>
                      </w:pPr>
                      <w:r>
                        <w:t>4617</w:t>
                      </w:r>
                    </w:p>
                  </w:tc>
                  <w:tc>
                    <w:tcPr>
                      <w:tcW w:w="1468" w:type="dxa"/>
                      <w:shd w:val="clear" w:color="auto" w:fill="auto"/>
                      <w:vAlign w:val="center"/>
                    </w:tcPr>
                    <w:p>
                      <w:pPr>
                        <w:jc w:val="center"/>
                      </w:pPr>
                      <w:r>
                        <w:t>39184</w:t>
                      </w:r>
                    </w:p>
                  </w:tc>
                </w:tr>
                <w:tr>
                  <w:trPr>
                    <w:trHeight w:val="448"/>
                  </w:trPr>
                  <w:tc>
                    <w:tcPr>
                      <w:tcW w:w="2078" w:type="dxa"/>
                      <w:shd w:val="clear" w:color="auto" w:fill="auto"/>
                      <w:vAlign w:val="center"/>
                    </w:tcPr>
                    <w:p>
                      <w:pPr/>
                      <w:r>
                        <w:t>Registruota bedarbių</w:t>
                      </w:r>
                    </w:p>
                  </w:tc>
                  <w:tc>
                    <w:tcPr>
                      <w:tcW w:w="1283" w:type="dxa"/>
                      <w:shd w:val="clear" w:color="auto" w:fill="auto"/>
                      <w:vAlign w:val="center"/>
                    </w:tcPr>
                    <w:p>
                      <w:pPr>
                        <w:jc w:val="center"/>
                      </w:pPr>
                      <w:r>
                        <w:t>197</w:t>
                      </w:r>
                    </w:p>
                  </w:tc>
                  <w:tc>
                    <w:tcPr>
                      <w:tcW w:w="1223" w:type="dxa"/>
                      <w:vAlign w:val="center"/>
                    </w:tcPr>
                    <w:p>
                      <w:pPr>
                        <w:jc w:val="center"/>
                      </w:pPr>
                      <w:r>
                        <w:t>911</w:t>
                      </w:r>
                    </w:p>
                  </w:tc>
                  <w:tc>
                    <w:tcPr>
                      <w:tcW w:w="2496" w:type="dxa"/>
                      <w:shd w:val="clear" w:color="auto" w:fill="auto"/>
                      <w:vAlign w:val="center"/>
                    </w:tcPr>
                    <w:p>
                      <w:pPr/>
                      <w:r>
                        <w:t>Bedarbių</w:t>
                      </w:r>
                    </w:p>
                  </w:tc>
                  <w:tc>
                    <w:tcPr>
                      <w:tcW w:w="1469" w:type="dxa"/>
                      <w:vAlign w:val="center"/>
                    </w:tcPr>
                    <w:p>
                      <w:pPr>
                        <w:jc w:val="center"/>
                      </w:pPr>
                      <w:r>
                        <w:t>2812</w:t>
                      </w:r>
                    </w:p>
                  </w:tc>
                  <w:tc>
                    <w:tcPr>
                      <w:tcW w:w="1468" w:type="dxa"/>
                      <w:shd w:val="clear" w:color="auto" w:fill="auto"/>
                      <w:vAlign w:val="center"/>
                    </w:tcPr>
                    <w:p>
                      <w:pPr>
                        <w:jc w:val="center"/>
                      </w:pPr>
                      <w:r>
                        <w:t>14191</w:t>
                      </w:r>
                    </w:p>
                  </w:tc>
                </w:tr>
                <w:tr>
                  <w:trPr>
                    <w:trHeight w:val="652"/>
                  </w:trPr>
                  <w:tc>
                    <w:tcPr>
                      <w:tcW w:w="2078" w:type="dxa"/>
                      <w:shd w:val="clear" w:color="auto" w:fill="auto"/>
                      <w:vAlign w:val="center"/>
                    </w:tcPr>
                    <w:p>
                      <w:pPr/>
                      <w:r>
                        <w:t>Įdarbinta per metus:</w:t>
                      </w:r>
                    </w:p>
                  </w:tc>
                  <w:tc>
                    <w:tcPr>
                      <w:tcW w:w="1283" w:type="dxa"/>
                      <w:shd w:val="clear" w:color="auto" w:fill="auto"/>
                      <w:vAlign w:val="center"/>
                    </w:tcPr>
                    <w:p>
                      <w:pPr>
                        <w:jc w:val="center"/>
                      </w:pPr>
                      <w:r>
                        <w:t>1618</w:t>
                      </w:r>
                    </w:p>
                  </w:tc>
                  <w:tc>
                    <w:tcPr>
                      <w:tcW w:w="1223" w:type="dxa"/>
                      <w:vAlign w:val="center"/>
                    </w:tcPr>
                    <w:p>
                      <w:pPr>
                        <w:jc w:val="center"/>
                      </w:pPr>
                      <w:r>
                        <w:t>2191</w:t>
                      </w:r>
                    </w:p>
                  </w:tc>
                  <w:tc>
                    <w:tcPr>
                      <w:tcW w:w="2496" w:type="dxa"/>
                      <w:shd w:val="clear" w:color="auto" w:fill="auto"/>
                      <w:vAlign w:val="center"/>
                    </w:tcPr>
                    <w:p>
                      <w:pPr/>
                      <w:r>
                        <w:t>Registruotas nedarbas %</w:t>
                      </w:r>
                    </w:p>
                  </w:tc>
                  <w:tc>
                    <w:tcPr>
                      <w:tcW w:w="1469" w:type="dxa"/>
                      <w:vAlign w:val="center"/>
                    </w:tcPr>
                    <w:p>
                      <w:pPr>
                        <w:jc w:val="center"/>
                      </w:pPr>
                      <w:r>
                        <w:t>18,1 %</w:t>
                      </w:r>
                    </w:p>
                  </w:tc>
                  <w:tc>
                    <w:tcPr>
                      <w:tcW w:w="1468" w:type="dxa"/>
                      <w:shd w:val="clear" w:color="auto" w:fill="auto"/>
                      <w:vAlign w:val="center"/>
                    </w:tcPr>
                    <w:p>
                      <w:pPr>
                        <w:jc w:val="center"/>
                      </w:pPr>
                      <w:r>
                        <w:t>17,6 %</w:t>
                      </w:r>
                    </w:p>
                  </w:tc>
                </w:tr>
              </w:tbl>
              <w:p>
                <w:pPr>
                  <w:jc w:val="both"/>
                  <w:rPr>
                    <w:sz w:val="20"/>
                    <w:szCs w:val="24"/>
                  </w:rPr>
                </w:pPr>
                <w:r>
                  <w:rPr>
                    <w:sz w:val="20"/>
                    <w:szCs w:val="24"/>
                  </w:rPr>
                  <w:t xml:space="preserve">Šaltinis : Lietuvos užimtumo tarnyba </w:t>
                </w:r>
                <w:r>
                  <w:rPr>
                    <w:sz w:val="20"/>
                    <w:szCs w:val="24"/>
                    <w:u w:val="single"/>
                  </w:rPr>
                  <w:t>https://uzt.lt/darbo-rinka/darbo-rinkos-rodikliai/</w:t>
                </w:r>
                <w:r>
                  <w:rPr>
                    <w:sz w:val="20"/>
                    <w:szCs w:val="24"/>
                  </w:rPr>
                  <w:t>, 2021</w:t>
                </w:r>
              </w:p>
              <w:p>
                <w:pPr>
                  <w:rPr>
                    <w:szCs w:val="24"/>
                  </w:rPr>
                </w:pPr>
              </w:p>
              <w:p>
                <w:pPr>
                  <w:jc w:val="center"/>
                  <w:rPr>
                    <w:b/>
                  </w:rPr>
                </w:pPr>
                <w:r>
                  <w:rPr>
                    <w:b/>
                  </w:rPr>
                  <w:t>Darbo užmokestis apskrityje ir savivaldybėje</w:t>
                </w:r>
              </w:p>
              <w:p>
                <w:pPr>
                  <w:jc w:val="center"/>
                  <w:rPr>
                    <w:b/>
                  </w:rPr>
                </w:pPr>
              </w:p>
              <w:p>
                <w:pPr>
                  <w:ind w:firstLine="567"/>
                  <w:jc w:val="both"/>
                </w:pPr>
                <w:r>
                  <w:t xml:space="preserve">Analizuojant vidutinį darbo užmokestį, neatskaičius mokesčių ir vertinant kartu su individualių įmonių mokamu darbo užmokesčiu, galima teigti, kad 2016-2020 m. laikotarpiu vidutinis darbo užmokestis Alytaus r. sav. ir  šalies mastu, didėjo (žr. 8 pav.). 2020 m. atotrūkis tarp šalies ir rajono vidutinio darbo užmokesčio buvo  262,2 Eur, neatskaičius mokesčių. Lyginant su 2019 m. atotrūkis žiankliai pasikeitė į gera. Per 2019-2020 m. laikotarpį vidutinis darbo užmokestis Alytaus r. sav. padidėjo 62,6 Eur. Šalies mastu vidutinis darbo užmokestis 2019-2020  m. laikotarpiu padidėjo 132,2 Eur, vadinasi, darbo užmokestis, neatskaičius mokesčių, šalies mastu ir savivaldybėje didėjo panašia tendencija. </w:t>
                </w:r>
              </w:p>
              <w:p>
                <w:pPr>
                  <w:rPr>
                    <w:sz w:val="10"/>
                    <w:szCs w:val="10"/>
                  </w:rPr>
                </w:pPr>
              </w:p>
              <w:p>
                <w:pPr>
                  <w:ind w:firstLine="424"/>
                  <w:jc w:val="both"/>
                  <w:rPr>
                    <w:sz w:val="20"/>
                  </w:rPr>
                </w:pPr>
                <w:r>
                  <w:rPr>
                    <w:lang w:eastAsia="lt-LT"/>
                  </w:rPr>
                  <w:drawing>
                    <wp:inline distT="0" distB="0" distL="0" distR="0">
                      <wp:extent cx="5838825" cy="3686175"/>
                      <wp:effectExtent l="0" t="0" r="9525" b="9525"/>
                      <wp:docPr id="159" name="Diagrama 159"/>
                      <wp:cNvGraphicFramePr/>
                      <a:graphic xmlns:a="http://schemas.openxmlformats.org/drawingml/2006/main">
                        <a:graphicData uri="http://schemas.openxmlformats.org/drawingml/2006/chart">
                          <c:chart xmlns:c="http://schemas.openxmlformats.org/drawingml/2006/chart" r:id="rId48"/>
                        </a:graphicData>
                      </a:graphic>
                    </wp:inline>
                  </w:drawing>
                </w:r>
              </w:p>
              <w:p>
                <w:pPr>
                  <w:rPr>
                    <w:sz w:val="10"/>
                    <w:szCs w:val="10"/>
                  </w:rPr>
                </w:pPr>
              </w:p>
              <w:p>
                <w:pPr>
                  <w:tabs>
                    <w:tab w:val="left" w:pos="567"/>
                  </w:tabs>
                  <w:jc w:val="center"/>
                  <w:rPr>
                    <w:rFonts w:eastAsia="Calibri"/>
                    <w:szCs w:val="24"/>
                    <w:lang w:eastAsia="lt-LT"/>
                  </w:rPr>
                </w:pPr>
                <w:r>
                  <w:rPr>
                    <w:rFonts w:eastAsia="Calibri"/>
                    <w:b/>
                    <w:bCs/>
                    <w:i/>
                    <w:szCs w:val="18"/>
                    <w:lang w:eastAsia="lt-LT"/>
                  </w:rPr>
                  <w:t>8 pav.</w:t>
                </w:r>
                <w:r>
                  <w:rPr>
                    <w:rFonts w:eastAsia="Calibri"/>
                    <w:b/>
                    <w:bCs/>
                    <w:szCs w:val="18"/>
                    <w:lang w:eastAsia="lt-LT"/>
                  </w:rPr>
                  <w:t xml:space="preserve"> </w:t>
                </w:r>
                <w:r>
                  <w:rPr>
                    <w:rFonts w:eastAsia="Calibri"/>
                    <w:szCs w:val="24"/>
                    <w:lang w:eastAsia="lt-LT"/>
                  </w:rPr>
                  <w:t>Vidutinis darbo užmokestis Alytaus r. sav. (mėnesinis, bruto), Eur, lyginant šalies mastu ir išskiriant Alytaus r. sav. pagal lytį</w:t>
                </w:r>
              </w:p>
              <w:p>
                <w:pPr>
                  <w:jc w:val="center"/>
                  <w:rPr>
                    <w:sz w:val="20"/>
                    <w:szCs w:val="24"/>
                  </w:rPr>
                </w:pPr>
                <w:r>
                  <w:rPr>
                    <w:sz w:val="20"/>
                    <w:szCs w:val="24"/>
                  </w:rPr>
                  <w:t>Šaltinis: Lietuvos statistikos departamentas, 2021</w:t>
                </w:r>
              </w:p>
              <w:p>
                <w:pPr>
                  <w:rPr>
                    <w:sz w:val="10"/>
                    <w:szCs w:val="10"/>
                  </w:rPr>
                </w:pPr>
              </w:p>
              <w:p>
                <w:pPr>
                  <w:ind w:firstLine="567"/>
                  <w:jc w:val="both"/>
                  <w:rPr>
                    <w:szCs w:val="24"/>
                  </w:rPr>
                </w:pPr>
                <w:r>
                  <w:rPr>
                    <w:szCs w:val="24"/>
                  </w:rPr>
                  <w:t>Lyginant vidutinį bruto darbo užmokestį Alytaus r. sav. pagal lytį 2016-2020 m. laikotarpiu, galima teigti, kad skirtumas tarp vidutinio darbo užmokesčio yra vyrų naudai. Didžiausias atotrūkis tarp vyrų ir moterų atlyginimo buvo 2020 m., jis siekė net 123,6 Eur – vyrų vidutinis atlyginimas siekė 1231,5 Eur, o moterų – 1107,9 Eur. 2018 m. skirtumas tarp vidutinių atlyginimų sumažejo dvigubai, iki 29,9 Eur ir siekė vyrų atlyginimas – 774 Eur, o moterų – 744,1 Eur. Taip pat, galima pastebėti, kad 2018 m. lyginant su 2017 m., moterų vidutinis atlyginimas padidėjo net 100,6 Eur. O pats didžiausias pasiekimas ir atotrūkio ne tik sumažėjimas, bet ir susilyginimas įvyko per 2019 m. 2019 m. skirtumas tarp vidutinių atlyginimų išnyko ir siekė vyrų atlyginimas – 1100,9 Eur, o moterų – 1106,7 Eur.</w:t>
                </w:r>
              </w:p>
              <w:p>
                <w:pPr>
                  <w:ind w:firstLine="567"/>
                  <w:jc w:val="both"/>
                  <w:rPr>
                    <w:szCs w:val="24"/>
                  </w:rPr>
                </w:pPr>
                <w:r>
                  <w:rPr>
                    <w:szCs w:val="24"/>
                  </w:rPr>
                  <w:t xml:space="preserve">Analizuojant vidutinį darbo užmokestį Alytaus apskrities savivaldybėse 2012-2020 metų laikotarpiu galima teigti, kad didžiausias vidutinis darbo užmokestis, per visą analizuojamą laikotarpį, yra Alytaus miesto savivaldybėje, kur 2020 m. siekė 1253 Eur (žr. 9 pav.). 2020 m. Alytaus rajono savivaldybėje vidutinis darbo užmokestis, lyginant su Alytaus miesto savivaldybe, buvo mažesnis 54 Eur ir siekė 1199 Eur. Trečias pagal dydį Alytaus apskrityje darbo užmokestis, neatskaičius mokesčių, buvo Druskininkų sav., kur 2020 m. siekė 1055 Eur. Už Alytaus r. sav. darbo užmokestis mažesnis 144 Eur.  Ketvirtasis pagal didumą darbo užmokestis 2020 m. buvo Lazdijų r. sav., kur siekė 1050 Eur ir nuo Alytaus r. sav. atsiliko 149 Eur. Mažiausias darbo užmokestis, neatskaičius mokesčių, Alytaus apskrityje 2020 m. buvo Varėnos r. sav., kur siekė 1022 Eur, ir nuo Alytaus r. sav. atsiliko 177 Eur. </w:t>
                </w:r>
              </w:p>
              <w:p>
                <w:pPr>
                  <w:rPr>
                    <w:sz w:val="10"/>
                    <w:szCs w:val="10"/>
                  </w:rPr>
                </w:pPr>
              </w:p>
              <w:p>
                <w:pPr>
                  <w:tabs>
                    <w:tab w:val="left" w:pos="567"/>
                  </w:tabs>
                  <w:jc w:val="center"/>
                  <w:rPr>
                    <w:rFonts w:eastAsia="Calibri"/>
                    <w:szCs w:val="24"/>
                    <w:lang w:eastAsia="lt-LT"/>
                  </w:rPr>
                </w:pPr>
                <w:r>
                  <w:rPr>
                    <w:lang w:eastAsia="lt-LT"/>
                  </w:rPr>
                  <w:drawing>
                    <wp:inline distT="0" distB="0" distL="0" distR="0">
                      <wp:extent cx="6344285" cy="5177155"/>
                      <wp:effectExtent l="0" t="0" r="18415" b="4445"/>
                      <wp:docPr id="160" name="Diagrama 160"/>
                      <wp:cNvGraphicFramePr/>
                      <a:graphic xmlns:a="http://schemas.openxmlformats.org/drawingml/2006/main">
                        <a:graphicData uri="http://schemas.openxmlformats.org/drawingml/2006/chart">
                          <c:chart xmlns:c="http://schemas.openxmlformats.org/drawingml/2006/chart" r:id="rId49"/>
                        </a:graphicData>
                      </a:graphic>
                    </wp:inline>
                  </w:drawing>
                </w:r>
              </w:p>
              <w:p>
                <w:pPr>
                  <w:rPr>
                    <w:sz w:val="10"/>
                    <w:szCs w:val="10"/>
                  </w:rPr>
                </w:pPr>
              </w:p>
              <w:p>
                <w:pPr>
                  <w:tabs>
                    <w:tab w:val="left" w:pos="567"/>
                  </w:tabs>
                  <w:ind w:firstLine="62"/>
                  <w:jc w:val="center"/>
                  <w:rPr>
                    <w:rFonts w:eastAsia="Calibri"/>
                    <w:szCs w:val="24"/>
                    <w:lang w:eastAsia="lt-LT"/>
                  </w:rPr>
                </w:pPr>
                <w:r>
                  <w:rPr>
                    <w:rFonts w:eastAsia="Calibri"/>
                    <w:b/>
                    <w:bCs/>
                    <w:i/>
                    <w:szCs w:val="18"/>
                    <w:lang w:eastAsia="lt-LT"/>
                  </w:rPr>
                  <w:t>9 pav.</w:t>
                </w:r>
                <w:r>
                  <w:rPr>
                    <w:rFonts w:eastAsia="Calibri"/>
                    <w:b/>
                    <w:bCs/>
                    <w:szCs w:val="18"/>
                    <w:lang w:eastAsia="lt-LT"/>
                  </w:rPr>
                  <w:t xml:space="preserve"> </w:t>
                </w:r>
                <w:r>
                  <w:rPr>
                    <w:rFonts w:eastAsia="Calibri"/>
                    <w:szCs w:val="24"/>
                    <w:lang w:eastAsia="lt-LT"/>
                  </w:rPr>
                  <w:t>Vidutinis mėnesinis bruto darbo užmokestis Alytaus regiono savivaldybėse, Eur</w:t>
                </w:r>
              </w:p>
              <w:p>
                <w:pPr>
                  <w:ind w:firstLine="709"/>
                  <w:jc w:val="center"/>
                  <w:rPr>
                    <w:sz w:val="20"/>
                    <w:szCs w:val="24"/>
                  </w:rPr>
                </w:pPr>
                <w:r>
                  <w:rPr>
                    <w:sz w:val="20"/>
                    <w:szCs w:val="24"/>
                  </w:rPr>
                  <w:t>Šaltinis: Lietuvos statistikos departamentas, 2021</w:t>
                </w:r>
              </w:p>
              <w:p>
                <w:pPr>
                  <w:rPr>
                    <w:sz w:val="10"/>
                    <w:szCs w:val="10"/>
                  </w:rPr>
                </w:pPr>
              </w:p>
              <w:p>
                <w:pPr>
                  <w:ind w:firstLine="567"/>
                  <w:jc w:val="both"/>
                  <w:rPr>
                    <w:rFonts w:eastAsia="Calibri"/>
                    <w:szCs w:val="24"/>
                    <w:lang w:eastAsia="lt-LT"/>
                  </w:rPr>
                </w:pPr>
                <w:r>
                  <w:rPr>
                    <w:rFonts w:eastAsia="Calibri"/>
                    <w:szCs w:val="24"/>
                    <w:lang w:eastAsia="lt-LT"/>
                  </w:rPr>
                  <w:t>Nepaisant spartaus darbo užmokesčio augimo, jis išlieka 2–3 kartus mažesnis nei vidutiniškai ES. Tai lemia žemas darbo našumas, vienos mažiausių ES vienetinės darbo sąnaudos, žemas kainų lygis.</w:t>
                </w:r>
              </w:p>
              <w:p>
                <w:pPr>
                  <w:tabs>
                    <w:tab w:val="left" w:pos="8460"/>
                  </w:tabs>
                  <w:jc w:val="center"/>
                  <w:rPr>
                    <w:b/>
                  </w:rPr>
                </w:pPr>
              </w:p>
              <w:p>
                <w:pPr>
                  <w:tabs>
                    <w:tab w:val="left" w:pos="8460"/>
                  </w:tabs>
                  <w:jc w:val="center"/>
                  <w:rPr>
                    <w:b/>
                  </w:rPr>
                </w:pPr>
                <w:r>
                  <w:rPr>
                    <w:b/>
                  </w:rPr>
                  <w:t>Socialinė apsauga</w:t>
                </w:r>
              </w:p>
              <w:p>
                <w:pPr>
                  <w:tabs>
                    <w:tab w:val="left" w:pos="8460"/>
                  </w:tabs>
                  <w:jc w:val="center"/>
                </w:pPr>
              </w:p>
              <w:p>
                <w:pPr>
                  <w:ind w:firstLine="567"/>
                  <w:jc w:val="both"/>
                  <w:textAlignment w:val="baseline"/>
                  <w:rPr>
                    <w:lang w:val="en-GB"/>
                  </w:rPr>
                </w:pPr>
                <w:r>
                  <w:t xml:space="preserve">Siekiant sudaryti sąlygas asmeniui (šeimai) ugdyti ir stiprinti gebėjimus ir galimybes savarankiškai spręsti savo socialines problemas, palaikyti socialinius ryšius su visuomene, taip pat padėti įveikti socialinę atskirtį, savivaldybė vykdo valstybines (valstybės perduotas savivaldybėms) ir  savarankiškąsias savivaldybės socialinės paramos funkcijas: skiriant ir mokant įvairias socialines išmokas bei organizuojant socialinių paslaugų teikimą. </w:t>
                </w:r>
                <w:r>
                  <w:rPr>
                    <w:lang w:val="en-GB"/>
                  </w:rPr>
                  <w:t>2021 m. socialinei paramai skirta 10 mln. Eur.</w:t>
                </w:r>
              </w:p>
              <w:p>
                <w:pPr>
                  <w:ind w:firstLine="567"/>
                  <w:jc w:val="both"/>
                  <w:textAlignment w:val="baseline"/>
                  <w:rPr>
                    <w:lang w:val="en-GB"/>
                  </w:rPr>
                </w:pPr>
                <w:r>
                  <w:rPr>
                    <w:b/>
                    <w:bCs/>
                    <w:lang w:val="en-GB"/>
                  </w:rPr>
                  <w:t xml:space="preserve">Socialinės išmokos. </w:t>
                </w:r>
                <w:r>
                  <w:rPr>
                    <w:lang w:val="en-GB"/>
                  </w:rPr>
                  <w:t>2021 metais išmokėta 8,4 mln. Eur įvairių socialinių išmokų 7675 asmenims. Daugiausia lėšų skirta išmokoms vaikams (4,9 mln. Eur) ir tikslinių kompensacijų išmokų gavėjams (2 mln. Eur).</w:t>
                </w:r>
              </w:p>
              <w:p>
                <w:pPr>
                  <w:ind w:firstLine="567"/>
                  <w:jc w:val="both"/>
                  <w:textAlignment w:val="baseline"/>
                  <w:rPr>
                    <w:lang w:val="en-GB"/>
                  </w:rPr>
                </w:pPr>
                <w:r>
                  <w:rPr>
                    <w:b/>
                    <w:bCs/>
                    <w:lang w:val="en-GB"/>
                  </w:rPr>
                  <w:t xml:space="preserve">Vienkartinė piniginė parama </w:t>
                </w:r>
                <w:r>
                  <w:rPr>
                    <w:lang w:val="en-GB"/>
                  </w:rPr>
                  <w:t>2021 metais iš savivaldybės biudžeto lėšų 138,1 tūkst. Eur skirta šeimoms, dėl įvairių priežasčių (gaisro, stichinės nelaimės, ligos ir pan.) patekusioms į sunkią materialinę padėtį. Piniginė parama, atsižvelgiant į savivaldybės ir seniūnijų Piniginės socialinės paramos teikimo komisijų siūlymus, suteikta 876 šeimoms (asmenims). Buvo remiami ir gerai besimokantys rajono studentai bei mokiniai. 2021 m. paramą gavo 30 aukštosiose bei profesinėse mokyklose besimokantys jaunuoliai. Iš viso studentams ir mokiniams išmokėta 10 tūkst. Eur.</w:t>
                </w:r>
              </w:p>
              <w:p>
                <w:pPr>
                  <w:ind w:firstLine="567"/>
                  <w:jc w:val="both"/>
                  <w:textAlignment w:val="baseline"/>
                  <w:rPr>
                    <w:lang w:val="en-GB"/>
                  </w:rPr>
                </w:pPr>
                <w:r>
                  <w:rPr>
                    <w:b/>
                    <w:bCs/>
                    <w:lang w:val="en-GB"/>
                  </w:rPr>
                  <w:t xml:space="preserve">Socialinės paslaugos. </w:t>
                </w:r>
                <w:r>
                  <w:rPr>
                    <w:lang w:val="en-GB"/>
                  </w:rPr>
                  <w:t>2021 m. socialinės paslaugos suteiktos 4329 asmenims, išlaidos siekė 1,6 mln. Eur. Daugiausia lėšų (</w:t>
                </w:r>
                <w:r>
                  <w:rPr>
                    <w:lang w:val="en-GB" w:eastAsia="lt-LT"/>
                  </w:rPr>
                  <w:t>850,4</w:t>
                </w:r>
                <w:r>
                  <w:rPr>
                    <w:lang w:val="en-GB"/>
                  </w:rPr>
                  <w:t xml:space="preserve"> tūkst. Eur) panaudota senyvo amžiaus asmenų ir neįgaliųjų ilgalaikei (trumpalaikei) socialinei globai stacionariose socialinės globos įstaigose, t. y. Miroslavo globos namuose,    Pivašiūnų globos namuose, Rumbonių parapijos grupinio gyvenimo namuose, kitų savivaldybių ar valstybės globos namuose finansuoti. Šiose įstaigose 2021 m. gyveno ir gavo socialinės globos paslaugas 123 asmenys.      113  senyvo amžiaus asmenų bei neįgaliųjų buvo teikiamos socialinės priežiūros  paslaugos (pagalba į namus), 41 neįgaliajam – integrali pagalba (dienos socialinė globa ir slauga asmens namuose) , 5 neįgaliems asmenims buvo suteikta dienos socialinė globa, 76 – socialinė priežiūra institucijoje, 15 neįgaliųjų gavo asmeninio asistento pagalbą asmens namuose. Išlaidos šioms paslaugoms 310,6  tūkst. Eur.</w:t>
                </w:r>
              </w:p>
              <w:p>
                <w:pPr>
                  <w:rPr>
                    <w:sz w:val="10"/>
                    <w:szCs w:val="10"/>
                  </w:rPr>
                </w:pPr>
              </w:p>
              <w:p>
                <w:pPr>
                  <w:textAlignment w:val="baseline"/>
                  <w:rPr>
                    <w:lang w:val="en-GB"/>
                  </w:rPr>
                </w:pPr>
                <w:r>
                  <w:rPr>
                    <w:b/>
                    <w:bCs/>
                    <w:i/>
                    <w:iCs/>
                    <w:lang w:val="en-GB"/>
                  </w:rPr>
                  <w:t>3 lentelė</w:t>
                </w:r>
                <w:r>
                  <w:rPr>
                    <w:lang w:val="en-GB"/>
                  </w:rPr>
                  <w:t xml:space="preserve"> . Duomenys apie suteiktas socialines paslaugas 2021 metais</w:t>
                </w:r>
              </w:p>
              <w:p>
                <w:pPr>
                  <w:rPr>
                    <w:sz w:val="10"/>
                    <w:szCs w:val="10"/>
                  </w:rPr>
                </w:pPr>
              </w:p>
              <w:tbl>
                <w:tblPr>
                  <w:tblW w:w="9618" w:type="dxa"/>
                  <w:tblCellMar>
                    <w:left w:w="0" w:type="dxa"/>
                    <w:right w:w="0" w:type="dxa"/>
                  </w:tblCellMar>
                  <w:tblLook w:val="04A0" w:firstRow="1" w:lastRow="0" w:firstColumn="1" w:lastColumn="0" w:noHBand="0" w:noVBand="1"/>
                </w:tblPr>
                <w:tblGrid>
                  <w:gridCol w:w="6508"/>
                  <w:gridCol w:w="1666"/>
                  <w:gridCol w:w="1444"/>
                </w:tblGrid>
                <w:tr>
                  <w:trPr>
                    <w:trHeight w:val="312"/>
                  </w:trPr>
                  <w:tc>
                    <w:tcPr>
                      <w:tcW w:w="6508" w:type="dxa"/>
                      <w:tcBorders>
                        <w:top w:val="single" w:sz="8" w:space="0" w:color="DBDBDB"/>
                        <w:left w:val="single" w:sz="8" w:space="0" w:color="DBDBDB"/>
                        <w:bottom w:val="single" w:sz="12" w:space="0" w:color="C9C9C9"/>
                        <w:right w:val="single" w:sz="8" w:space="0" w:color="DBDBDB"/>
                      </w:tcBorders>
                      <w:noWrap/>
                      <w:tcMar>
                        <w:top w:w="0" w:type="dxa"/>
                        <w:left w:w="108" w:type="dxa"/>
                        <w:bottom w:w="0" w:type="dxa"/>
                        <w:right w:w="108" w:type="dxa"/>
                      </w:tcMar>
                      <w:vAlign w:val="center"/>
                      <w:hideMark/>
                    </w:tcPr>
                    <w:p>
                      <w:pPr>
                        <w:ind w:firstLine="907"/>
                        <w:jc w:val="center"/>
                        <w:textAlignment w:val="baseline"/>
                        <w:rPr>
                          <w:b/>
                          <w:bCs/>
                          <w:lang w:val="en-GB" w:eastAsia="lt-LT"/>
                        </w:rPr>
                      </w:pPr>
                      <w:r>
                        <w:rPr>
                          <w:b/>
                          <w:bCs/>
                          <w:lang w:val="en-GB" w:eastAsia="lt-LT"/>
                        </w:rPr>
                        <w:t>Paslaugos</w:t>
                      </w:r>
                    </w:p>
                  </w:tc>
                  <w:tc>
                    <w:tcPr>
                      <w:tcW w:w="1666" w:type="dxa"/>
                      <w:tcBorders>
                        <w:top w:val="single" w:sz="8" w:space="0" w:color="DBDBDB"/>
                        <w:left w:val="nil"/>
                        <w:bottom w:val="single" w:sz="12" w:space="0" w:color="C9C9C9"/>
                        <w:right w:val="single" w:sz="8" w:space="0" w:color="DBDBDB"/>
                      </w:tcBorders>
                      <w:noWrap/>
                      <w:tcMar>
                        <w:top w:w="0" w:type="dxa"/>
                        <w:left w:w="108" w:type="dxa"/>
                        <w:bottom w:w="0" w:type="dxa"/>
                        <w:right w:w="108" w:type="dxa"/>
                      </w:tcMar>
                      <w:hideMark/>
                    </w:tcPr>
                    <w:p>
                      <w:pPr>
                        <w:jc w:val="center"/>
                        <w:textAlignment w:val="baseline"/>
                        <w:rPr>
                          <w:b/>
                          <w:bCs/>
                          <w:lang w:val="en-GB" w:eastAsia="lt-LT"/>
                        </w:rPr>
                      </w:pPr>
                      <w:r>
                        <w:rPr>
                          <w:b/>
                          <w:bCs/>
                          <w:lang w:val="en-GB" w:eastAsia="lt-LT"/>
                        </w:rPr>
                        <w:t>2021 m. (tūkst. Eur)</w:t>
                      </w:r>
                    </w:p>
                  </w:tc>
                  <w:tc>
                    <w:tcPr>
                      <w:tcW w:w="1444" w:type="dxa"/>
                      <w:tcBorders>
                        <w:top w:val="single" w:sz="8" w:space="0" w:color="DBDBDB"/>
                        <w:left w:val="nil"/>
                        <w:bottom w:val="single" w:sz="12" w:space="0" w:color="C9C9C9"/>
                        <w:right w:val="single" w:sz="8" w:space="0" w:color="DBDBDB"/>
                      </w:tcBorders>
                      <w:tcMar>
                        <w:top w:w="0" w:type="dxa"/>
                        <w:left w:w="108" w:type="dxa"/>
                        <w:bottom w:w="0" w:type="dxa"/>
                        <w:right w:w="108" w:type="dxa"/>
                      </w:tcMar>
                      <w:hideMark/>
                    </w:tcPr>
                    <w:p>
                      <w:pPr>
                        <w:jc w:val="center"/>
                        <w:textAlignment w:val="baseline"/>
                        <w:rPr>
                          <w:b/>
                          <w:bCs/>
                          <w:lang w:val="en-GB" w:eastAsia="lt-LT"/>
                        </w:rPr>
                      </w:pPr>
                      <w:r>
                        <w:rPr>
                          <w:b/>
                          <w:bCs/>
                          <w:lang w:val="en-GB" w:eastAsia="lt-LT"/>
                        </w:rPr>
                        <w:t>Gavėjų skaičius</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eastAsia="lt-LT"/>
                        </w:rPr>
                      </w:pPr>
                      <w:r>
                        <w:rPr>
                          <w:lang w:eastAsia="lt-LT"/>
                        </w:rPr>
                        <w:t>Senyvo amžiaus asmenų ir neįgaliųjų ilgalaikė (trumpalaikė) socialinė globa institucijoje</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850,4</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123</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Pagalba į namus senyvo amžiaus ir neįgaliems asmenims</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177,1</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113</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Dienos socialinė globa institucijoje</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35,7</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5</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 xml:space="preserve">Integrali pagalba (dienos socialinė globa ir slauga asmens namuose)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73,0</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41</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Asmeninė pagalba neįgaliesiems (asmeninio asistento paslaugos)</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8,5</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15</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Socialinės priežiūros paslaugos neįgaliesiems institucijoje</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16,3</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76</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Vaikų socialinė globa institucijoje ir šeimynoje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93,9</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5 vaikai institucijoje, 2 vaikai šeimynoje</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Socialinės priežiūros paslaugos  socialinę riziką patiriančioms šeimoms </w:t>
                      </w:r>
                    </w:p>
                    <w:p>
                      <w:pPr>
                        <w:rPr>
                          <w:sz w:val="6"/>
                          <w:szCs w:val="6"/>
                        </w:rPr>
                      </w:pPr>
                    </w:p>
                    <w:p>
                      <w:pPr>
                        <w:jc w:val="both"/>
                        <w:textAlignment w:val="baseline"/>
                        <w:rPr>
                          <w:lang w:val="en-GB" w:eastAsia="lt-LT"/>
                        </w:rPr>
                      </w:pPr>
                    </w:p>
                    <w:p>
                      <w:pPr>
                        <w:rPr>
                          <w:sz w:val="6"/>
                          <w:szCs w:val="6"/>
                        </w:rPr>
                      </w:pPr>
                    </w:p>
                    <w:p>
                      <w:pPr>
                        <w:jc w:val="both"/>
                        <w:textAlignment w:val="baseline"/>
                        <w:rPr>
                          <w:lang w:val="en-GB" w:eastAsia="lt-LT"/>
                        </w:rPr>
                      </w:pP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307,5</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hideMark/>
                    </w:tcPr>
                    <w:p>
                      <w:pPr>
                        <w:jc w:val="center"/>
                        <w:textAlignment w:val="baseline"/>
                        <w:rPr>
                          <w:lang w:val="en-GB" w:eastAsia="lt-LT"/>
                        </w:rPr>
                      </w:pPr>
                      <w:r>
                        <w:rPr>
                          <w:lang w:val="en-GB" w:eastAsia="lt-LT"/>
                        </w:rPr>
                        <w:t>115 šeimų / 207 vaikai</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Socialinės priežiūros paslaugos vaikams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56,8</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87</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Laikino apnakvindinimo  ir apgyvendinimo nakvynės namuose paslaugos socialinės rizikos asmenims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1,0</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3</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Parama maisto produktais ir higienos prekėmis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5,9</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3025</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Specialaus transporto paslaugos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3,0</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14</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Asmens higienos ir priežiūros paslaugos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15,3</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613</w:t>
                      </w:r>
                    </w:p>
                  </w:tc>
                </w:tr>
              </w:tbl>
              <w:p>
                <w:pPr>
                  <w:jc w:val="both"/>
                  <w:textAlignment w:val="baseline"/>
                  <w:rPr>
                    <w:sz w:val="10"/>
                    <w:szCs w:val="10"/>
                    <w:lang w:val="en-GB"/>
                  </w:rPr>
                </w:pPr>
              </w:p>
              <w:p>
                <w:pPr>
                  <w:rPr>
                    <w:sz w:val="6"/>
                    <w:szCs w:val="6"/>
                  </w:rPr>
                </w:pPr>
              </w:p>
              <w:p>
                <w:pPr>
                  <w:ind w:firstLine="567"/>
                  <w:jc w:val="both"/>
                  <w:textAlignment w:val="baseline"/>
                  <w:rPr>
                    <w:szCs w:val="24"/>
                    <w:lang w:val="en-GB"/>
                  </w:rPr>
                </w:pPr>
                <w:r>
                  <w:rPr>
                    <w:lang w:val="en-GB"/>
                  </w:rPr>
                  <w:t>14 rajono žmonių su negalia pasinaudojo specialaus transporto paslaugomis. Jie buvo vežami į gydymo, reabilitacijos įstaigas, kultūros, sporto renginius.</w:t>
                </w:r>
              </w:p>
              <w:p>
                <w:pPr>
                  <w:ind w:firstLine="567"/>
                  <w:jc w:val="both"/>
                  <w:textAlignment w:val="baseline"/>
                  <w:rPr>
                    <w:lang w:val="en-GB"/>
                  </w:rPr>
                </w:pPr>
                <w:r>
                  <w:rPr>
                    <w:lang w:val="en-GB"/>
                  </w:rPr>
                  <w:t xml:space="preserve">Alytaus rajone vykdoma Būsto pritaikymo žmonėms su negalia programa. 2021 m. būstai pritaikyti  8 rajone gyvenantiems neįgaliesiems, iš jų 2 vaikams su sunkia negalia. Šiam tikslui  skirta 29,0 tūkst. Eur (19,0 tūkst. Eur iš valstybės biudžeto ir  10,0 tūkst. Eur iš savivaldybės biudžetų lėšų). Neįgalieji, turintys specialiųjų poreikių, buvo aprūpinti techninės pagalbos priemonėmis. 2021 m. tokia pagalba buvo suteikta 23 asmenims.</w:t>
                </w:r>
              </w:p>
              <w:p>
                <w:pPr>
                  <w:ind w:firstLine="567"/>
                  <w:jc w:val="both"/>
                  <w:textAlignment w:val="baseline"/>
                  <w:rPr>
                    <w:lang w:val="en-GB"/>
                  </w:rPr>
                </w:pPr>
                <w:r>
                  <w:rPr>
                    <w:lang w:val="en-GB"/>
                  </w:rPr>
                  <w:t>Šeimoms, patyrusioms socialinę riziką, teikiamos socialinės priežiūros paslaugos. 2021 m. socialinės paslaugos suteiktos 115 šeimų.</w:t>
                </w:r>
              </w:p>
              <w:p>
                <w:pPr>
                  <w:ind w:firstLine="567"/>
                  <w:jc w:val="both"/>
                  <w:textAlignment w:val="baseline"/>
                  <w:rPr>
                    <w:lang w:val="en-GB"/>
                  </w:rPr>
                </w:pPr>
                <w:r>
                  <w:rPr>
                    <w:lang w:val="en-GB"/>
                  </w:rPr>
                  <w:t>Įgyvendindama Europos pagalbos labiausiai skurstantiems asmenims fondo nuostatas, savivaldybės administracija organizavo maisto produktų ir higienos prekių išdalijimą labiausiai nepasiturintiems asmenims. Paramą maisto produktais ir higienos prekėmis gavo 3025 rajono gyventojai.</w:t>
                </w:r>
              </w:p>
              <w:p>
                <w:pPr>
                  <w:ind w:firstLine="567"/>
                  <w:jc w:val="both"/>
                  <w:textAlignment w:val="baseline"/>
                  <w:rPr>
                    <w:lang w:val="en-GB"/>
                  </w:rPr>
                </w:pPr>
                <w:r>
                  <w:rPr>
                    <w:lang w:val="en-GB"/>
                  </w:rPr>
                  <w:t>Savivaldybės administracija vykdo socialinės reabilitacijos paslaugų neįgaliesiems bendruomenėje projektų (toliau – projektai) administravimo funkciją. 2021 metais savivaldybės administracija organizavo projektų vertinimą bei atranką, skyrė lėšų ir finansavo projektus,  kontroliavo projektų įgyvendinimą. Finansuoti 3 projektai, projektams įgyvendinti skirta 54,9 tūkst. Eur  (45,7 tūkst. Eur  valstybės  biudžeto  lėšos, 9,2 tūkst. Eur savivaldybės biudžeto lėšos).</w:t>
                </w:r>
              </w:p>
              <w:p>
                <w:pPr>
                  <w:tabs>
                    <w:tab w:val="left" w:pos="8460"/>
                  </w:tabs>
                  <w:jc w:val="both"/>
                  <w:rPr>
                    <w:lang w:val="en-GB"/>
                  </w:rPr>
                </w:pPr>
                <w:r>
                  <w:rPr>
                    <w:lang w:val="en-GB"/>
                  </w:rPr>
                  <w:t>2021 m. Alytaus rajono savivaldybės biudžeto lėšomis organizuotos asmeninės higienos ir priežiūros (dušo, skalbimo) paslaugos. Šias paslaugas rajono gyventojams teikė 13 vietos bendruomenių, paslaugomis pasinaudojo 613 asmenų, neturinčių galimybių savo namuose naudotis dušu ir (ar) skalbykle. Šiam tikslui panaudota 15,3 tūkst. Eur savivaldybės biudžeto lėšų.</w:t>
                </w:r>
              </w:p>
              <w:p>
                <w:pPr>
                  <w:tabs>
                    <w:tab w:val="left" w:pos="8460"/>
                  </w:tabs>
                  <w:jc w:val="both"/>
                  <w:rPr>
                    <w:b/>
                    <w:i/>
                  </w:rPr>
                </w:pPr>
              </w:p>
              <w:p>
                <w:pPr>
                  <w:ind w:left="34"/>
                  <w:jc w:val="center"/>
                  <w:rPr>
                    <w:b/>
                    <w:i/>
                    <w:szCs w:val="24"/>
                  </w:rPr>
                </w:pPr>
                <w:r>
                  <w:rPr>
                    <w:b/>
                    <w:i/>
                    <w:szCs w:val="24"/>
                  </w:rPr>
                  <w:t>Sveikatos apsauga</w:t>
                </w:r>
              </w:p>
              <w:p>
                <w:pPr>
                  <w:ind w:left="34"/>
                  <w:jc w:val="center"/>
                  <w:rPr>
                    <w:b/>
                    <w:i/>
                    <w:szCs w:val="24"/>
                  </w:rPr>
                </w:pPr>
              </w:p>
              <w:p>
                <w:pPr>
                  <w:tabs>
                    <w:tab w:val="left" w:pos="709"/>
                  </w:tabs>
                  <w:ind w:left="45" w:firstLine="567"/>
                  <w:jc w:val="both"/>
                  <w:rPr>
                    <w:szCs w:val="24"/>
                  </w:rPr>
                </w:pPr>
                <w:r>
                  <w:rPr>
                    <w:szCs w:val="24"/>
                  </w:rPr>
                  <w:t xml:space="preserve">Siekiant užtikrinti kokybišką Alytaus rajono savivaldybės gyventojų asmens ir visuomenės sveikatos priežiūrą, sveikatos politikos įgyvendinimas vykdomas savivaldybės lygiu. Siekiama efektyviai formuoti sveikatos priežiūros sistemą, gerinant sveikatos priežiūros paslaugų praeinamumą, kokybę ir pacientų saugą, tikslingai paskirstant lėšas asmens ir visuomenės sveikatos priežiūrai, siekiant mažinti sveikatos netolygumus rajone. </w:t>
                </w:r>
              </w:p>
              <w:p>
                <w:pPr>
                  <w:tabs>
                    <w:tab w:val="left" w:pos="709"/>
                  </w:tabs>
                  <w:ind w:left="45" w:firstLine="567"/>
                  <w:jc w:val="both"/>
                  <w:rPr>
                    <w:szCs w:val="24"/>
                  </w:rPr>
                </w:pPr>
                <w:r>
                  <w:rPr>
                    <w:szCs w:val="24"/>
                  </w:rPr>
                  <w:t xml:space="preserve">Pagrindiniai tikslai – gyventojų sveikatos stiprinimas, mirtingumo mažinimas, gyvenimo kokybės gerinimas ir sveikatos santykių teisumas. </w:t>
                  <w:tab/>
                </w:r>
              </w:p>
              <w:p>
                <w:pPr>
                  <w:tabs>
                    <w:tab w:val="left" w:pos="709"/>
                  </w:tabs>
                  <w:ind w:left="45" w:firstLine="567"/>
                  <w:jc w:val="both"/>
                  <w:rPr>
                    <w:szCs w:val="24"/>
                  </w:rPr>
                </w:pPr>
                <w:r>
                  <w:rPr>
                    <w:szCs w:val="24"/>
                  </w:rPr>
                  <w:t xml:space="preserve">Visi gyventojai turi teisę siekti kuo aukštesnio savo sveikatos lygio, tiesiogiai įtakojančio ne tik individo, bet ir artimos aplinkos ir net valstybės gerbuvį. Be galo svarbu mažinti išvengiamo mirtingumo (mirtingumą, nulemtą ligų ar būklių, kurių galima išvengti) mąstus, taikant žinomas ir efektyvias prevencines, diagnostikos ir / ar gydymo priemones, kurios kasmet tobulėja. </w:t>
                </w:r>
              </w:p>
              <w:p>
                <w:pPr>
                  <w:tabs>
                    <w:tab w:val="left" w:pos="709"/>
                  </w:tabs>
                  <w:ind w:left="45" w:firstLine="567"/>
                  <w:jc w:val="both"/>
                  <w:rPr>
                    <w:szCs w:val="24"/>
                  </w:rPr>
                </w:pPr>
                <w:r>
                  <w:rPr>
                    <w:szCs w:val="24"/>
                  </w:rPr>
                  <w:t xml:space="preserve">Visuomenės sveikatos stebėsenos duomenys leidžia stebėti, kokia esama gyventojų sveikatos ir sveikatą lemiančių veiksnių situacija savivaldybėje, įvertinant ją, Lietuvos sveikatos programos tikslų ir uždavinių įgyvendinimo kontekste, ir kokių intervencijų / priemonių reikia imtis, siekiant stiprinti savivaldybės gyventojų sveikatą ir mažinti sveikatos netolygumus. Pagrindinių rodiklių sąrašo analizė ir interpretavimas („Šviesoforo“ kūrimas) kasmet atliekamas lyginant praėjusių metų Alytaus rajono savivaldybės gyventojų sveikatos stebėsenos rodiklius su Lietuvos vidurkiu (žr. 10 pav.). </w:t>
                </w:r>
              </w:p>
              <w:p>
                <w:pPr>
                  <w:rPr>
                    <w:sz w:val="10"/>
                    <w:szCs w:val="10"/>
                  </w:rPr>
                </w:pPr>
              </w:p>
              <w:p>
                <w:pPr>
                  <w:tabs>
                    <w:tab w:val="left" w:pos="709"/>
                  </w:tabs>
                  <w:ind w:left="45" w:firstLine="930"/>
                  <w:jc w:val="both"/>
                  <w:rPr>
                    <w:szCs w:val="24"/>
                  </w:rPr>
                </w:pPr>
                <w:r>
                  <w:rPr>
                    <w:lang w:eastAsia="lt-LT"/>
                  </w:rPr>
                  <w:drawing>
                    <wp:inline distT="0" distB="0" distL="0" distR="0">
                      <wp:extent cx="6124575" cy="2143125"/>
                      <wp:effectExtent l="0" t="0" r="9525" b="9525"/>
                      <wp:docPr id="161" name="Diagrama 16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50"/>
                        </a:graphicData>
                      </a:graphic>
                    </wp:inline>
                  </w:drawing>
                </w:r>
              </w:p>
              <w:p>
                <w:pPr>
                  <w:jc w:val="center"/>
                  <w:rPr>
                    <w:szCs w:val="24"/>
                    <w:lang w:val="en-GB"/>
                  </w:rPr>
                </w:pPr>
                <w:r>
                  <w:rPr>
                    <w:b/>
                    <w:i/>
                    <w:szCs w:val="24"/>
                  </w:rPr>
                  <w:t>10 pav</w:t>
                </w:r>
                <w:r>
                  <w:rPr>
                    <w:szCs w:val="24"/>
                  </w:rPr>
                  <w:t xml:space="preserve">. </w:t>
                </w:r>
                <w:r>
                  <w:rPr>
                    <w:szCs w:val="24"/>
                    <w:lang w:val="en-GB"/>
                  </w:rPr>
                  <w:t>Standartizuotų Alytaus miesto mirtingumo rodiklių (100 000 gyv.) palyginimas su Lietuvos vidurkiu 2019–2020 m.</w:t>
                </w:r>
              </w:p>
              <w:p>
                <w:pPr>
                  <w:rPr>
                    <w:sz w:val="10"/>
                    <w:szCs w:val="10"/>
                  </w:rPr>
                </w:pPr>
              </w:p>
              <w:p>
                <w:pPr>
                  <w:tabs>
                    <w:tab w:val="left" w:pos="709"/>
                  </w:tabs>
                  <w:ind w:left="45"/>
                  <w:jc w:val="center"/>
                  <w:rPr>
                    <w:sz w:val="20"/>
                    <w:szCs w:val="24"/>
                  </w:rPr>
                </w:pPr>
                <w:r>
                  <w:rPr>
                    <w:sz w:val="20"/>
                    <w:szCs w:val="24"/>
                  </w:rPr>
                  <w:t>Šaltinis: Higienos instituto Sveikatos informacijos centras</w:t>
                </w:r>
              </w:p>
              <w:p>
                <w:pPr>
                  <w:rPr>
                    <w:sz w:val="10"/>
                    <w:szCs w:val="10"/>
                  </w:rPr>
                </w:pPr>
              </w:p>
              <w:p>
                <w:pPr>
                  <w:tabs>
                    <w:tab w:val="left" w:pos="709"/>
                  </w:tabs>
                  <w:ind w:left="45"/>
                  <w:jc w:val="center"/>
                  <w:rPr>
                    <w:sz w:val="20"/>
                    <w:szCs w:val="24"/>
                  </w:rPr>
                </w:pPr>
              </w:p>
              <w:p>
                <w:pPr>
                  <w:ind w:firstLine="567"/>
                  <w:jc w:val="both"/>
                  <w:rPr>
                    <w:szCs w:val="24"/>
                  </w:rPr>
                </w:pPr>
                <w:r>
                  <w:rPr>
                    <w:szCs w:val="24"/>
                  </w:rPr>
                  <w:t>Vidutinė tikėtina gyvenimo trukmė – tikimybinis rodiklis, rodantis, kiek vidutiniškai metų gyvens kiekvienas gimęs arba sulaukęs tam tikro amžiaus žmogus, jeigu visą būsimą tiriamos kartos gyvenimą mirtingumo lygis kiekvienoje gyventojų amžiaus grupėje nekis.</w:t>
                </w:r>
              </w:p>
              <w:p>
                <w:pPr>
                  <w:rPr>
                    <w:sz w:val="18"/>
                    <w:szCs w:val="18"/>
                  </w:rPr>
                </w:pPr>
              </w:p>
              <w:p>
                <w:pPr>
                  <w:keepNext/>
                  <w:jc w:val="both"/>
                  <w:textAlignment w:val="baseline"/>
                  <w:outlineLvl w:val="1"/>
                  <w:rPr>
                    <w:szCs w:val="24"/>
                    <w:lang w:val="en-GB"/>
                  </w:rPr>
                </w:pPr>
                <w:r>
                  <w:rPr>
                    <w:szCs w:val="24"/>
                  </w:rPr>
                  <w:t xml:space="preserve">Gyvenimo trukmei ilgėjant, daugėja ir vyresnio amžiaus žmonių. Alytaus mieste, kaip ir daugelyje Lietuvos savivaldybių, gyventojų skaičius sparčiai mažėja, informuoja Alytaus miesto savivaldybės visuomenės sveikatos biuras. </w:t>
                </w:r>
                <w:r>
                  <w:rPr>
                    <w:szCs w:val="24"/>
                    <w:lang w:val="en-GB"/>
                  </w:rPr>
                  <w:t>Jo pateikiamais Lietuvos sveikatos departamento duomenimis, 2021 m. pradžioje Alytaus mieste gyveno 49 tūkst. 205 žmonės (45,62 proc. vyrų ir 54,38 proc. moterų), jie sudarė 1,8 proc. Lietuvos populiacijos (2 mln. 795 tūkst. 680 gyventojai).</w:t>
                </w:r>
              </w:p>
              <w:p>
                <w:pPr>
                  <w:rPr>
                    <w:sz w:val="10"/>
                    <w:szCs w:val="10"/>
                  </w:rPr>
                </w:pPr>
              </w:p>
              <w:p>
                <w:pPr>
                  <w:tabs>
                    <w:tab w:val="left" w:pos="720"/>
                  </w:tabs>
                  <w:ind w:hanging="360"/>
                  <w:jc w:val="both"/>
                  <w:textAlignment w:val="baseline"/>
                  <w:rPr>
                    <w:szCs w:val="24"/>
                    <w:lang w:val="en-GB"/>
                  </w:rPr>
                </w:pPr>
                <w:r>
                  <w:rPr>
                    <w:sz w:val="20"/>
                    <w:szCs w:val="24"/>
                    <w:lang w:val="en-GB"/>
                  </w:rPr>
                  <w:t></w:t>
                  <w:tab/>
                </w:r>
                <w:r>
                  <w:rPr>
                    <w:szCs w:val="24"/>
                    <w:lang w:val="en-GB"/>
                  </w:rPr>
                  <w:t>Palyginimui: 2020 m. pradžioje Alytaus mieste gyveno 49 tūkst. 895 žmonės (45,63 proc. vyrų ir 54,37 proc. moterų), jie sudarė 1,8 proc. Lietuvos populiacijos (2 mln. 794 tūkst. 90 gyventojai). Visuomenės sveikatos stebėsenos informacinės sistemos duomenimis, Alytaus miesto gyventojų vidutinė gyvenimo trukmė 2020 m. (74,6 metai) buvo mažesnė už Lietuvos vidurkį (75,1 metai). Alytaus miesto gyventojų vidutinės gyvenimo trukmės rodikliai buvo: 77,7 metai (2017 m.), 78,5 m. (2018 m.) ir 77,9 m. ( 2019 m.). Higienos instituto Sveikatos informacijos centro duomenimis, 2020 m. Alytaus mieste 65 metų ir vyresnių gyventojų yra 22,4 proc. (2019 m. siekė 21,9 proc.) visų miesto gyventojų. Mažėja jaunesnio amžiaus gyventojų. 2020 metais Alytuje vaikai (iki 17 metų amžiaus) sudarė 15,6 proc. Alytaus miesto populiacijos, 30,1 proc. – 18-44 m., 31,8 proc. – 45-64 m. amžiaus gyventojai. Alytaus mieste 2020 m. gimė 360 kūdikių, (Lietuvoje – 25 tūkst. 144 kūdikiai) lyginant su 2019 m. duomenis, gimė 80 kūdikių mažiau. 2020 metais gimstamumo rodiklis vienam tūkstančiui Dzūkijos sostinės gyventojų teko 7,3 (Lietuvoje – 9). 2020 m. vaikų iki 1 m. amžiaus mirtingumo rodiklis vienam tūkstančiui gyvų gimusių buvo 5,6. Lietuvoje 2020 m. mirė 43 tūkst. 547 žmonės, t. y. 5 tūkst. 266 asmenimis daugiau negu 2019 metais. Alytaus mieste 2020 m. mirė 800 gyventojų (2019 m. – 637). Alytaus miesto savivaldybės 2020 m. ilgalaikis nedarbo lygis 2,8 proc. (2019 m. – 2,4 proc.), Lietuvos rodiklis – 2,6 proc. (2019 m. – 1,9 proc.).</w:t>
                </w:r>
              </w:p>
              <w:p>
                <w:pPr>
                  <w:rPr>
                    <w:sz w:val="26"/>
                    <w:szCs w:val="26"/>
                  </w:rPr>
                </w:pPr>
              </w:p>
              <w:p>
                <w:pPr>
                  <w:tabs>
                    <w:tab w:val="left" w:pos="1276"/>
                  </w:tabs>
                  <w:ind w:firstLine="629"/>
                  <w:jc w:val="both"/>
                  <w:rPr>
                    <w:szCs w:val="24"/>
                  </w:rPr>
                </w:pPr>
                <w:r>
                  <w:rPr>
                    <w:szCs w:val="24"/>
                  </w:rPr>
                  <w:t xml:space="preserve">Gydytojų skaičius – vienas iš rodiklių, apibūdinančių asmens sveikatos paslaugų prieinamumą ir jų pasiskirstymą visoje šalyje. </w:t>
                </w:r>
              </w:p>
              <w:p>
                <w:pPr>
                  <w:tabs>
                    <w:tab w:val="left" w:pos="1276"/>
                  </w:tabs>
                  <w:ind w:firstLine="567"/>
                  <w:jc w:val="both"/>
                  <w:rPr>
                    <w:szCs w:val="24"/>
                  </w:rPr>
                </w:pPr>
                <w:r>
                  <w:t xml:space="preserve">Viešoji įstaiga Alytaus rajono savivaldybės pirminės sveikatos priežiūros centras (toliau – PSPC) yra Lietuvos nacionalinės sveikatos sistemos iš valstybės ar savivaldybės turto ir lėšų įsteigta Alytaus rajono savivaldybės viešoji sveikatos priežiūros ne pelno siekianti įstaiga. Pagrindinis įstaigos veiklos tikslas – gerinti Lietuvos gyventojų sveikatą, siekiant sumažinti gyventojų sergamumą, mirtingumą, kokybiškai teikti medicinos paslaugas. Pagrindiniai įstaigos veiklos uždaviniai – organizuoti ir teikti nespecializuotas ir specializuotas kvalifikuotas pirminės sveikatos priežiūros ambulatorines ir stacionarines paslaugas Alytaus miesto ir rajono gyventojams. Šios paslaugos teikiamos įstaigoje ir pacientų namuose. Esant reikalui, asmens sveikatos priežiūros paslaugos teikiamos visos Respublikos gyventojams, užsieniečiams, asmenims be pilietybės. Pirminio lygio asmens sveikatos priežiūros paslaugos prieinamos visiems asmenims ir yra orientuotos į asmens sveikatos profilaktiką ir sveikatos stiprinimą, sveikatos problemų sprendimą. Šio lygio specialistai rūpinasi ne tik gydymu, bet ir sveikatos išsaugojimu bei gerinimu, ligų profilaktika, stebi lėtinių ligų būklę, nukreipia pas reikalingą specialistą. </w:t>
                </w:r>
              </w:p>
              <w:p>
                <w:pPr>
                  <w:jc w:val="both"/>
                  <w:rPr>
                    <w:lang w:val="en-GB"/>
                  </w:rPr>
                </w:pPr>
                <w:r>
                  <w:rPr>
                    <w:lang w:val="en-GB"/>
                  </w:rPr>
                  <w:t>Pagrindiniai pirminio lygio sveikatos priežiūros veiklos rodikliai:</w:t>
                </w:r>
              </w:p>
              <w:p>
                <w:pPr>
                  <w:tabs>
                    <w:tab w:val="left" w:pos="1276"/>
                  </w:tabs>
                  <w:ind w:firstLine="567"/>
                  <w:jc w:val="both"/>
                  <w:rPr>
                    <w:lang w:val="en-GB"/>
                  </w:rPr>
                </w:pPr>
              </w:p>
              <w:tbl>
                <w:tblPr>
                  <w:tblW w:w="4842" w:type="pct"/>
                  <w:tblInd w:w="8" w:type="dxa"/>
                  <w:tblCellMar>
                    <w:left w:w="0" w:type="dxa"/>
                    <w:right w:w="0" w:type="dxa"/>
                  </w:tblCellMar>
                  <w:tblLook w:val="04A0" w:firstRow="1" w:lastRow="0" w:firstColumn="1" w:lastColumn="0" w:noHBand="0" w:noVBand="1"/>
                </w:tblPr>
                <w:tblGrid>
                  <w:gridCol w:w="2917"/>
                  <w:gridCol w:w="1734"/>
                  <w:gridCol w:w="2377"/>
                  <w:gridCol w:w="1963"/>
                  <w:gridCol w:w="109"/>
                </w:tblGrid>
                <w:tr>
                  <w:trPr>
                    <w:gridAfter w:val="1"/>
                    <w:wAfter w:w="136" w:type="dxa"/>
                    <w:trHeight w:val="2190"/>
                  </w:trPr>
                  <w:tc>
                    <w:tcPr>
                      <w:tcW w:w="34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b/>
                          <w:bCs/>
                          <w:szCs w:val="24"/>
                          <w:lang w:eastAsia="lt-LT"/>
                        </w:rPr>
                        <w:br/>
                        <w:t> </w:t>
                      </w:r>
                    </w:p>
                    <w:p>
                      <w:pPr>
                        <w:ind w:firstLine="24"/>
                        <w:rPr>
                          <w:szCs w:val="24"/>
                          <w:lang w:eastAsia="lt-LT"/>
                        </w:rPr>
                      </w:pPr>
                    </w:p>
                    <w:p>
                      <w:pPr>
                        <w:jc w:val="center"/>
                        <w:rPr>
                          <w:szCs w:val="24"/>
                          <w:lang w:eastAsia="lt-LT"/>
                        </w:rPr>
                      </w:pPr>
                    </w:p>
                  </w:tc>
                  <w:tc>
                    <w:tcPr>
                      <w:tcW w:w="1864"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b/>
                          <w:bCs/>
                          <w:szCs w:val="24"/>
                          <w:lang w:eastAsia="lt-LT"/>
                        </w:rPr>
                      </w:pPr>
                    </w:p>
                    <w:p>
                      <w:pPr>
                        <w:jc w:val="center"/>
                        <w:rPr>
                          <w:b/>
                          <w:bCs/>
                          <w:szCs w:val="24"/>
                          <w:lang w:eastAsia="lt-LT"/>
                        </w:rPr>
                      </w:pPr>
                    </w:p>
                    <w:p>
                      <w:pPr>
                        <w:jc w:val="center"/>
                        <w:rPr>
                          <w:szCs w:val="24"/>
                          <w:lang w:eastAsia="lt-LT"/>
                        </w:rPr>
                      </w:pPr>
                      <w:r>
                        <w:rPr>
                          <w:b/>
                          <w:bCs/>
                          <w:szCs w:val="24"/>
                          <w:lang w:eastAsia="lt-LT"/>
                        </w:rPr>
                        <w:t>Gyventojų skaičius iš viso</w:t>
                      </w:r>
                    </w:p>
                  </w:tc>
                  <w:tc>
                    <w:tcPr>
                      <w:tcW w:w="212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pPr>
                        <w:ind w:firstLine="53"/>
                        <w:rPr>
                          <w:szCs w:val="24"/>
                          <w:lang w:eastAsia="lt-LT"/>
                        </w:rPr>
                      </w:pPr>
                    </w:p>
                    <w:p>
                      <w:pPr>
                        <w:jc w:val="center"/>
                        <w:rPr>
                          <w:szCs w:val="24"/>
                          <w:lang w:eastAsia="lt-LT"/>
                        </w:rPr>
                      </w:pPr>
                      <w:r>
                        <w:rPr>
                          <w:b/>
                          <w:bCs/>
                          <w:szCs w:val="24"/>
                          <w:lang w:eastAsia="lt-LT"/>
                        </w:rPr>
                        <w:t>Draustų privalomuoju sveikatos draudimu  gyventojų skaičius</w:t>
                      </w:r>
                    </w:p>
                  </w:tc>
                  <w:tc>
                    <w:tcPr>
                      <w:tcW w:w="2127" w:type="dxa"/>
                      <w:tcBorders>
                        <w:top w:val="single" w:sz="4" w:space="0" w:color="auto"/>
                        <w:left w:val="single" w:sz="4" w:space="0" w:color="auto"/>
                        <w:right w:val="single" w:sz="4" w:space="0" w:color="auto"/>
                      </w:tcBorders>
                      <w:vAlign w:val="center"/>
                      <w:hideMark/>
                    </w:tcPr>
                    <w:p>
                      <w:pPr>
                        <w:jc w:val="center"/>
                        <w:rPr>
                          <w:szCs w:val="24"/>
                          <w:lang w:eastAsia="lt-LT"/>
                        </w:rPr>
                      </w:pPr>
                      <w:r>
                        <w:rPr>
                          <w:b/>
                          <w:bCs/>
                          <w:szCs w:val="24"/>
                          <w:lang w:eastAsia="lt-LT"/>
                        </w:rPr>
                        <w:t>Nedraustų privalomuoju sveikatos draudimu gyventojų skaičius</w:t>
                      </w:r>
                    </w:p>
                  </w:tc>
                </w:tr>
                <w:tr>
                  <w:trPr>
                    <w:trHeight w:val="432"/>
                  </w:trPr>
                  <w:tc>
                    <w:tcPr>
                      <w:tcW w:w="3416"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both"/>
                        <w:rPr>
                          <w:szCs w:val="24"/>
                          <w:lang w:eastAsia="lt-LT"/>
                        </w:rPr>
                      </w:pPr>
                      <w:r>
                        <w:rPr>
                          <w:szCs w:val="24"/>
                          <w:lang w:eastAsia="lt-LT"/>
                        </w:rPr>
                        <w:t>Gyventojų skaičius 2020-12-31</w:t>
                      </w:r>
                    </w:p>
                  </w:tc>
                  <w:tc>
                    <w:tcPr>
                      <w:tcW w:w="186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17250</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16378</w:t>
                      </w:r>
                    </w:p>
                  </w:tc>
                  <w:tc>
                    <w:tcPr>
                      <w:tcW w:w="2127"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872</w:t>
                      </w:r>
                    </w:p>
                  </w:tc>
                  <w:tc>
                    <w:tcPr>
                      <w:tcW w:w="136" w:type="dxa"/>
                      <w:tcBorders>
                        <w:top w:val="nil"/>
                        <w:left w:val="nil"/>
                        <w:bottom w:val="nil"/>
                        <w:right w:val="nil"/>
                      </w:tcBorders>
                      <w:vAlign w:val="center"/>
                      <w:hideMark/>
                    </w:tcPr>
                    <w:p>
                      <w:pPr>
                        <w:rPr>
                          <w:szCs w:val="24"/>
                          <w:lang w:eastAsia="lt-LT"/>
                        </w:rPr>
                      </w:pPr>
                    </w:p>
                  </w:tc>
                </w:tr>
                <w:tr>
                  <w:trPr>
                    <w:trHeight w:val="424"/>
                  </w:trPr>
                  <w:tc>
                    <w:tcPr>
                      <w:tcW w:w="3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both"/>
                        <w:rPr>
                          <w:szCs w:val="24"/>
                          <w:lang w:eastAsia="lt-LT"/>
                        </w:rPr>
                      </w:pPr>
                      <w:r>
                        <w:rPr>
                          <w:szCs w:val="24"/>
                          <w:lang w:eastAsia="lt-LT"/>
                        </w:rPr>
                        <w:t>Gyventojų skaičius 2019-12-31</w:t>
                      </w:r>
                    </w:p>
                  </w:tc>
                  <w:tc>
                    <w:tcPr>
                      <w:tcW w:w="186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17479</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16403</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1076</w:t>
                      </w:r>
                    </w:p>
                  </w:tc>
                  <w:tc>
                    <w:tcPr>
                      <w:tcW w:w="136" w:type="dxa"/>
                      <w:tcBorders>
                        <w:top w:val="nil"/>
                        <w:left w:val="nil"/>
                        <w:bottom w:val="nil"/>
                        <w:right w:val="nil"/>
                      </w:tcBorders>
                      <w:vAlign w:val="center"/>
                      <w:hideMark/>
                    </w:tcPr>
                    <w:p>
                      <w:pPr>
                        <w:rPr>
                          <w:szCs w:val="24"/>
                          <w:lang w:eastAsia="lt-LT"/>
                        </w:rPr>
                      </w:pPr>
                    </w:p>
                  </w:tc>
                </w:tr>
                <w:tr>
                  <w:trPr>
                    <w:trHeight w:val="444"/>
                  </w:trPr>
                  <w:tc>
                    <w:tcPr>
                      <w:tcW w:w="3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both"/>
                        <w:rPr>
                          <w:szCs w:val="24"/>
                          <w:lang w:eastAsia="lt-LT"/>
                        </w:rPr>
                      </w:pPr>
                      <w:r>
                        <w:rPr>
                          <w:szCs w:val="24"/>
                          <w:lang w:eastAsia="lt-LT"/>
                        </w:rPr>
                        <w:t>Sumažėjo – / Padidėjo :</w:t>
                      </w:r>
                    </w:p>
                  </w:tc>
                  <w:tc>
                    <w:tcPr>
                      <w:tcW w:w="186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-229</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-25</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-204</w:t>
                      </w:r>
                    </w:p>
                  </w:tc>
                  <w:tc>
                    <w:tcPr>
                      <w:tcW w:w="136" w:type="dxa"/>
                      <w:vAlign w:val="center"/>
                      <w:hideMark/>
                    </w:tcPr>
                    <w:p>
                      <w:pPr>
                        <w:rPr>
                          <w:sz w:val="20"/>
                          <w:lang w:eastAsia="lt-LT"/>
                        </w:rPr>
                      </w:pPr>
                    </w:p>
                  </w:tc>
                </w:tr>
              </w:tbl>
              <w:p>
                <w:pPr>
                  <w:tabs>
                    <w:tab w:val="center" w:pos="4819"/>
                    <w:tab w:val="left" w:pos="7695"/>
                  </w:tabs>
                  <w:jc w:val="both"/>
                  <w:rPr>
                    <w:iCs/>
                    <w:szCs w:val="24"/>
                  </w:rPr>
                </w:pPr>
              </w:p>
              <w:p>
                <w:pPr>
                  <w:tabs>
                    <w:tab w:val="left" w:pos="3600"/>
                  </w:tabs>
                  <w:ind w:firstLine="62"/>
                  <w:jc w:val="center"/>
                  <w:rPr>
                    <w:b/>
                    <w:szCs w:val="24"/>
                  </w:rPr>
                </w:pPr>
                <w:r>
                  <w:rPr>
                    <w:b/>
                    <w:szCs w:val="24"/>
                  </w:rPr>
                  <w:t>11 pav. P</w:t>
                </w:r>
                <w:r>
                  <w:rPr>
                    <w:b/>
                    <w:bCs/>
                  </w:rPr>
                  <w:t>risirašiusių gyventojų skaičius prie šeimos gydytojų ir gydytojų komandos</w:t>
                </w:r>
              </w:p>
              <w:p>
                <w:pPr>
                  <w:tabs>
                    <w:tab w:val="left" w:pos="709"/>
                  </w:tabs>
                  <w:ind w:firstLine="567"/>
                  <w:jc w:val="center"/>
                  <w:rPr>
                    <w:i/>
                    <w:szCs w:val="24"/>
                    <w:lang w:val="en-GB"/>
                  </w:rPr>
                </w:pPr>
                <w:r>
                  <w:rPr>
                    <w:sz w:val="20"/>
                    <w:szCs w:val="24"/>
                  </w:rPr>
                  <w:t>(Šaltinis: Alytaus rajono savivaldybės pirminės sveikatos priežiūros centras)</w:t>
                </w:r>
                <w:r>
                  <w:rPr>
                    <w:i/>
                    <w:szCs w:val="24"/>
                    <w:lang w:val="en-GB"/>
                  </w:rPr>
                  <w:t xml:space="preserve"> </w:t>
                </w:r>
              </w:p>
              <w:p>
                <w:pPr>
                  <w:tabs>
                    <w:tab w:val="left" w:pos="709"/>
                  </w:tabs>
                  <w:ind w:firstLine="567"/>
                  <w:jc w:val="both"/>
                  <w:rPr>
                    <w:i/>
                    <w:szCs w:val="24"/>
                    <w:lang w:val="en-GB"/>
                  </w:rPr>
                </w:pPr>
              </w:p>
              <w:p>
                <w:pPr>
                  <w:ind w:firstLine="620"/>
                </w:pPr>
                <w:r>
                  <w:t>ARS asmens sveikatos priežiūros funkcijas vykdo dvi viešosios įstaigos ir viena privataus kapitalo įmonė: ARS Pirminės sveikatos priežiūros centras (ARS PSPC), ARS Greitosios medicinos pagalbos stotis ir UAB „Disolis“. Visuomenės sveikatos priežiūros funkcijas vykdo viena biudžetinė įstaiga – ARS Visuomenės sveikatos biuras.</w:t>
                </w:r>
              </w:p>
              <w:p>
                <w:pPr>
                  <w:ind w:firstLine="620"/>
                  <w:rPr>
                    <w:sz w:val="21"/>
                    <w:szCs w:val="21"/>
                    <w:shd w:val="clear" w:color="auto" w:fill="FFFFFF"/>
                  </w:rPr>
                </w:pPr>
                <w:r>
                  <w:t>Remiantis ARSA informacija, ARS PSPC ambulatorines paslaugas teikia 5 ambulatorijose (Daugų, Butrimonių, Krokialaukio, Simno, Miroslavo) ir 2 BPG kabinetuose (Makniūnų ir Pivašiūnų). ARS PSPC priklausančioje Daugų slaugos ir palaikomojo gydymo ligoninėje teikiamos stacionaro paslaugos. Šeimos klinika „Disolis“ įsikūrusi Dauguose ir teikia ambulatorines asmens sveikatos priežiūros gydymo paslaugas.</w:t>
                </w:r>
              </w:p>
              <w:p>
                <w:pPr>
                  <w:tabs>
                    <w:tab w:val="left" w:pos="709"/>
                  </w:tabs>
                  <w:ind w:firstLine="567"/>
                  <w:jc w:val="both"/>
                </w:pPr>
                <w:r>
                  <w:t>2020 metų Alytaus rajono savivaldybės pirminės sveikatos priežiūros centras tęsė vykdyti projektą „Integrali pagalba į namus Alytaus rajone“, kurio tikslas teikti integralios pagalbos, t. y. slaugos ir socialinių paslaugų visumos paslaugas namuose. Teikiant šias paslaugas asmeniui tenkinami slaugos ir socialinių paslaugų poreikiai, teikiama nuolatinė kompleksinė specialistų pagalba ir priežiūra. Integrali pagalba teikiama komandos principu, kurią sudaro: socialinis darbuotojas ir jo padėjėjai, slaugytojas ir jo padėjėjai, masažistas, kineziterapeutas, ergoterapeutas.</w:t>
                </w:r>
              </w:p>
              <w:p>
                <w:pPr>
                  <w:tabs>
                    <w:tab w:val="left" w:pos="709"/>
                  </w:tabs>
                  <w:ind w:firstLine="567"/>
                  <w:jc w:val="both"/>
                  <w:rPr>
                    <w:szCs w:val="24"/>
                  </w:rPr>
                </w:pPr>
                <w:r>
                  <w:rPr>
                    <w:szCs w:val="24"/>
                  </w:rPr>
                  <w:t xml:space="preserve">Kokybiškos visuomenės sveikatos priežiūros paslaugos visų amžiaus grupių rajono gyventojams, kaip ir ankstesniais metais, teikiamos per Alytaus rajono savivaldybės visuomenės sveikatos biurą, kuris įgyvendina savivaldybės savarankiškas ir valstybines visuomenės sveikatos priežiūros funkcijas pagal šalyje ir savivaldybėje nustatytus ir patvirtintus visuomenės sveikatos priežiūros prioritetus, tikslus ir uždavinius. </w:t>
                </w:r>
              </w:p>
              <w:p>
                <w:pPr>
                  <w:ind w:firstLine="567"/>
                  <w:jc w:val="both"/>
                  <w:rPr>
                    <w:szCs w:val="24"/>
                  </w:rPr>
                </w:pPr>
                <w:r>
                  <w:rPr>
                    <w:szCs w:val="24"/>
                  </w:rPr>
                  <w:t xml:space="preserve">Papildoma (ne asmens sveikatos priežiūros įstaigoje) psichologinė pagalba Alytaus rajono gyventojams Alytaus rajono savivaldybės visuomenės sveikatos biure yra teikiama nuo 2017 m. vasario mėnesio (žr. 12 pav.). Treti metai, kai rajono gyventojai, minimaliomis laiko bei lėšų sąnaudomis, gali gauti profesionalią pagalbą - specialistas vyksta į seniūnijas, mokyklas, globos namus. Pagalba žmonėms tapo lengviau prieinama. Pageidaujantys gauti profesionalią pagalbą, gali registruotis konsultacijai per seniūnijų socialinius darbuotojus, el. paštu, tiesiogiai skambinti specialistui telefonu ar kalbėtis per Skype.   </w:t>
                </w:r>
              </w:p>
              <w:p>
                <w:pPr>
                  <w:ind w:firstLine="1240"/>
                  <w:jc w:val="both"/>
                  <w:rPr>
                    <w:szCs w:val="24"/>
                  </w:rPr>
                </w:pPr>
                <w:r>
                  <w:rPr>
                    <w:szCs w:val="24"/>
                    <w:lang w:eastAsia="lt-LT"/>
                  </w:rPr>
                  <w:drawing>
                    <wp:inline distT="0" distB="0" distL="0" distR="0">
                      <wp:extent cx="4826000" cy="2413000"/>
                      <wp:effectExtent l="0" t="0" r="0" b="6350"/>
                      <wp:docPr id="162" name="Paveikslėlis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1">
                                <a:extLst>
                                  <a:ext uri="{28A0092B-C50C-407E-A947-70E740481C1C}">
                                    <a14:useLocalDpi xmlns:a14="http://schemas.microsoft.com/office/drawing/2010/main" val="0"/>
                                  </a:ext>
                                </a:extLst>
                              </a:blip>
                              <a:srcRect l="2544" t="10538" r="1283" b="1157"/>
                              <a:stretch>
                                <a:fillRect/>
                              </a:stretch>
                            </pic:blipFill>
                            <pic:spPr bwMode="auto">
                              <a:xfrm>
                                <a:off x="0" y="0"/>
                                <a:ext cx="4826000" cy="2413000"/>
                              </a:xfrm>
                              <a:prstGeom prst="rect">
                                <a:avLst/>
                              </a:prstGeom>
                              <a:noFill/>
                            </pic:spPr>
                          </pic:pic>
                        </a:graphicData>
                      </a:graphic>
                    </wp:inline>
                  </w:drawing>
                </w:r>
              </w:p>
              <w:p>
                <w:pPr>
                  <w:ind w:left="720" w:hanging="360"/>
                  <w:jc w:val="center"/>
                  <w:rPr>
                    <w:szCs w:val="24"/>
                  </w:rPr>
                </w:pPr>
                <w:r>
                  <w:rPr>
                    <w:b/>
                    <w:i/>
                    <w:szCs w:val="24"/>
                  </w:rPr>
                  <w:t>12</w:t>
                  <w:tab/>
                  <w:t>av.</w:t>
                </w:r>
                <w:r>
                  <w:rPr>
                    <w:szCs w:val="24"/>
                  </w:rPr>
                  <w:t xml:space="preserve"> Psichologo konsultacijų dinamika</w:t>
                </w:r>
              </w:p>
              <w:p>
                <w:pPr>
                  <w:spacing w:line="360" w:lineRule="atLeast"/>
                  <w:ind w:firstLine="558"/>
                  <w:jc w:val="both"/>
                  <w:textAlignment w:val="baseline"/>
                  <w:rPr>
                    <w:szCs w:val="24"/>
                  </w:rPr>
                </w:pPr>
                <w:r>
                  <w:rPr>
                    <w:szCs w:val="24"/>
                  </w:rPr>
                  <w:t>Alytaus rajono savivaldybės visuomenės sveikatos biuras remdamasis Lietuvos Respublikos sveikatos apsaugos ministro 2020 m. liepos 3 d. įsakymu Nr. V-1596 „Dėl Ilgalaikių neigiamų COVID-19 pandemijos pasekmių visuomenės psichikos sveikatai mažinimo veiksmų plano patvirtinimo“, bei siekdamas stiprinti visuomenės psichologinę gerovę, psichikos sveikatą ir gyventojų streso valdymo įgūdžius teikia psichologinės gerovės ir psichikos sveikatos stiprinimo paslaugas bendruomenėms, įstaigoms, įmonėms, organizacijoms ir pavieniams asmenims. Psichologas asmenims, kuriems pasireiškia psichikos sveikatos rizikos veiksniai dėl sudėtingų gyvenimiškų situacijų,  organizuoja ir (ar) teikia individualias paslaugas – konsultacijas, kurių metu  psichologas įvertina sudėtingos gyvenimiškos situacijos sukeltus psichikos sveikatos rizikos veiksnius, numato preliminarų konsultacijų teikimo laikotarpį, numato  konsultacijų teikimo tikslus ir numatomus rezultatus, suteikia emocinę paramą, sudaro galimybes išreikšti ir (ar) mažinti su asmens sudėtinga gyvenimiška situacija susijusius psichikos sveikatos rizikos veiksnius. Vienam asmeniui teikiamos ne daugiau kaip 5 individualios konsultacijos. Paslaugos gali būti teikiamos vaikams bei suaugusiesiems. Teikiant Paslaugas vaikui iki 16 metų, būtinas rašytinis vieno iš jo tėvų ar globėjo sutikimas. Paslaugų teikimas grindžiamas abipuse pagarba, tarpusavio supratimu ir susitarimu. Asmens pageidavimu Paslaugos gali būti teikiamos anonimiškai.</w:t>
                </w:r>
              </w:p>
              <w:p>
                <w:pPr>
                  <w:rPr>
                    <w:sz w:val="32"/>
                    <w:szCs w:val="32"/>
                  </w:rPr>
                </w:pPr>
              </w:p>
              <w:p>
                <w:pPr>
                  <w:jc w:val="center"/>
                  <w:rPr>
                    <w:b/>
                    <w:szCs w:val="24"/>
                  </w:rPr>
                </w:pPr>
                <w:r>
                  <w:rPr>
                    <w:b/>
                    <w:szCs w:val="24"/>
                  </w:rPr>
                  <w:t>Kitos sveikatos priežiūros programos ir paslaugos</w:t>
                </w:r>
              </w:p>
              <w:p>
                <w:pPr>
                  <w:rPr>
                    <w:sz w:val="10"/>
                    <w:szCs w:val="10"/>
                  </w:rPr>
                </w:pPr>
              </w:p>
              <w:p>
                <w:pPr>
                  <w:ind w:firstLine="567"/>
                  <w:jc w:val="both"/>
                  <w:rPr>
                    <w:b/>
                    <w:i/>
                    <w:szCs w:val="24"/>
                  </w:rPr>
                </w:pPr>
                <w:r>
                  <w:rPr>
                    <w:b/>
                    <w:i/>
                    <w:szCs w:val="24"/>
                  </w:rPr>
                  <w:t xml:space="preserve">Visuomenės sveikatos rėmimo specialioji programa. </w:t>
                </w:r>
                <w:r>
                  <w:rPr>
                    <w:szCs w:val="24"/>
                  </w:rPr>
                  <w:t xml:space="preserve">Viena iš savivaldybės savarankiškųjų funkcijų – savivaldybės visuomenės sveikatos specialiosios rėmimo programos rengimas ir įgyvendinimas. 2019 metais siekiant tikslingai, kryptingai organizuoti ir užtikrinti visuomenės sveikatos specialiosios rėmimo programos vykdymą, pagal šią programą, sutarties pagrindu, tarp projekto vykdytojų ir savivaldybės administracijos direktoriaus, buvo finansuota 13 projektų. </w:t>
                </w:r>
              </w:p>
              <w:p>
                <w:pPr>
                  <w:tabs>
                    <w:tab w:val="left" w:pos="709"/>
                  </w:tabs>
                  <w:ind w:firstLine="567"/>
                  <w:jc w:val="both"/>
                  <w:rPr>
                    <w:szCs w:val="24"/>
                  </w:rPr>
                </w:pPr>
                <w:r>
                  <w:rPr>
                    <w:szCs w:val="24"/>
                  </w:rPr>
                  <w:t>Projektai įvairiapusiai, apimantys visas gyventojų grupes, įvairūs pagal veiklas ir vykdymo būdus, atitinka vertinimo kriterijus ir savivaldybės prioritetines sveikatos kryptis: vaikų ir jaunimo sveikata, lėtinių neinfekcinių ligų ir traumų prevencija, sveikos mitybos ugdymas, fizinio aktyvumo skatinimas, psichinės sveikatos gerinimas. Visi projektų vykdytojai projektams skirtas lėšas įsisavino, užsibrėžtus vertinimo kriterijus įvykdė sėkmingai.</w:t>
                </w:r>
              </w:p>
              <w:p>
                <w:pPr>
                  <w:ind w:firstLine="567"/>
                  <w:jc w:val="both"/>
                  <w:rPr>
                    <w:b/>
                    <w:i/>
                    <w:szCs w:val="24"/>
                  </w:rPr>
                </w:pPr>
                <w:r>
                  <w:rPr>
                    <w:b/>
                    <w:i/>
                    <w:szCs w:val="24"/>
                  </w:rPr>
                  <w:t xml:space="preserve">Dantų protezavimo paslaugos teikimas. </w:t>
                </w:r>
                <w:r>
                  <w:rPr>
                    <w:szCs w:val="24"/>
                  </w:rPr>
                  <w:t>Gyventojams nemokama dantų protezavimo paslauga kompensuojama teisės aktais nustatyta tvarka iš privalomojo sveikatos draudimo fondo. Siekiant sumažinti gyventojų, laukiančių dantų protezavimo paslaugų eilę 2019 metais buvo skiriami papildomi asignavimai dantų protezavimo paslaugoms suteikti. Protezavimo paslauga pasinaudojo 62 Alytaus rajono savivaldybės gyventojai.</w:t>
                </w:r>
              </w:p>
              <w:p>
                <w:pPr>
                  <w:tabs>
                    <w:tab w:val="left" w:pos="709"/>
                  </w:tabs>
                  <w:ind w:firstLine="567"/>
                  <w:jc w:val="both"/>
                  <w:rPr>
                    <w:szCs w:val="24"/>
                  </w:rPr>
                </w:pPr>
              </w:p>
              <w:p>
                <w:pPr>
                  <w:ind w:firstLine="567"/>
                  <w:jc w:val="both"/>
                  <w:rPr>
                    <w:b/>
                    <w:i/>
                    <w:szCs w:val="24"/>
                  </w:rPr>
                </w:pPr>
                <w:r>
                  <w:rPr>
                    <w:b/>
                    <w:i/>
                    <w:szCs w:val="24"/>
                  </w:rPr>
                  <w:t xml:space="preserve">Priklausomybių mažinimo programa. </w:t>
                </w:r>
                <w:r>
                  <w:rPr>
                    <w:szCs w:val="24"/>
                  </w:rPr>
                  <w:t xml:space="preserve">Dažna socialinių problemų priežastis – gyventojų priklausomybės. Atsižvelgiant į tai, ARS 7 m. yra įgyvendinama socialinę riziką patiriantiems asmenims orientuota priklausomybių mažinimo programa, kurios pagrindinis tikslas – padidinti ARS gyventojų galimybes gydytis nuo priklausomybės ligų </w:t>
                </w:r>
                <w:r>
                  <w:t>(žr. 13 pav.)</w:t>
                </w:r>
                <w:r>
                  <w:rPr>
                    <w:szCs w:val="24"/>
                  </w:rPr>
                  <w:t>. Programa įgyvendinama bendradarbiaujant medikams, socialiniams darbuotojams, bendruomenių nariams, programos dalyviams bei jų šeimos nariams; siejant su šia programa, kelioms dešimtims programos dalyvių pavyko pasiekti teigiamų pokyčių jų gyvenime (aktyvumas darbo rinkoje, pagerintos buities sąlygos, nekeliami vaikų priežiūros apribojimo klausimai ir pan.).</w:t>
                </w:r>
                <w:r>
                  <w:t xml:space="preserve"> Kasmet programa pasinaudoja apie 40-50 asmenų. Visiems programos dalyviams buvo suteiktos paslaugos dėl priklausomybės alkoholiui. Bendromis medikų, socialinių darbuotojų, bendruomenių narių ir programos dalyvių bei jų šeimų narių pastangomis per penkerius programos vykdymo metus daugiau nei trisdešimčiai programos dalyvių pavyko pasiekti teigiamų pokyčių jų gyvenime: įsidarbinta arba neprarastas darbas, pagerintos buities sąlygos, nekeliami vaikų priežiūros apribojimo klausimai ir pan. Visų metų atkryčių dinamika – iki 40 proc.</w:t>
                </w:r>
              </w:p>
              <w:p>
                <w:pPr>
                  <w:ind w:firstLine="1364"/>
                  <w:jc w:val="both"/>
                  <w:rPr>
                    <w:lang w:eastAsia="lt-LT"/>
                  </w:rPr>
                </w:pPr>
                <w:r>
                  <w:rPr>
                    <w:lang w:eastAsia="lt-LT"/>
                  </w:rPr>
                  <w:drawing>
                    <wp:inline distT="0" distB="0" distL="0" distR="0">
                      <wp:extent cx="4914900" cy="2686050"/>
                      <wp:effectExtent l="0" t="0" r="0" b="0"/>
                      <wp:docPr id="163" name="Paveikslėlis 163" descr="D:\Desktop\Ataskaita 2015 direktoriaus\priklausomybių mazinima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D:\Desktop\Ataskaita 2015 direktoriaus\priklausomybių mazinimas.gif"/>
                              <pic:cNvPicPr>
                                <a:picLocks noChangeAspect="1" noChangeArrowheads="1"/>
                              </pic:cNvPicPr>
                            </pic:nvPicPr>
                            <pic:blipFill>
                              <a:blip r:embed="rId52">
                                <a:extLst>
                                  <a:ext uri="{28A0092B-C50C-407E-A947-70E740481C1C}">
                                    <a14:useLocalDpi xmlns:a14="http://schemas.microsoft.com/office/drawing/2010/main" val="0"/>
                                  </a:ext>
                                </a:extLst>
                              </a:blip>
                              <a:srcRect l="8809" t="4825" r="6563" b="35013"/>
                              <a:stretch>
                                <a:fillRect/>
                              </a:stretch>
                            </pic:blipFill>
                            <pic:spPr bwMode="auto">
                              <a:xfrm>
                                <a:off x="0" y="0"/>
                                <a:ext cx="4914900" cy="2686050"/>
                              </a:xfrm>
                              <a:prstGeom prst="rect">
                                <a:avLst/>
                              </a:prstGeom>
                              <a:noFill/>
                              <a:ln>
                                <a:noFill/>
                              </a:ln>
                            </pic:spPr>
                          </pic:pic>
                        </a:graphicData>
                      </a:graphic>
                    </wp:inline>
                  </w:drawing>
                </w:r>
              </w:p>
              <w:p>
                <w:pPr>
                  <w:rPr>
                    <w:sz w:val="10"/>
                    <w:szCs w:val="10"/>
                  </w:rPr>
                </w:pPr>
              </w:p>
              <w:p>
                <w:pPr>
                  <w:jc w:val="center"/>
                </w:pPr>
                <w:r>
                  <w:rPr>
                    <w:b/>
                    <w:i/>
                    <w:lang w:eastAsia="lt-LT"/>
                  </w:rPr>
                  <w:t>13 pav.</w:t>
                </w:r>
                <w:r>
                  <w:rPr>
                    <w:lang w:eastAsia="lt-LT"/>
                  </w:rPr>
                  <w:t xml:space="preserve"> </w:t>
                </w:r>
                <w:r>
                  <w:t>Priklausomybių mažinimo programos dalyvių pasiskirstymas pagal lytį ir šeimyninę padėtį</w:t>
                </w:r>
              </w:p>
              <w:p>
                <w:pPr>
                  <w:rPr>
                    <w:sz w:val="10"/>
                    <w:szCs w:val="10"/>
                  </w:rPr>
                </w:pPr>
              </w:p>
              <w:p>
                <w:pPr>
                  <w:tabs>
                    <w:tab w:val="left" w:pos="709"/>
                  </w:tabs>
                  <w:ind w:firstLine="567"/>
                  <w:jc w:val="both"/>
                </w:pPr>
                <w:r>
                  <w:t>Užtikrinant kokybiškas ir gyventojams prieinamas sveikatos priežiūros paslaugas savivaldybėje taip pat buvo vykdomos triukšmo prevencijos priemonės, maudyklų stebėsena, koordinuojamas tarpinstitucinis bendradarbiavimas, aktyviai dalyvaujama skleidžiant tikslinę informaciją savivaldybės gyventojams tiek asmens, tiek ir visuomenės sveikatos apsaugos srityse.</w:t>
                </w:r>
              </w:p>
              <w:p>
                <w:pPr>
                  <w:ind w:firstLine="460"/>
                  <w:jc w:val="both"/>
                  <w:rPr>
                    <w:szCs w:val="24"/>
                  </w:rPr>
                </w:pPr>
              </w:p>
              <w:p>
                <w:pPr>
                  <w:suppressAutoHyphens/>
                  <w:jc w:val="center"/>
                  <w:textAlignment w:val="baseline"/>
                  <w:rPr>
                    <w:b/>
                    <w:kern w:val="3"/>
                    <w:lang w:eastAsia="lt-LT"/>
                  </w:rPr>
                </w:pPr>
                <w:r>
                  <w:rPr>
                    <w:b/>
                    <w:kern w:val="3"/>
                    <w:lang w:eastAsia="lt-LT"/>
                  </w:rPr>
                  <w:t>Kultūra</w:t>
                </w:r>
              </w:p>
              <w:p>
                <w:pPr>
                  <w:suppressAutoHyphens/>
                  <w:jc w:val="center"/>
                  <w:textAlignment w:val="baseline"/>
                  <w:rPr>
                    <w:kern w:val="3"/>
                    <w:lang w:eastAsia="lt-LT"/>
                  </w:rPr>
                </w:pPr>
              </w:p>
              <w:p>
                <w:pPr>
                  <w:ind w:firstLine="682"/>
                  <w:jc w:val="both"/>
                  <w:rPr>
                    <w:szCs w:val="24"/>
                    <w:lang w:eastAsia="lt-LT"/>
                  </w:rPr>
                </w:pPr>
                <w:r>
                  <w:rPr>
                    <w:szCs w:val="24"/>
                    <w:lang w:eastAsia="lt-LT"/>
                  </w:rPr>
                  <w:t>Siekiama gerinti gyventojų informacinį, kultūrinį aptarnavimą, išsaugoti ir plačiau panaudoti regiono kultūrinį savitumą, užtikrinant kultūros įstaigų veiklą, ugdyti visuomenės kultūrinį, pilietinį bei visuomeninį aktyvumą, tradicinės religinės bendruomenės skatinimas, formuoti ir įgyvendinti savivaldybės kultūros politiką bei atlikti visus veiksmus, susijusius su savivaldybės teigiamo įvaizdžio formavimu.</w:t>
                </w:r>
              </w:p>
              <w:p>
                <w:pPr>
                  <w:ind w:firstLine="670"/>
                  <w:jc w:val="both"/>
                  <w:rPr>
                    <w:szCs w:val="24"/>
                    <w:lang w:eastAsia="lt-LT"/>
                  </w:rPr>
                </w:pPr>
                <w:r>
                  <w:rPr>
                    <w:szCs w:val="24"/>
                    <w:lang w:eastAsia="lt-LT"/>
                  </w:rPr>
                  <w:t>Kultūros projektų finansavimui skirta 70500  Eur (svarbiausiems bei tradiciniams rajono renginiams, valstybinėms kalendorinėms datoms pažymėti, meno mėgėjų kolektyvams skatinti, leidybai).</w:t>
                </w:r>
              </w:p>
              <w:p>
                <w:pPr>
                  <w:jc w:val="both"/>
                  <w:rPr>
                    <w:szCs w:val="24"/>
                    <w:lang w:val="en-GB"/>
                  </w:rPr>
                </w:pPr>
                <w:r>
                  <w:rPr>
                    <w:szCs w:val="24"/>
                    <w:lang w:val="en-GB" w:eastAsia="lt-LT"/>
                  </w:rPr>
                  <w:t>Įgarsinti 128 rajono renginiai. Naudota savivaldybės mobili garso ir šviesos technika, mobili scena – 23 renginiuose.</w:t>
                </w:r>
              </w:p>
              <w:p>
                <w:pPr>
                  <w:ind w:firstLine="682"/>
                  <w:jc w:val="both"/>
                  <w:rPr>
                    <w:szCs w:val="24"/>
                    <w:lang w:val="en-GB" w:eastAsia="lt-LT"/>
                  </w:rPr>
                </w:pPr>
                <w:r>
                  <w:rPr>
                    <w:szCs w:val="24"/>
                    <w:lang w:val="en-GB" w:eastAsia="lt-LT"/>
                  </w:rPr>
                  <w:t>Kuruota  koordinuota Alytaus rajono savivaldybės kultūros centro veikla, rajoninės šventės, renginiai. Parodos, tautodailininkų. Amatininkų parodos – mugės.</w:t>
                </w:r>
              </w:p>
              <w:p>
                <w:pPr>
                  <w:jc w:val="both"/>
                  <w:rPr>
                    <w:szCs w:val="24"/>
                    <w:lang w:val="en-GB" w:eastAsia="lt-LT"/>
                  </w:rPr>
                </w:pPr>
                <w:r>
                  <w:rPr>
                    <w:szCs w:val="24"/>
                    <w:lang w:val="en-GB" w:eastAsia="lt-LT"/>
                  </w:rPr>
                  <w:t>Alytaus rajono savivaldybės kultūros centro veikla 2021 m.</w:t>
                </w:r>
              </w:p>
              <w:tbl>
                <w:tblPr>
                  <w:tblW w:w="0" w:type="dxa"/>
                  <w:shd w:val="clear" w:color="auto" w:fill="FFFFFF"/>
                  <w:tblCellMar>
                    <w:left w:w="0" w:type="dxa"/>
                    <w:right w:w="0" w:type="dxa"/>
                  </w:tblCellMar>
                  <w:tblLook w:val="04A0" w:firstRow="1" w:lastRow="0" w:firstColumn="1" w:lastColumn="0" w:noHBand="0" w:noVBand="1"/>
                </w:tblPr>
                <w:tblGrid>
                  <w:gridCol w:w="1540"/>
                  <w:gridCol w:w="1329"/>
                  <w:gridCol w:w="1462"/>
                  <w:gridCol w:w="2109"/>
                  <w:gridCol w:w="1185"/>
                  <w:gridCol w:w="1762"/>
                </w:tblGrid>
                <w:tr>
                  <w:tc>
                    <w:tcPr>
                      <w:tcW w:w="1605" w:type="dxa"/>
                      <w:tcBorders>
                        <w:top w:val="single" w:sz="8" w:space="0" w:color="00000A"/>
                        <w:left w:val="single" w:sz="8" w:space="0" w:color="00000A"/>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Pavadinimas</w:t>
                      </w:r>
                    </w:p>
                  </w:tc>
                  <w:tc>
                    <w:tcPr>
                      <w:tcW w:w="1396"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Meno mėgėjų kolektyvai</w:t>
                      </w:r>
                    </w:p>
                    <w:p>
                      <w:pPr>
                        <w:jc w:val="center"/>
                        <w:textAlignment w:val="baseline"/>
                        <w:rPr>
                          <w:szCs w:val="24"/>
                          <w:lang w:val="en-GB" w:eastAsia="lt-LT"/>
                        </w:rPr>
                      </w:pPr>
                      <w:r>
                        <w:rPr>
                          <w:szCs w:val="24"/>
                          <w:lang w:val="en-GB" w:eastAsia="lt-LT"/>
                        </w:rPr>
                        <w:t>(su būreliais)</w:t>
                      </w:r>
                    </w:p>
                  </w:tc>
                  <w:tc>
                    <w:tcPr>
                      <w:tcW w:w="1559"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Kolektyvų veikloje dalyvauja dalyvių</w:t>
                      </w:r>
                    </w:p>
                  </w:tc>
                  <w:tc>
                    <w:tcPr>
                      <w:tcW w:w="2268"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Suorganizuota renginių (parodų, švenčių, diskotekų, išvykų ir t. t)</w:t>
                      </w:r>
                    </w:p>
                  </w:tc>
                  <w:tc>
                    <w:tcPr>
                      <w:tcW w:w="1195"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Lankytojų skaičius renginiuose</w:t>
                      </w:r>
                    </w:p>
                  </w:tc>
                  <w:tc>
                    <w:tcPr>
                      <w:tcW w:w="1924"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Kultūros plėtros programos lėšomis finansuoti projektai</w:t>
                      </w:r>
                    </w:p>
                  </w:tc>
                </w:tr>
                <w:tr>
                  <w:tc>
                    <w:tcPr>
                      <w:tcW w:w="1605" w:type="dxa"/>
                      <w:tcBorders>
                        <w:top w:val="nil"/>
                        <w:left w:val="single" w:sz="8" w:space="0" w:color="00000A"/>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ARSKC ir skyriai</w:t>
                      </w:r>
                    </w:p>
                  </w:tc>
                  <w:tc>
                    <w:tcPr>
                      <w:tcW w:w="1396"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62</w:t>
                      </w:r>
                    </w:p>
                  </w:tc>
                  <w:tc>
                    <w:tcPr>
                      <w:tcW w:w="1559"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473</w:t>
                      </w:r>
                    </w:p>
                  </w:tc>
                  <w:tc>
                    <w:tcPr>
                      <w:tcW w:w="2268"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292</w:t>
                      </w:r>
                    </w:p>
                  </w:tc>
                  <w:tc>
                    <w:tcPr>
                      <w:tcW w:w="1195"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83320</w:t>
                      </w:r>
                    </w:p>
                  </w:tc>
                  <w:tc>
                    <w:tcPr>
                      <w:tcW w:w="1924"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16</w:t>
                      </w:r>
                    </w:p>
                  </w:tc>
                </w:tr>
              </w:tbl>
              <w:p>
                <w:pPr>
                  <w:ind w:firstLine="62"/>
                  <w:jc w:val="both"/>
                  <w:rPr>
                    <w:szCs w:val="24"/>
                    <w:lang w:val="en-GB" w:eastAsia="lt-LT"/>
                  </w:rPr>
                </w:pPr>
              </w:p>
              <w:p>
                <w:pPr>
                  <w:ind w:firstLine="62"/>
                  <w:jc w:val="both"/>
                  <w:rPr>
                    <w:szCs w:val="24"/>
                    <w:lang w:val="en-GB" w:eastAsia="lt-LT"/>
                  </w:rPr>
                </w:pPr>
              </w:p>
              <w:p>
                <w:pPr>
                  <w:textAlignment w:val="baseline"/>
                  <w:rPr>
                    <w:szCs w:val="24"/>
                    <w:lang w:val="en-GB" w:eastAsia="lt-LT"/>
                  </w:rPr>
                </w:pPr>
                <w:r>
                  <w:rPr>
                    <w:szCs w:val="24"/>
                    <w:lang w:val="en-GB" w:eastAsia="lt-LT"/>
                  </w:rPr>
                  <w:t>Alytaus rajono savivaldybės kultūros centro lėšos 2021 m.</w:t>
                </w:r>
              </w:p>
              <w:p>
                <w:pPr>
                  <w:rPr>
                    <w:sz w:val="10"/>
                    <w:szCs w:val="10"/>
                  </w:rPr>
                </w:pPr>
              </w:p>
              <w:tbl>
                <w:tblPr>
                  <w:tblW w:w="0" w:type="dxa"/>
                  <w:shd w:val="clear" w:color="auto" w:fill="FFFFFF"/>
                  <w:tblCellMar>
                    <w:left w:w="0" w:type="dxa"/>
                    <w:right w:w="0" w:type="dxa"/>
                  </w:tblCellMar>
                  <w:tblLook w:val="04A0" w:firstRow="1" w:lastRow="0" w:firstColumn="1" w:lastColumn="0" w:noHBand="0" w:noVBand="1"/>
                </w:tblPr>
                <w:tblGrid>
                  <w:gridCol w:w="1851"/>
                  <w:gridCol w:w="1855"/>
                  <w:gridCol w:w="1832"/>
                  <w:gridCol w:w="1855"/>
                  <w:gridCol w:w="1994"/>
                </w:tblGrid>
                <w:tr>
                  <w:tc>
                    <w:tcPr>
                      <w:tcW w:w="1925" w:type="dxa"/>
                      <w:tcBorders>
                        <w:top w:val="single" w:sz="8" w:space="0" w:color="00000A"/>
                        <w:left w:val="single" w:sz="8" w:space="0" w:color="00000A"/>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Pavadinimas</w:t>
                      </w:r>
                    </w:p>
                  </w:tc>
                  <w:tc>
                    <w:tcPr>
                      <w:tcW w:w="1923"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Savivaldybės biudžeto lėšos Eur</w:t>
                      </w:r>
                    </w:p>
                  </w:tc>
                  <w:tc>
                    <w:tcPr>
                      <w:tcW w:w="1926"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Surinkta specialiųjų lėšų Eur</w:t>
                      </w:r>
                    </w:p>
                  </w:tc>
                  <w:tc>
                    <w:tcPr>
                      <w:tcW w:w="1925"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Projektų finansavimas Eur</w:t>
                      </w:r>
                    </w:p>
                  </w:tc>
                  <w:tc>
                    <w:tcPr>
                      <w:tcW w:w="1928"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Regioninių  kultūros projektų („Tolygi raida“) lėšos</w:t>
                      </w:r>
                    </w:p>
                  </w:tc>
                </w:tr>
                <w:tr>
                  <w:tc>
                    <w:tcPr>
                      <w:tcW w:w="1925" w:type="dxa"/>
                      <w:tcBorders>
                        <w:top w:val="nil"/>
                        <w:left w:val="single" w:sz="8" w:space="0" w:color="00000A"/>
                        <w:bottom w:val="single" w:sz="8" w:space="0" w:color="00000A"/>
                        <w:right w:val="single" w:sz="8" w:space="0" w:color="00000A"/>
                      </w:tcBorders>
                      <w:shd w:val="clear" w:color="auto" w:fill="FFFFFF"/>
                      <w:hideMark/>
                    </w:tcPr>
                    <w:p>
                      <w:pPr>
                        <w:textAlignment w:val="baseline"/>
                        <w:rPr>
                          <w:szCs w:val="24"/>
                          <w:lang w:eastAsia="lt-LT"/>
                        </w:rPr>
                      </w:pPr>
                      <w:r>
                        <w:rPr>
                          <w:szCs w:val="24"/>
                          <w:lang w:eastAsia="lt-LT"/>
                        </w:rPr>
                        <w:t>ARSKC ir skyriai</w:t>
                      </w:r>
                    </w:p>
                  </w:tc>
                  <w:tc>
                    <w:tcPr>
                      <w:tcW w:w="1923" w:type="dxa"/>
                      <w:tcBorders>
                        <w:top w:val="nil"/>
                        <w:left w:val="nil"/>
                        <w:bottom w:val="single" w:sz="8" w:space="0" w:color="00000A"/>
                        <w:right w:val="single" w:sz="8" w:space="0" w:color="00000A"/>
                      </w:tcBorders>
                      <w:shd w:val="clear" w:color="auto" w:fill="FFFFFF"/>
                      <w:hideMark/>
                    </w:tcPr>
                    <w:p>
                      <w:pPr>
                        <w:jc w:val="center"/>
                        <w:textAlignment w:val="baseline"/>
                        <w:rPr>
                          <w:szCs w:val="24"/>
                          <w:lang w:eastAsia="lt-LT"/>
                        </w:rPr>
                      </w:pPr>
                      <w:r>
                        <w:rPr>
                          <w:szCs w:val="24"/>
                          <w:lang w:eastAsia="lt-LT"/>
                        </w:rPr>
                        <w:t>497400</w:t>
                      </w:r>
                    </w:p>
                  </w:tc>
                  <w:tc>
                    <w:tcPr>
                      <w:tcW w:w="1926" w:type="dxa"/>
                      <w:tcBorders>
                        <w:top w:val="nil"/>
                        <w:left w:val="nil"/>
                        <w:bottom w:val="single" w:sz="8" w:space="0" w:color="00000A"/>
                        <w:right w:val="single" w:sz="8" w:space="0" w:color="00000A"/>
                      </w:tcBorders>
                      <w:shd w:val="clear" w:color="auto" w:fill="FFFFFF"/>
                      <w:hideMark/>
                    </w:tcPr>
                    <w:p>
                      <w:pPr>
                        <w:jc w:val="center"/>
                        <w:textAlignment w:val="baseline"/>
                        <w:rPr>
                          <w:szCs w:val="24"/>
                          <w:lang w:eastAsia="lt-LT"/>
                        </w:rPr>
                      </w:pPr>
                      <w:r>
                        <w:rPr>
                          <w:szCs w:val="24"/>
                          <w:lang w:eastAsia="lt-LT"/>
                        </w:rPr>
                        <w:t>6322</w:t>
                      </w:r>
                    </w:p>
                  </w:tc>
                  <w:tc>
                    <w:tcPr>
                      <w:tcW w:w="1925" w:type="dxa"/>
                      <w:tcBorders>
                        <w:top w:val="nil"/>
                        <w:left w:val="nil"/>
                        <w:bottom w:val="single" w:sz="8" w:space="0" w:color="00000A"/>
                        <w:right w:val="single" w:sz="8" w:space="0" w:color="00000A"/>
                      </w:tcBorders>
                      <w:shd w:val="clear" w:color="auto" w:fill="FFFFFF"/>
                      <w:hideMark/>
                    </w:tcPr>
                    <w:p>
                      <w:pPr>
                        <w:jc w:val="center"/>
                        <w:textAlignment w:val="baseline"/>
                        <w:rPr>
                          <w:szCs w:val="24"/>
                          <w:lang w:eastAsia="lt-LT"/>
                        </w:rPr>
                      </w:pPr>
                      <w:r>
                        <w:rPr>
                          <w:szCs w:val="24"/>
                          <w:lang w:eastAsia="lt-LT"/>
                        </w:rPr>
                        <w:t>38670</w:t>
                      </w:r>
                    </w:p>
                  </w:tc>
                  <w:tc>
                    <w:tcPr>
                      <w:tcW w:w="1928" w:type="dxa"/>
                      <w:tcBorders>
                        <w:top w:val="nil"/>
                        <w:left w:val="nil"/>
                        <w:bottom w:val="single" w:sz="8" w:space="0" w:color="00000A"/>
                        <w:right w:val="single" w:sz="8" w:space="0" w:color="00000A"/>
                      </w:tcBorders>
                      <w:shd w:val="clear" w:color="auto" w:fill="FFFFFF"/>
                      <w:hideMark/>
                    </w:tcPr>
                    <w:p>
                      <w:pPr>
                        <w:jc w:val="center"/>
                        <w:textAlignment w:val="baseline"/>
                        <w:rPr>
                          <w:szCs w:val="24"/>
                          <w:lang w:eastAsia="lt-LT"/>
                        </w:rPr>
                      </w:pPr>
                      <w:r>
                        <w:rPr>
                          <w:szCs w:val="24"/>
                          <w:lang w:eastAsia="lt-LT"/>
                        </w:rPr>
                        <w:t>7250</w:t>
                      </w:r>
                    </w:p>
                  </w:tc>
                </w:tr>
              </w:tbl>
              <w:p>
                <w:pPr>
                  <w:ind w:firstLine="62"/>
                  <w:textAlignment w:val="baseline"/>
                  <w:rPr>
                    <w:szCs w:val="24"/>
                    <w:lang w:eastAsia="lt-LT"/>
                  </w:rPr>
                </w:pPr>
              </w:p>
              <w:p>
                <w:pPr>
                  <w:rPr>
                    <w:sz w:val="10"/>
                    <w:szCs w:val="10"/>
                  </w:rPr>
                </w:pPr>
              </w:p>
              <w:p>
                <w:pPr>
                  <w:keepNext/>
                  <w:ind w:firstLine="620"/>
                  <w:jc w:val="both"/>
                  <w:rPr>
                    <w:szCs w:val="24"/>
                  </w:rPr>
                </w:pPr>
                <w:r>
                  <w:rPr>
                    <w:szCs w:val="24"/>
                  </w:rPr>
                  <w:t>Alytaus rajone suorganizuoti ir įgyvendinti Alytaus rajoną reprezentuojantys didieji renginiai: „Op ir vasara Butrimonyse!“, Joninės Dauguose, Simne, Nemunaityje, Pivašiūnuose, Valstybės ( Lietuvos karaliaus Mindaugo karūnavimo) dienos iškilmė Dauguose, Oninių (šviežios duonelės) šventė Punioje, „Takelis veda vėl namo“ Eičiūnuose, „Kaip gyveni, kaimyne“ Krokialaukyje, „Taip dainavo mūs senoliai“ Luksnėnuose, „Skambėk širdy, nenustok“ Alovėje, Miroslavo seniūnijos šventė „Širdim tave apkabinsiu“, Kalėdinių eglučių įžiebimo šventės Alytaus rajono seniūnijose.</w:t>
                </w:r>
              </w:p>
              <w:p>
                <w:pPr>
                  <w:ind w:firstLine="567"/>
                  <w:jc w:val="both"/>
                  <w:rPr>
                    <w:szCs w:val="24"/>
                    <w:lang w:eastAsia="lt-LT"/>
                  </w:rPr>
                </w:pPr>
                <w:r>
                  <w:rPr>
                    <w:szCs w:val="24"/>
                    <w:lang w:eastAsia="lt-LT"/>
                  </w:rPr>
                  <w:t xml:space="preserve">Meno mėgėjų kolektyvų skatinimui: kapelos „Punelė“ CD leidybai,  Simno skyriaus liaudiškos muzikos kapelai „Simnyčia“ instrumentų įsigijimui.</w:t>
                </w:r>
              </w:p>
              <w:p>
                <w:pPr>
                  <w:ind w:firstLine="567"/>
                  <w:jc w:val="both"/>
                </w:pPr>
              </w:p>
              <w:p>
                <w:pPr>
                  <w:jc w:val="center"/>
                  <w:rPr>
                    <w:b/>
                    <w:szCs w:val="24"/>
                  </w:rPr>
                </w:pPr>
                <w:r>
                  <w:rPr>
                    <w:b/>
                    <w:szCs w:val="24"/>
                  </w:rPr>
                  <w:t>Technologiniai veiksniai</w:t>
                </w:r>
              </w:p>
              <w:p>
                <w:pPr>
                  <w:jc w:val="center"/>
                  <w:rPr>
                    <w:b/>
                    <w:szCs w:val="24"/>
                  </w:rPr>
                </w:pPr>
              </w:p>
              <w:p>
                <w:pPr>
                  <w:ind w:firstLine="567"/>
                  <w:jc w:val="both"/>
                  <w:rPr>
                    <w:b/>
                    <w:szCs w:val="24"/>
                  </w:rPr>
                </w:pPr>
                <w:r>
                  <w:rPr>
                    <w:szCs w:val="24"/>
                  </w:rPr>
                  <w:t>Į gamybą orientuotos inovacinės veiklos efektyvumą labiausiai lemia technologiniai pasikeitimai, kurie nuolat vyksta išorinėje aplinkoje. Neįvertinus minėto veiksnio, inovacinės veiklos rezultatas gali tapti nekonkurentiškas. Pabrėžtina ir tai, kad itin daug reikšmės inovacinei veiklai turi intelektinis potencialas – informacija. Plinta daugybė esamų ir vis naujai atsirandančių kanalų, padeda laiku ir deramai įvertinti technologinius veiksnius (naujos technologijos, medžiagos, technika). Nesugebėti laiku reaguoti į nuolat vykstančius pasikeitimus inovacinei veiklai gali būti pražūtinga.</w:t>
                </w:r>
              </w:p>
              <w:p>
                <w:pPr>
                  <w:ind w:firstLine="567"/>
                  <w:jc w:val="both"/>
                  <w:rPr>
                    <w:szCs w:val="24"/>
                  </w:rPr>
                </w:pPr>
                <w:r>
                  <w:rPr>
                    <w:szCs w:val="24"/>
                  </w:rPr>
                  <w:t xml:space="preserve">Ilgalaikėje perspektyvoje svarbiausias ir patikimiausias Lietuvos ekonomikos augimo šaltinis yra žinios, technologijos ir žmonių ištekliai. Tokią išvadą lemia dvi priežastys. </w:t>
                </w:r>
              </w:p>
              <w:p>
                <w:pPr>
                  <w:ind w:firstLine="567"/>
                  <w:jc w:val="both"/>
                  <w:rPr>
                    <w:szCs w:val="24"/>
                  </w:rPr>
                </w:pPr>
                <w:r>
                  <w:rPr>
                    <w:szCs w:val="24"/>
                  </w:rPr>
                  <w:t>Pirma, Lietuvos vietinė rinka yra labai maža, o jos tradicinių produktų eksporto rinkos taip pat yra ribotos arba jose yra stipri konkurencija. Dėl šios priežasties, eksporto nevykdančios įmonės, šiuo, globalinės krizės laikotarpiu susidūrė su itin didelėmis problemomis ir dauguma jų priverstos bankrutuoti arba reorganizuoti savo veiklą.</w:t>
                </w:r>
              </w:p>
              <w:p>
                <w:pPr>
                  <w:ind w:firstLine="567"/>
                  <w:jc w:val="both"/>
                  <w:rPr>
                    <w:szCs w:val="24"/>
                  </w:rPr>
                </w:pPr>
                <w:r>
                  <w:rPr>
                    <w:szCs w:val="24"/>
                  </w:rPr>
                  <w:t xml:space="preserve">Antra, Lietuvoje jau senokai pasibaigė periodas, kai verslo įmonės galėjo palyginti nesunkiai, gaminant standartinius produktus, be didesnių pastangų ar taikant gana elementarius verslo organizavimo metodus gauti pelną. Šiuo sunkiu periodu, kai ekonomikos nuosmukis pasiekė apogėjų, siekiant sėkmingai  plėtoti ir vystyti verslą, jau reikia išsiugdyti tokias kokybes, kurios siejasi su sėkmingos konkurencijos veiksniais. Norint įsitvirtinti naujose rinkose, Lietuvai reikia naujų technologijų ir inovacijų.</w:t>
                </w:r>
              </w:p>
              <w:p>
                <w:pPr>
                  <w:ind w:firstLine="567"/>
                  <w:jc w:val="both"/>
                  <w:rPr>
                    <w:szCs w:val="24"/>
                  </w:rPr>
                </w:pPr>
                <w:r>
                  <w:rPr>
                    <w:szCs w:val="24"/>
                  </w:rPr>
                  <w:t xml:space="preserve">Pagrindinės Alytaus rajono problemos – didžiųjų įmonių žlugimas. Vietoj žlugusių didžiųjų įmonių kūrėsi smulkusis ir vidutinis verslas. Didžioji dalis Alytaus rajono įmonių stengėsi vykdyti inovacines veiklas: kūrė naujus ir tobulino esamus produktus, diegė naujas ir modernias technologijas, pažangius vadybos metodus, kokybės valdymo sistemas. Dalis įmonių ir toliau planuoja investuoti į inovacijų diegimą. Pagrindinis veiksnys, skatinantis inovacijų diegimą versle, – išaugęs įmonės konkurencinis pranašumas, kuris suteikia stiprų pagrindą sparčiai inovacijų plėtrai, kad inovacinių projektų inicijavimas susijęs su įmonės ateities vizija ir ilgalaikiais tikslais, taip pat manoma, kad inovacijų diegimas išgelbės įmonę nuo gresiančios krizės. </w:t>
                </w:r>
              </w:p>
              <w:p>
                <w:pPr>
                  <w:ind w:firstLine="567"/>
                  <w:jc w:val="both"/>
                  <w:rPr>
                    <w:szCs w:val="24"/>
                  </w:rPr>
                </w:pPr>
                <w:r>
                  <w:rPr>
                    <w:szCs w:val="24"/>
                  </w:rPr>
                  <w:t>Viena iš didžiausių kliūčių, su kuriomis tenka susidurti naujus produktus ir procesus diegiančioms įmonėms – didelės investicijos ir per mažas inovacijų finansavimas. Priežastis – didelės išlaidos ir ekonominė naujovių diegimo rizika, ilgas inovacijų atsipirkimo laikas ir tinkamų lėšų šaltinių stoka. Kitas svarbus veiksnys – aukštos kvalifikacijos darbuotojų trūkumas. Alytaus miesto įmonių tyrimas parodė, kad inovacijų plėtrą stabdo tinkamos srities ir kvalifikacijos specialistų stygius arba prastokas jų parengimas. Žema verslininkų kvalifikacija ir aktyvumas dalyvaujant inovacinėje veikloje – viena aktualiausių inovacijų valdymo problemų.</w:t>
                </w:r>
              </w:p>
              <w:p>
                <w:pPr>
                  <w:ind w:firstLine="567"/>
                  <w:jc w:val="both"/>
                  <w:rPr>
                    <w:szCs w:val="24"/>
                  </w:rPr>
                </w:pPr>
                <w:r>
                  <w:rPr>
                    <w:szCs w:val="24"/>
                  </w:rPr>
                  <w:t>Įmonėms trūksta informacijos inovacijų klausimais. Daugelis įmonių susiduria su problema ieškodamos naujų technologijų, partnerių, kurie galėtų finansuoti naujų produktų ar paslaugų kūrimą. Daugelį gamybos atnaujinimo ir modernizavimo klausimų įmonės sprendžia neturėdamos pakankamai informacijos ir vadybinio pasirengimo, naudojant tokias priemones kaip verslininkų informatyvumo didinimas apie naujas verslo galimybes vietinėse ir tarptautinėse rinkose, apie galimus partnerius, viešųjų pirkimų bei kooperacijos su didesnėmis įmonėmis galimybes, technologines ir kitas inovacijas, finansavimo galimybes.</w:t>
                </w:r>
              </w:p>
              <w:p>
                <w:pPr>
                  <w:ind w:firstLine="567"/>
                  <w:jc w:val="both"/>
                  <w:rPr>
                    <w:szCs w:val="24"/>
                  </w:rPr>
                </w:pPr>
                <w:r>
                  <w:rPr>
                    <w:szCs w:val="24"/>
                  </w:rPr>
                  <w:t xml:space="preserve">Alytaus rajono savivaldybėje taip pat diegiamos naujausios technologijos, įdiegus jas pagerės </w:t>
                </w:r>
                <w:r>
                  <w:rPr>
                    <w:bCs/>
                    <w:szCs w:val="24"/>
                  </w:rPr>
                  <w:t>savivaldybės administracijos vidaus administravimo ir valdymo tobulinimas.</w:t>
                </w:r>
                <w:r>
                  <w:rPr>
                    <w:szCs w:val="24"/>
                  </w:rPr>
                  <w:t xml:space="preserve"> Įgyvendintas projektas yra pakankamai inovatyvus – programiniai sprendiniai pritaikomi konkretiems Alytaus rajono savivaldybės poreikiams. Programiniai sprendiniai sukurti taip, kad bus palikta nuolatinio tobulinimo galimybė – keičiantis įstatymams, savivaldybės valdymo struktūrai ar, paprasčiausiai, pagal savivaldybės darbuotojų poreikius ir pastabas, bus galima įterpti naujus modulius arba atnaujinti senus. Pagrindinė projekto pridėtinė vertė – nuolatinis tobulinimas ir lankstus reagavimas į besikeičiančią situaciją.</w:t>
                </w:r>
                <w:r>
                  <w:rPr>
                    <w:bCs/>
                    <w:szCs w:val="24"/>
                  </w:rPr>
                  <w:t xml:space="preserve"> Įgyvendinami projektai skirti įtraukti gyventojus į demokratijos procesus.</w:t>
                </w:r>
                <w:r>
                  <w:rPr>
                    <w:szCs w:val="24"/>
                  </w:rPr>
                  <w:t xml:space="preserve"> Alytaus rajono savivaldybės administracija el. demokratijos priemonėmis siekia remti elektroninių sistemų, leidžiančių reikšti pilietinę nuomonę įvairiais valstybiniais ar regioniniais klausimais, kūrimą; plėtoti priemones, leidžiančias savivaldybės gyventojams daugiau sužinoti apie su jų gyvenimu susijusius valdžios sprendimus ir teikti pastabas teisės aktų projektams, diskutuoti, balsuoti ir kurti priemones, įtraukiančias jaunimą į jų socialinę aplinką. Projektu bus sukurtos ir įdiegtos el. priemonės, kuriomis savivaldybės atstovai galės pateikti visuomenei aktualius duomenis. Sukurtos el. priemonės rinkėjui leis užfiksuoti savo nuomonę savivaldybių tarybų svarstomais ir priimamais nutarimais ir palyginti savo nuomonę su politinių partijų ir atskirų tarybos narių valia vienu ar kitu klausimu. Numatoma įgyvendinti tokias veiklas: savivaldybės internetinės svetainės struktūros ir funkcionalumo modernizavimą pagal el. demokratijos principus ir nustatytus poreikius; </w:t>
                </w:r>
                <w:r>
                  <w:rPr>
                    <w:bCs/>
                    <w:szCs w:val="24"/>
                  </w:rPr>
                  <w:t>kokybės vadybos sistemų diegimas Alytaus rajono savivaldybės administracijoje, gerinant piliečių aptarnavimą</w:t>
                </w:r>
                <w:r>
                  <w:rPr>
                    <w:szCs w:val="24"/>
                  </w:rPr>
                  <w:t xml:space="preserve">. Būtų gerinama viešųjų paslaugų kokybė. </w:t>
                </w:r>
              </w:p>
            </w:tc>
          </w:tr>
          <w:tr>
            <w:tc>
              <w:tcPr>
                <w:tcW w:w="4974" w:type="pct"/>
                <w:shd w:val="clear" w:color="auto" w:fill="auto"/>
              </w:tcPr>
              <w:p>
                <w:pPr>
                  <w:ind w:left="180"/>
                  <w:jc w:val="center"/>
                  <w:rPr>
                    <w:b/>
                    <w:szCs w:val="24"/>
                  </w:rPr>
                </w:pPr>
                <w:r>
                  <w:rPr>
                    <w:b/>
                    <w:szCs w:val="24"/>
                  </w:rPr>
                  <w:t>Vidaus veiksniai:</w:t>
                </w:r>
              </w:p>
            </w:tc>
          </w:tr>
          <w:tr>
            <w:tc>
              <w:tcPr>
                <w:tcW w:w="4974" w:type="pct"/>
                <w:shd w:val="clear" w:color="auto" w:fill="auto"/>
              </w:tcPr>
              <w:p>
                <w:pPr>
                  <w:jc w:val="both"/>
                  <w:rPr>
                    <w:szCs w:val="24"/>
                  </w:rPr>
                </w:pPr>
                <w:r>
                  <w:rPr>
                    <w:b/>
                    <w:szCs w:val="24"/>
                  </w:rPr>
                  <w:t xml:space="preserve">Teisinė bazė. </w:t>
                </w:r>
                <w:r>
                  <w:rPr>
                    <w:szCs w:val="24"/>
                  </w:rPr>
                  <w:t>Alytaus rajono savivaldybė organizuodama savo veiklą vadovaujasi Lietuvos Respublikos įstatymais ir vidiniais dokumentais: Lietuvos Respublikos viešojo administravimo įstatymu, Lietuvos Respublikos vietos savivaldos įstatymu, Lietuvos Respublikos Valstybės tarnybos įstatymu, Lietuvos Respublikos biudžeto sandaros įstatymu, Lietuvos Respublikos regioninės plėtros įstatymu, Alytaus rajono savivaldybės tarybos veiklos reglamentu, Alytaus rajono savivaldybės administracijos veiklos nuostatais ir kitais savivaldos institucijų veiklą reglamentuojančiais dokumentais.</w:t>
                </w:r>
              </w:p>
            </w:tc>
          </w:tr>
          <w:tr>
            <w:tc>
              <w:tcPr>
                <w:tcW w:w="4974" w:type="pct"/>
                <w:shd w:val="clear" w:color="auto" w:fill="auto"/>
              </w:tcPr>
              <w:p>
                <w:pPr>
                  <w:jc w:val="both"/>
                  <w:rPr>
                    <w:b/>
                    <w:szCs w:val="24"/>
                  </w:rPr>
                </w:pPr>
                <w:r>
                  <w:rPr>
                    <w:b/>
                    <w:szCs w:val="24"/>
                  </w:rPr>
                  <w:t xml:space="preserve">Organizacinė struktūra. </w:t>
                </w:r>
                <w:r>
                  <w:rPr>
                    <w:szCs w:val="24"/>
                  </w:rPr>
                  <w:t>Vietos savivalda – įstatymo nustatyto valstybės teritorijos administracinio vieneto – savivaldybės – teisė laisvai ir savarankiškai tvarkytis pagal Lietuvos Respublikos Konstituciją ir kitus Lietuvos Respublikos įstatymus per administracinio vieneto nuolatinių gyventojų tiesiogiai išrinktų atstovų į savivaldybės tarybą bei jos sudarytą vykdomąją ir kitas institucijas.</w:t>
                </w:r>
              </w:p>
              <w:p>
                <w:pPr>
                  <w:ind w:firstLine="567"/>
                  <w:jc w:val="both"/>
                  <w:rPr>
                    <w:b/>
                    <w:szCs w:val="24"/>
                  </w:rPr>
                </w:pPr>
                <w:r>
                  <w:rPr>
                    <w:szCs w:val="24"/>
                  </w:rPr>
                  <w:t xml:space="preserve">Vietos savivaldos principus Alytaus rajone įgyvendina šios vietos savivaldos institucijos: atstovaujamoji – Alytaus rajono savivaldybės taryba ir vykdomoji – Alytaus rajono savivaldybės administracijos direktorius, turinčios vietos valdžios ir viešojo administravimo teises ir pareigas. </w:t>
                </w:r>
              </w:p>
              <w:p>
                <w:pPr>
                  <w:ind w:firstLine="567"/>
                  <w:jc w:val="both"/>
                  <w:rPr>
                    <w:b/>
                    <w:szCs w:val="24"/>
                  </w:rPr>
                </w:pPr>
                <w:r>
                  <w:rPr>
                    <w:szCs w:val="24"/>
                  </w:rPr>
                  <w:t xml:space="preserve">Pagal veiklos pobūdį savivaldybių funkcijos skirstomos į vietos valdžios, viešojo administravimo ir viešųjų paslaugų teikimo. Vietos valdžios funkcijas įstatymų nustatyta tvarka įgyvendina savivaldybės taryba. Viešojo administravimo funkcijas įstatymų nustatyta tvarka atlieka savivaldybės taryba, savivaldybės administracijos direktorius, kiti savivaldybės įstaigų ir tarnybų vadovai, valstybės tarnautojai, kuriems teisės aktais ar savivaldybės tarybos sprendimais suteiktos viešojo administravimo teisės savivaldybės teritorijoje. Viešąsias paslaugas teikia savivaldybių įsteigti paslaugų teikėjai arba kiti viešai pasirenkami fiziniai bei juridiniai asmenys, sudarę sutartis su savivaldybėmis. </w:t>
                </w:r>
              </w:p>
              <w:p>
                <w:pPr>
                  <w:ind w:firstLine="567"/>
                  <w:jc w:val="both"/>
                  <w:rPr>
                    <w:b/>
                    <w:szCs w:val="24"/>
                  </w:rPr>
                </w:pPr>
                <w:r>
                  <w:rPr>
                    <w:szCs w:val="24"/>
                  </w:rPr>
                  <w:t>Alytaus rajono savivaldybės atstovaujamoji institucija išrinkta ketveriems metams savivaldybių rinkimuose, vykusiuose 2019 m. kovo 3 d. Rinkimus laimėjusios partijos sudarė naują koaliciją. Tarybą sudaro 25 tarybos nariai. Iš savivaldybės narių sudaromi tarybos komitetai, kurių pagrindinės funkcijos yra klausimų nagrinėjimas ir teikimas tarybai ir merui svarstyti, kontroliuoti, kaip laikomasi įstatymų bei kaip vykdomi tarybos sprendimai, mero potvarkiai.</w:t>
                </w:r>
              </w:p>
              <w:p>
                <w:pPr>
                  <w:ind w:firstLine="567"/>
                  <w:jc w:val="both"/>
                  <w:rPr>
                    <w:b/>
                    <w:szCs w:val="24"/>
                  </w:rPr>
                </w:pPr>
                <w:r>
                  <w:rPr>
                    <w:szCs w:val="24"/>
                  </w:rPr>
                  <w:t>Sudaryti 6 Alytaus rajono savivaldybės komitetai: Ekonomikos ir biudžeto</w:t>
                </w:r>
                <w:r>
                  <w:rPr>
                    <w:b/>
                    <w:szCs w:val="24"/>
                  </w:rPr>
                  <w:t xml:space="preserve">, </w:t>
                </w:r>
                <w:r>
                  <w:rPr>
                    <w:bCs/>
                    <w:szCs w:val="24"/>
                  </w:rPr>
                  <w:t>Švietimo, kultūros ir sporto, Sveikatos apsaugos ir socialinių reikalų komitetas, Komunalinio ūkio plėtros ir aplinkos apsaugos, Kaimo plėtros ir investicijų, Kontrolės.</w:t>
                </w:r>
                <w:r>
                  <w:rPr>
                    <w:b/>
                    <w:szCs w:val="24"/>
                  </w:rPr>
                  <w:t xml:space="preserve"> </w:t>
                </w:r>
                <w:r>
                  <w:rPr>
                    <w:bCs/>
                    <w:szCs w:val="24"/>
                  </w:rPr>
                  <w:t>Sudarytos komisijos: Teisėsaugos ir teisėtvarkos, Etikos, Peticijų, Antikorupcinė.</w:t>
                </w:r>
                <w:r>
                  <w:rPr>
                    <w:b/>
                    <w:szCs w:val="24"/>
                  </w:rPr>
                  <w:t xml:space="preserve"> </w:t>
                </w:r>
              </w:p>
              <w:p>
                <w:pPr>
                  <w:ind w:firstLine="567"/>
                  <w:jc w:val="both"/>
                  <w:rPr>
                    <w:b/>
                    <w:szCs w:val="24"/>
                  </w:rPr>
                </w:pPr>
                <w:r>
                  <w:rPr>
                    <w:szCs w:val="24"/>
                  </w:rPr>
                  <w:t>Savivaldybės kontrolės ir audito tarnyba – prižiūrinti, ar teisėtai, efektyviai, ekonomiškai ir rezultatyviai valdomas ir naudojamas Savivaldybės turtas, kaip vykdomas biudžetas, atskaitingas Tarybai.</w:t>
                </w:r>
              </w:p>
              <w:p>
                <w:pPr>
                  <w:ind w:firstLine="567"/>
                  <w:jc w:val="both"/>
                  <w:rPr>
                    <w:b/>
                    <w:szCs w:val="24"/>
                  </w:rPr>
                </w:pPr>
                <w:r>
                  <w:rPr>
                    <w:szCs w:val="24"/>
                  </w:rPr>
                  <w:t>Alytaus rajono savivaldybės administracija yra viešasis juridinis asmuo, kurio steigėja yra Taryba, jos vadovas – Savivaldybės administracijos direktorius. Savivaldybės administraciją sudaro struktūriniai ir struktūriniai teritoriniai padaliniai – seniūnijos. 2020 m. sausio 15 d. įsigaliojo nauja Alytaus rajono savivaldybės administracijos struktūra (patvirtinta Alytaus rajono savivaldybės tarybos 2019-10-24 sprendimu Nr. K-181), kurią sudaro savivaldybės administracijos struktūriniai padaliniai, iš viso 11,</w:t>
                </w:r>
                <w:r>
                  <w:rPr>
                    <w:b/>
                    <w:szCs w:val="24"/>
                  </w:rPr>
                  <w:t xml:space="preserve"> </w:t>
                </w:r>
                <w:r>
                  <w:rPr>
                    <w:szCs w:val="24"/>
                  </w:rPr>
                  <w:t>t. y.</w:t>
                </w:r>
                <w:r>
                  <w:rPr>
                    <w:b/>
                    <w:szCs w:val="24"/>
                  </w:rPr>
                  <w:t xml:space="preserve"> </w:t>
                </w:r>
                <w:r>
                  <w:rPr>
                    <w:szCs w:val="24"/>
                    <w:lang w:eastAsia="lt-LT"/>
                  </w:rPr>
                  <w:t xml:space="preserve">Komunalinio ūkio ir architektūros skyrius, Buhalterinės apskaitos skyrius, Centralizuotas vidaus audito skyrius, Civilinės metrikacijos skyrius, Turto valdymo skyrius, Finansų ir investicijų skyrius, Komunikacijos skyrius, Socialinės paramos skyrius, Švietimo, kultūros ir sporto skyrius, Teisės ir vidaus administravimo skyrius ir Žemės ūkio skyrius. Į struktūrinius padalinius neįeinantys valstybės tarnautojai, t. y.  Savivaldybės gydytojas (vyriausiasis specialistas) ir Vyriausiasis specialistas (jaunimo reikalų koordinatorius).</w:t>
                </w:r>
              </w:p>
              <w:p>
                <w:pPr>
                  <w:ind w:firstLine="567"/>
                  <w:jc w:val="both"/>
                  <w:rPr>
                    <w:b/>
                    <w:szCs w:val="24"/>
                  </w:rPr>
                </w:pPr>
                <w:r>
                  <w:rPr>
                    <w:szCs w:val="24"/>
                  </w:rPr>
                  <w:t>Taip pat į Alytaus rajono Savivaldybės administracijos struktūrą įtraukiama 11 seniūnijų: Alytaus, Alovės, Butrimonių, Daugų, Krokialaukio, Miroslavo, Nemunaičio, Pivašiūnų, Punios, Raitininkų, Simno.</w:t>
                </w:r>
              </w:p>
              <w:p>
                <w:pPr>
                  <w:ind w:firstLine="567"/>
                  <w:jc w:val="both"/>
                  <w:rPr>
                    <w:b/>
                    <w:szCs w:val="24"/>
                  </w:rPr>
                </w:pPr>
              </w:p>
              <w:p>
                <w:pPr>
                  <w:ind w:left="180"/>
                  <w:jc w:val="both"/>
                  <w:rPr>
                    <w:b/>
                    <w:szCs w:val="24"/>
                  </w:rPr>
                </w:pPr>
              </w:p>
              <w:p>
                <w:pPr>
                  <w:ind w:left="180"/>
                  <w:jc w:val="both"/>
                  <w:rPr>
                    <w:b/>
                    <w:szCs w:val="24"/>
                  </w:rPr>
                </w:pPr>
                <w:r>
                  <w:rPr>
                    <w:b/>
                    <w:szCs w:val="24"/>
                    <w:lang w:eastAsia="lt-LT"/>
                  </w:rPr>
                  <mc:AlternateContent>
                    <mc:Choice Requires="wps">
                      <w:drawing>
                        <wp:anchor distT="0" distB="0" distL="114300" distR="114300" simplePos="0" relativeHeight="251804672" behindDoc="0" locked="0" layoutInCell="1" allowOverlap="1">
                          <wp:simplePos x="0" y="0"/>
                          <wp:positionH relativeFrom="column">
                            <wp:posOffset>2787650</wp:posOffset>
                          </wp:positionH>
                          <wp:positionV relativeFrom="paragraph">
                            <wp:posOffset>136525</wp:posOffset>
                          </wp:positionV>
                          <wp:extent cx="800735" cy="476885"/>
                          <wp:effectExtent l="0" t="0" r="18415" b="18415"/>
                          <wp:wrapNone/>
                          <wp:docPr id="1" name="Stačiakampi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735" cy="47688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TARYBA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 o:spid="_x0000_s1038" style="position:absolute;left:0;text-align:left;margin-left:219.5pt;margin-top:10.75pt;width:63.05pt;height:37.5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hB8ZgLwIAAFIEAAAOAAAAZHJzL2Uyb0RvYy54bWysVF1uEzEQfkfiDpbfyW5C0qarbKoqpQip QKXCASZeb9aq/xg72ZQ7cCsOxtibpinwhNgHy+MZf575vpldXO6NZjuJQTlb8/Go5Exa4RplNzX/ +uXmzZyzEME2oJ2VNX+UgV8uX79a9L6SE9c53UhkBGJD1fuadzH6qiiC6KSBMHJeWnK2Dg1EMnFT NAg9oRtdTMryrOgdNh6dkCHQ6fXg5MuM37ZSxM9tG2RkuuaUW8wr5nWd1mK5gGqD4DslDmnAP2Rh QFl69Ah1DRHYFtUfUEYJdMG1cSScKVzbKiFzDVTNuPytmvsOvMy1EDnBH2kK/w9WfNrdIVMNaceZ BUMS3Uf4+UPBAxivAhsninofKoq893eYigz+1omHwKxbdWA38grR9Z2EhhLL8cWLC8kIdJWt+4+u oRdgG11ma9+iSYDEA9tnUR6Posh9ZIIO52V5/nbGmSDX9PxsPp+ljAqoni57DPG9dIalTc2RNM/g sLsNcQh9CsnJO62aG6V1NnCzXmlkO6D+uMnfAT2chmnL+ppfzCazjPzCF04hyvz9DcKoSI2ulckV UVgKgiqx9s42eR9B6WFP1WlLRT4xNygQ9+v9INUkXU7OtWseiVh0Q2PTINKmc/ids56auubh2xZQ cqY/WBLnYjydpinIxnR2PiEDTz3rUw9YQVA1j5wN21UcJmfrUW06emmc6bDuigRtVSb7OatD/tS4 Wa7DkKXJOLVz1POvYPkLAAD//wMAUEsDBBQABgAIAAAAIQDH/z4s3wAAAAkBAAAPAAAAZHJzL2Rv d25yZXYueG1sTI9BT4NAFITvJv6HzTPxZheoEKEsjdHUxGNLL94e8AQq+5awS4v+etdTPU5mMvNN vl30IM402d6wgnAVgCCuTdNzq+BY7h6eQFiH3OBgmBR8k4VtcXuTY9aYC+/pfHCt8CVsM1TQOTdm Utq6I412ZUZi732aSaPzcmplM+HFl+tBRkGQSI09+4UOR3rpqP46zFpB1UdH/NmXb4FOd2v3vpSn +eNVqfu75XkDwtHirmH4w/foUHimyszcWDEoeFyn/otTEIUxCB+IkzgEUSlIkwRkkcv/D4pfAAAA //8DAFBLAQItABQABgAIAAAAIQC2gziS/gAAAOEBAAATAAAAAAAAAAAAAAAAAAAAAABbQ29udGVu dF9UeXBlc10ueG1sUEsBAi0AFAAGAAgAAAAhADj9If/WAAAAlAEAAAsAAAAAAAAAAAAAAAAALwEA AF9yZWxzLy5yZWxzUEsBAi0AFAAGAAgAAAAhACEHxmAvAgAAUgQAAA4AAAAAAAAAAAAAAAAALgIA AGRycy9lMm9Eb2MueG1sUEsBAi0AFAAGAAgAAAAhAMf/PizfAAAACQEAAA8AAAAAAAAAAAAAAAAA iQQAAGRycy9kb3ducmV2LnhtbFBLBQYAAAAABAAEAPMAAACVBQAAAAA= ">
                          <v:textbox>
                            <w:txbxContent>
                              <w:p>
                                <w:pPr>
                                  <w:jc w:val="center"/>
                                  <w:rPr>
                                    <w:rFonts w:ascii="TimesLT" w:hAnsi="TimesLT"/>
                                    <w:sz w:val="16"/>
                                    <w:szCs w:val="16"/>
                                    <w:u w:val="single"/>
                                    <w:lang w:val="en-GB"/>
                                  </w:rPr>
                                </w:pPr>
                                <w:r>
                                  <w:rPr>
                                    <w:rFonts w:ascii="TimesLT" w:hAnsi="TimesLT"/>
                                    <w:sz w:val="16"/>
                                    <w:szCs w:val="16"/>
                                    <w:u w:val="single"/>
                                    <w:lang w:val="en-GB"/>
                                  </w:rPr>
                                  <w:t>TARYBA</w:t>
                                </w:r>
                              </w:p>
                            </w:txbxContent>
                          </v:textbox>
                        </v:rect>
                      </w:pict>
                    </mc:Fallback>
                  </mc:AlternateContent>
                </w:r>
              </w:p>
              <w:p>
                <w:pPr>
                  <w:ind w:left="180"/>
                  <w:jc w:val="both"/>
                  <w:rPr>
                    <w:b/>
                    <w:szCs w:val="24"/>
                  </w:rPr>
                </w:pPr>
                <w:r>
                  <w:rPr>
                    <w:lang w:eastAsia="lt-LT"/>
                  </w:rPr>
                  <mc:AlternateContent>
                    <mc:Choice Requires="wps">
                      <w:drawing>
                        <wp:anchor distT="4294967295" distB="4294967295" distL="114300" distR="114300" simplePos="0" relativeHeight="251779072" behindDoc="0" locked="0" layoutInCell="1" allowOverlap="1">
                          <wp:simplePos x="0" y="0"/>
                          <wp:positionH relativeFrom="column">
                            <wp:posOffset>3604895</wp:posOffset>
                          </wp:positionH>
                          <wp:positionV relativeFrom="paragraph">
                            <wp:posOffset>173354</wp:posOffset>
                          </wp:positionV>
                          <wp:extent cx="2338705" cy="0"/>
                          <wp:effectExtent l="0" t="0" r="23495" b="19050"/>
                          <wp:wrapNone/>
                          <wp:docPr id="2" name="Tiesioji jungtis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87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 o:spid="_x0000_s1026" style="position:absolute;z-index:2517790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85pt,13.65pt" to="468pt,13.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qFHHgIAADQEAAAOAAAAZHJzL2Uyb0RvYy54bWysU9uO2jAQfa/Uf7D8DrkAuxARVhWBvmy7 SEs/wNhO4q1jW7YhoKr/3rG5iG1fqqp5cMaemeMzM8fzp2Mn0YFbJ7QqcTZMMeKKaiZUU+Jv2/Vg ipHzRDEiteIlPnGHnxYfP8x7U/Bct1oybhGAKFf0psSt96ZIEkdb3hE31IYrcNbadsTD1jYJs6QH 9E4meZo+JL22zFhNuXNwWp2deBHx65pT/1LXjnskSwzcfFxtXHdhTRZzUjSWmFbQCw3yDyw6IhRc eoOqiCdob8UfUJ2gVjtd+yHVXaLrWlAea4BqsvS3al5bYnisBZrjzK1N7v/B0q+HjUWClTjHSJEO RrQVHKb5JtDbXjVeOJSHLvXGFRC8VBsb6qRH9WqeNf3ukNLLlqiGR7bbkwGILGQk71LCxhm4a9d/ 0QxiyN7r2LJjbbsACc1AxziZ020y/OgRhcN8NJo+phOM6NWXkOKaaKzzn7nuUDBKLIUKTSMFOTw7 H4iQ4hoSjpVeCynj4KVCfYlnk3wSE5yWggVnCHO22S2lRQcSpBO/WBV47sOs3isWwVpO2OpieyLk 2YbLpQp4UArQuVhnbfyYpbPVdDUdD8b5w2owTqtq8Gm9HA8e1tnjpBpVy2WV/QzUsnHRCsa4Cuyu Os3Gf6eDy4s5K+ym1FsbkvfosV9A9vqPpOMsw/jOQthpdtrY64xBmjH48oyC9u/3YN8/9sUvAAAA //8DAFBLAwQUAAYACAAAACEASWy3dt0AAAAJAQAADwAAAGRycy9kb3ducmV2LnhtbEyPwU6DQBCG 7ya+w2ZMvDR2ESIosjRG5ealVeN1CiMQ2VnKblv06R3jQY8z8+Wf7y9Wsx3UgSbfOzZwuYxAEdeu 6bk18PJcXVyD8gG5wcExGfgkD6vy9KTAvHFHXtNhE1olIexzNNCFMOZa+7oji37pRmK5vbvJYpBx anUz4VHC7aDjKEq1xZ7lQ4cj3XdUf2z21oCvXmlXfS3qRfSWtI7i3cPTIxpzfjbf3YIKNIc/GH70 RR1Kcdq6PTdeDQau0iwT1ECcJaAEuElSKbf9Xeiy0P8blN8AAAD//wMAUEsBAi0AFAAGAAgAAAAh ALaDOJL+AAAA4QEAABMAAAAAAAAAAAAAAAAAAAAAAFtDb250ZW50X1R5cGVzXS54bWxQSwECLQAU AAYACAAAACEAOP0h/9YAAACUAQAACwAAAAAAAAAAAAAAAAAvAQAAX3JlbHMvLnJlbHNQSwECLQAU AAYACAAAACEAvsahRx4CAAA0BAAADgAAAAAAAAAAAAAAAAAuAgAAZHJzL2Uyb0RvYy54bWxQSwEC LQAUAAYACAAAACEASWy3dt0AAAAJAQAADwAAAAAAAAAAAAAAAAB4BAAAZHJzL2Rvd25yZXYueG1s UEsFBgAAAAAEAAQA8wAAAIIFAAAAAA== "/>
                      </w:pict>
                    </mc:Fallback>
                  </mc:AlternateContent>
                  <mc:AlternateContent>
                    <mc:Choice Requires="wps">
                      <w:drawing>
                        <wp:anchor distT="0" distB="0" distL="114300" distR="114300" simplePos="0" relativeHeight="251780096" behindDoc="0" locked="0" layoutInCell="1" allowOverlap="1">
                          <wp:simplePos x="0" y="0"/>
                          <wp:positionH relativeFrom="column">
                            <wp:posOffset>5933440</wp:posOffset>
                          </wp:positionH>
                          <wp:positionV relativeFrom="paragraph">
                            <wp:posOffset>170815</wp:posOffset>
                          </wp:positionV>
                          <wp:extent cx="14605" cy="1580515"/>
                          <wp:effectExtent l="0" t="0" r="23495" b="19685"/>
                          <wp:wrapNone/>
                          <wp:docPr id="3" name="Tiesioji jungtis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05" cy="15805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3" o:spid="_x0000_s1026" style="position:absolute;flip:x;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7.2pt,13.45pt" to="468.35pt,137.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YosbvKAIAAEIEAAAOAAAAZHJzL2Uyb0RvYy54bWysU02P2yAQvVfqf0Dcs7YTO02sOKsqTtrD to206Q8ggGO2GBCQOFHV/96BfHTTXqqqPuABZt68mXnMHo+dRAdundCqwtlDihFXVDOhdhX+ulkN Jhg5TxQjUite4RN3+HH+9s2sNyUf6lZLxi0CEOXK3lS49d6USeJoyzviHrThCi4bbTviYWt3CbOk B/ROJsM0HSe9tsxYTblzcFqfL/E84jcNp/5L0zjukawwcPNxtXHdhjWZz0i5s8S0gl5okH9g0RGh IOkNqiaeoL0Vf0B1glrtdOMfqO4S3TSC8lgDVJOlv1Xz3BLDYy3QHGdubXL/D5Z+PqwtEqzCI4wU 6WBEG8Fhmi8CvezVzguHRqFLvXElOC/U2oY66VE9mydNvzmk9KIlascj283JAEQWIpK7kLBxBnJt +0+agQ/Zex1bdmxshxopzMcQGMChLegYZ3S6zYgfPaJwmOXjtMCIwk1WTNIiK2IuUgaYEGys8x+4 7lAwKiyFCi0kJTk8OR9o/XIJx0qvhJRRBlKhvsLTYljEAKelYOEyuDm72y6kRQcShBS/S947N6v3 ikWwlhO2vNieCHm2IblUAQ/KAToX66yU79N0upwsJ/kgH46Xgzyt68H71SIfjFfZu6Ie1YtFnf0I 1LK8bAVjXAV2V9Vm+d+p4vJ+znq76fbWhuQePfYLyF7/kXScbBjmWRZbzU5re504CDU6Xx5VeAmv 92C/fvrznwAAAP//AwBQSwMEFAAGAAgAAAAhAF0KMVbfAAAACgEAAA8AAABkcnMvZG93bnJldi54 bWxMj8FOg0AQhu8mvsNmTLzZRai0IEvTGPVi0sSKnhd2BCI7S9gtxbd3POlxZr788/3FbrGDmHHy vSMFt6sIBFLjTE+tgurt6WYLwgdNRg+OUME3etiVlxeFzo070yvOx9AKDiGfawVdCGMupW86tNqv 3IjEt083WR14nFppJn3mcDvIOIpSaXVP/KHTIz502HwdT1bB/uPlMTnMtXWDydrq3dgqeo6Vur5a 9vcgAi7hD4ZffVaHkp1qdyLjxaAgS9ZrRhXEaQaCgSxJNyBqXmzutiDLQv6vUP4AAAD//wMAUEsB Ai0AFAAGAAgAAAAhALaDOJL+AAAA4QEAABMAAAAAAAAAAAAAAAAAAAAAAFtDb250ZW50X1R5cGVz XS54bWxQSwECLQAUAAYACAAAACEAOP0h/9YAAACUAQAACwAAAAAAAAAAAAAAAAAvAQAAX3JlbHMv LnJlbHNQSwECLQAUAAYACAAAACEAWKLG7ygCAABCBAAADgAAAAAAAAAAAAAAAAAuAgAAZHJzL2Uy b0RvYy54bWxQSwECLQAUAAYACAAAACEAXQoxVt8AAAAKAQAADwAAAAAAAAAAAAAAAACCBAAAZHJz L2Rvd25yZXYueG1sUEsFBgAAAAAEAAQA8wAAAI4FAAAAAA== "/>
                      </w:pict>
                    </mc:Fallback>
                  </mc:AlternateContent>
                </w:r>
              </w:p>
              <w:p>
                <w:pPr>
                  <w:ind w:left="180"/>
                  <w:jc w:val="both"/>
                  <w:rPr>
                    <w:b/>
                    <w:szCs w:val="24"/>
                  </w:rPr>
                </w:pPr>
                <w:r>
                  <w:rPr>
                    <w:lang w:eastAsia="lt-LT"/>
                  </w:rPr>
                  <mc:AlternateContent>
                    <mc:Choice Requires="wps">
                      <w:drawing>
                        <wp:anchor distT="4294967295" distB="4294967295" distL="114300" distR="114300" simplePos="0" relativeHeight="251777024" behindDoc="0" locked="0" layoutInCell="1" allowOverlap="1">
                          <wp:simplePos x="0" y="0"/>
                          <wp:positionH relativeFrom="column">
                            <wp:posOffset>3604895</wp:posOffset>
                          </wp:positionH>
                          <wp:positionV relativeFrom="paragraph">
                            <wp:posOffset>96519</wp:posOffset>
                          </wp:positionV>
                          <wp:extent cx="2185670" cy="0"/>
                          <wp:effectExtent l="0" t="0" r="24130" b="19050"/>
                          <wp:wrapNone/>
                          <wp:docPr id="4" name="Tiesioji jungtis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856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4" o:spid="_x0000_s1026" style="position:absolute;z-index:2517770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85pt,7.6pt" to="455.95pt,7.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UTAqhHQIAADQEAAAOAAAAZHJzL2Uyb0RvYy54bWysU8GO2jAQvVfqP1i+s0loYCEirCoCvWxb pKUfYGwn8daxLdsQUNV/79gQxLaXqmoOztgz8/xm5nnxdOokOnLrhFYlzh5SjLiimgnVlPjbbjOa YeQ8UYxIrXiJz9zhp+X7d4veFHysWy0ZtwhAlCt6U+LWe1MkiaMt74h70IYrcNbadsTD1jYJs6QH 9E4m4zSdJr22zFhNuXNwWl2ceBnx65pT/7WuHfdIlhi4+bjauO7DmiwXpGgsMa2gVxrkH1h0RCi4 9AZVEU/QwYo/oDpBrXa69g9Ud4mua0F5rAGqydLfqnlpieGxFmiOM7c2uf8HS78ctxYJVuIcI0U6 GNFOcJjmq0CvB9V44VAeutQbV0DwSm1tqJOe1It51vS7Q0qvWqIaHtnuzgYgspCRvEkJG2fgrn3/ WTOIIQevY8tOte0CJDQDneJkzrfJ8JNHFA7H2WwyfYQB0sGXkGJINNb5T1x3KBgllkKFppGCHJ+d D0RIMYSEY6U3Qso4eKlQX+L5ZDyJCU5LwYIzhDnb7FfSoiMJ0olfrAo892FWHxSLYC0nbH21PRHy YsPlUgU8KAXoXK2LNn7M0/l6tp7lo3w8XY/ytKpGHzerfDTdZI+T6kO1WlXZz0Aty4tWMMZVYDfo NMv/TgfXF3NR2E2ptzYkb9Fjv4Ds8I+k4yzD+C5C2Gt23tphxiDNGHx9RkH793uw7x/78hcAAAD/ /wMAUEsDBBQABgAIAAAAIQAjaIR83QAAAAkBAAAPAAAAZHJzL2Rvd25yZXYueG1sTI+xTsNADIZ3 JN7hZCSWqr0kqC0NuVQIyMbSQsXqJiaJyPnS3LUNPD1GDDDa/6ffn7P1aDt1osG3jg3EswgUcemq lmsDry/F9BaUD8gVdo7JwCd5WOeXFxmmlTvzhk7bUCspYZ+igSaEPtXalw1Z9DPXE0v27gaLQcah 1tWAZym3nU6iaKEttiwXGuzpoaHyY3u0Bnyxo0PxNSkn0dtN7Sg5PD4/oTHXV+P9HahAY/iD4Udf 1CEXp707cuVVZ2C+WC4FlWCegBJgFccrUPvfhc4z/f+D/BsAAP//AwBQSwECLQAUAAYACAAAACEA toM4kv4AAADhAQAAEwAAAAAAAAAAAAAAAAAAAAAAW0NvbnRlbnRfVHlwZXNdLnhtbFBLAQItABQA BgAIAAAAIQA4/SH/1gAAAJQBAAALAAAAAAAAAAAAAAAAAC8BAABfcmVscy8ucmVsc1BLAQItABQA BgAIAAAAIQBUTAqhHQIAADQEAAAOAAAAAAAAAAAAAAAAAC4CAABkcnMvZTJvRG9jLnhtbFBLAQIt ABQABgAIAAAAIQAjaIR83QAAAAkBAAAPAAAAAAAAAAAAAAAAAHcEAABkcnMvZG93bnJldi54bWxQ SwUGAAAAAAQABADzAAAAgQUAAAAA "/>
                      </w:pict>
                    </mc:Fallback>
                  </mc:AlternateContent>
                  <mc:AlternateContent>
                    <mc:Choice Requires="wps">
                      <w:drawing>
                        <wp:anchor distT="0" distB="0" distL="114300" distR="114300" simplePos="0" relativeHeight="251778048" behindDoc="0" locked="0" layoutInCell="1" allowOverlap="1">
                          <wp:simplePos x="0" y="0"/>
                          <wp:positionH relativeFrom="column">
                            <wp:posOffset>5790565</wp:posOffset>
                          </wp:positionH>
                          <wp:positionV relativeFrom="paragraph">
                            <wp:posOffset>96520</wp:posOffset>
                          </wp:positionV>
                          <wp:extent cx="14605" cy="971550"/>
                          <wp:effectExtent l="0" t="0" r="23495" b="19050"/>
                          <wp:wrapNone/>
                          <wp:docPr id="5" name="Tiesioji jungtis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05" cy="971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5" o:spid="_x0000_s1026" style="position:absolute;flip:x;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5.95pt,7.6pt" to="457.1pt,84.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N8gKJwIAAEEEAAAOAAAAZHJzL2Uyb0RvYy54bWysU02P0zAQvSPxH6zc2yQl6bZR0xVKWjgs UGnLD3BtJ/Hi2JbtNq0Q/52x+0EXLgiRgzP2zDy/mXlePB57gQ7MWK5kGaXjJEJMEkW5bMvo63Y9 mkXIOiwpFkqyMjoxGz0u375ZDLpgE9UpQZlBACJtMegy6pzTRRxb0rEe27HSTIKzUabHDramjanB A6D3Ip4kyTQelKHaKMKshdP67IyWAb9pGHFfmsYyh0QZATcXVhPWnV/j5QIXrcG64+RCA/8Dix5z CZfeoGrsMNob/gdUz4lRVjVuTFQfq6bhhIUaoJo0+a2a5w5rFmqB5lh9a5P9f7Dk82FjEKdllEdI 4h5GtOUMpvnC0cteto5blPsuDdoWEFzJjfF1kqN81k+KfLNIqqrDsmWB7fakASL1GfGrFL+xGu7a DZ8UhRi8dyq07NiYHjWC648+0YNDW9AxzOh0mxE7OkTgMM2mCVAl4Jk/pHkeRhjjwqP4XG2s+8BU j7xRRoJL30Fc4MOTdZ7VrxB/LNWaCxFUICQaADSf5CHBKsGpd/owa9pdJQw6YK+j8IUSwXMfZtRe 0gDWMUxXF9thLs42XC6kx4NqgM7FOgvl+zyZr2arWTbKJtPVKEvqevR+XWWj6Tp9yOt3dVXV6Q9P Lc2KjlPKpGd3FW2a/Z0oLs/nLLebbG9tiF+jh34B2es/kA6D9bM8q2Kn6GljrgMHnYbgy5vyD+F+ D/b9y1/+BAAA//8DAFBLAwQUAAYACAAAACEApf0YT94AAAAKAQAADwAAAGRycy9kb3ducmV2Lnht bEyPQU/DMAyF70j8h8hI3FjaAtPaNZ0mBFyQkBhl57QxbUXiVE3WlX+POcHN9nt6/l65W5wVM05h 8KQgXSUgkFpvBuoU1O9PNxsQIWoy2npCBd8YYFddXpS6MP5MbzgfYic4hEKhFfQxjoWUoe3R6bDy IxJrn35yOvI6ddJM+szhzsosSdbS6YH4Q69HfOix/TqcnIL98eXx9nVunLcm7+oP4+rkOVPq+mrZ b0FEXOKfGX7xGR0qZmr8iUwQVkGepjlbWbjPQLAhT+94aPiw3mQgq1L+r1D9AAAA//8DAFBLAQIt ABQABgAIAAAAIQC2gziS/gAAAOEBAAATAAAAAAAAAAAAAAAAAAAAAABbQ29udGVudF9UeXBlc10u eG1sUEsBAi0AFAAGAAgAAAAhADj9If/WAAAAlAEAAAsAAAAAAAAAAAAAAAAALwEAAF9yZWxzLy5y ZWxzUEsBAi0AFAAGAAgAAAAhAK83yAonAgAAQQQAAA4AAAAAAAAAAAAAAAAALgIAAGRycy9lMm9E b2MueG1sUEsBAi0AFAAGAAgAAAAhAKX9GE/eAAAACgEAAA8AAAAAAAAAAAAAAAAAgQQAAGRycy9k b3ducmV2LnhtbFBLBQYAAAAABAAEAPMAAACMBQAAAAA= "/>
                      </w:pict>
                    </mc:Fallback>
                  </mc:AlternateContent>
                </w:r>
              </w:p>
              <w:p>
                <w:pPr>
                  <w:ind w:left="180"/>
                  <w:jc w:val="both"/>
                  <w:rPr>
                    <w:b/>
                    <w:szCs w:val="24"/>
                  </w:rPr>
                </w:pPr>
                <w:r>
                  <w:rPr>
                    <w:lang w:eastAsia="lt-LT"/>
                  </w:rPr>
                  <mc:AlternateContent>
                    <mc:Choice Requires="wps">
                      <w:drawing>
                        <wp:anchor distT="0" distB="0" distL="114300" distR="114300" simplePos="0" relativeHeight="251769856" behindDoc="0" locked="0" layoutInCell="1" allowOverlap="1">
                          <wp:simplePos x="0" y="0"/>
                          <wp:positionH relativeFrom="column">
                            <wp:posOffset>4343400</wp:posOffset>
                          </wp:positionH>
                          <wp:positionV relativeFrom="paragraph">
                            <wp:posOffset>118745</wp:posOffset>
                          </wp:positionV>
                          <wp:extent cx="1229995" cy="484505"/>
                          <wp:effectExtent l="0" t="0" r="27305" b="10795"/>
                          <wp:wrapNone/>
                          <wp:docPr id="6" name="Stačiakampis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9995" cy="48450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 xml:space="preserve">KONTROLĖS IR  AUDITO TARNYBA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6" o:spid="_x0000_s1039" style="position:absolute;left:0;text-align:left;margin-left:342pt;margin-top:9.35pt;width:96.85pt;height:38.1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nVkBMwIAAFMEAAAOAAAAZHJzL2Uyb0RvYy54bWysVF1u2zAMfh+wOwh6Xx1nSZcYcYqiXYcB 3VYg2wEYWY6F6m+UEru7w27Vg41S0jTd9jTMDwIpUh/Jj6QXF4PRbCcxKGdrXp6NOJNWuEbZTc2/ fb15M+MsRLANaGdlzR9k4BfL168Wva/k2HVONxIZgdhQ9b7mXYy+KoogOmkgnDkvLRlbhwYiqbgp GoSe0I0uxqPRedE7bDw6IUOg2+u9kS8zfttKEb+0bZCR6ZpTbjGfmM91OovlAqoNgu+UOKQB/5CF AWUp6BHqGiKwLao/oIwS6IJr45lwpnBtq4TMNVA15ei3alYdeJlrIXKCP9IU/h+s+Ly7Q6aamp9z ZsFQi1YRHn8quAfjVWDniaLeh4o8V/4OU5HB3zpxH5h1Vx3YjbxEdH0noaHEyuRfvHiQlEBP2br/ 5BqKANvoMltDiyYBEg9syE15ODZFDpEJuizH4/l8PuVMkG0ym0xH0xwCqqfXHkP8IJ1hSag5UtMz OuxuQ0zZQPXkkrN3WjU3Suus4GZ9pZHtgAbkJn8H9HDqpi3raz6fjqcZ+YUtnEKM8vc3CKMiTbpW puazoxNUibb3tslzGEHpvUwpa3vgMVG3b0Ec1kPuVfk2RUi8rl3zQMyi2082bSIJncMfnPU01TUP 37eAkjP90VJ35uVkktYgK5PpuzEpeGpZn1rACoKqeeRsL17F/epsPapNR5HKTId1l9TRVmWyn7M6 5E+Tm3tw2LK0Gqd69nr+Fyx/AQAA//8DAFBLAwQUAAYACAAAACEA/ht4kd4AAAAJAQAADwAAAGRy cy9kb3ducmV2LnhtbEyPwU7DMBBE70j8g7VI3KhNgSYNcSoEKhLHNr1w28RLEojtKHbawNezPcFt RzOafZNvZtuLI42h807D7UKBIFd707lGw6Hc3qQgQkRnsPeONHxTgE1xeZFjZvzJ7ei4j43gEhcy 1NDGOGRShroli2HhB3LsffjRYmQ5NtKMeOJy28ulUitpsXP8ocWBnluqv/aT1VB1ywP+7MpXZdfb u/g2l5/T+4vW11fz0yOISHP8C8MZn9GhYKbKT84E0WtYpfe8JbKRJiA4kCYJH5WG9YMCWeTy/4Li FwAA//8DAFBLAQItABQABgAIAAAAIQC2gziS/gAAAOEBAAATAAAAAAAAAAAAAAAAAAAAAABbQ29u dGVudF9UeXBlc10ueG1sUEsBAi0AFAAGAAgAAAAhADj9If/WAAAAlAEAAAsAAAAAAAAAAAAAAAAA LwEAAF9yZWxzLy5yZWxzUEsBAi0AFAAGAAgAAAAhAG2dWQEzAgAAUwQAAA4AAAAAAAAAAAAAAAAA LgIAAGRycy9lMm9Eb2MueG1sUEsBAi0AFAAGAAgAAAAhAP4beJHeAAAACQEAAA8AAAAAAAAAAAAA AAAAjQQAAGRycy9kb3ducmV2LnhtbFBLBQYAAAAABAAEAPMAAACYBQAAAAA= ">
                          <v:textbox>
                            <w:txbxContent>
                              <w:p>
                                <w:pPr>
                                  <w:jc w:val="center"/>
                                  <w:rPr>
                                    <w:rFonts w:ascii="TimesLT" w:hAnsi="TimesLT"/>
                                    <w:sz w:val="16"/>
                                    <w:szCs w:val="16"/>
                                    <w:u w:val="single"/>
                                    <w:lang w:val="en-GB"/>
                                  </w:rPr>
                                </w:pPr>
                                <w:r>
                                  <w:rPr>
                                    <w:rFonts w:ascii="TimesLT" w:hAnsi="TimesLT"/>
                                    <w:sz w:val="16"/>
                                    <w:szCs w:val="16"/>
                                    <w:u w:val="single"/>
                                    <w:lang w:val="en-GB"/>
                                  </w:rPr>
                                  <w:t xml:space="preserve">KONTROLĖS IR  AUDITO TARNYBA</w:t>
                                </w:r>
                              </w:p>
                            </w:txbxContent>
                          </v:textbox>
                        </v:rect>
                      </w:pict>
                    </mc:Fallback>
                  </mc:AlternateContent>
                  <mc:AlternateContent>
                    <mc:Choice Requires="wps">
                      <w:drawing>
                        <wp:anchor distT="0" distB="0" distL="114300" distR="114300" simplePos="0" relativeHeight="251781120" behindDoc="0" locked="0" layoutInCell="1" allowOverlap="1">
                          <wp:simplePos x="0" y="0"/>
                          <wp:positionH relativeFrom="column">
                            <wp:posOffset>5018405</wp:posOffset>
                          </wp:positionH>
                          <wp:positionV relativeFrom="paragraph">
                            <wp:posOffset>20320</wp:posOffset>
                          </wp:positionV>
                          <wp:extent cx="9525" cy="114300"/>
                          <wp:effectExtent l="38100" t="0" r="66675" b="57150"/>
                          <wp:wrapNone/>
                          <wp:docPr id="7" name="Tiesioji jungtis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7" o:spid="_x0000_s1026" style="position:absolute;flip:x;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5.15pt,1.6pt" to="395.9pt,10.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71diNOQIAAGIEAAAOAAAAZHJzL2Uyb0RvYy54bWysVF1v2yAUfZ+0/4B4T2ynTj+sOtUUJ9tD t1Vq9gMI4JgOAwISJ5r233cvSdO1e5mm5YFc4HI499yDb+/2vSY76YOypqbFOKdEGm6FMpuaflst R9eUhMiMYNoaWdODDPRu9v7d7eAqObGd1UJ6AiAmVIOraRejq7Is8E72LIytkwY2W+t7FmHqN5nw bAD0XmeTPL/MBuuF85bLEGC1OW7SWcJvW8nj17YNMhJdU+AW0+jTuMYxm92yauOZ6xQ/0WD/wKJn ysClZ6iGRUa2Xv0B1SvubbBtHHPbZ7ZtFZepBqimyN9U89gxJ1MtIE5wZ5nC/4PlX3YPnihR0ytK DOuhRSsloZtPijxtzSaqQK5QpcGFCpLn5sFjnXxvHt295d8DMXbeMbORie3q4ACiwBPZqyM4CQ7u Wg+frYActo02SbZvfU9ardwnPIjgIAvZpx4dzj2S+0g4LN5MJ1NKOGwURXmRpw5mrEIQPOp8iB+l 7QkGNdXKoICsYrv7EJHUSwouG7tUWicTaEOGEzzuBKuVwM008Zv1XHuyY2ij9EsVvknzdmtEAusk E4tTHJnSEJOYpIlegVhaUrytl4ISLeHlYHSkpw3eCOUC4VN0dNKPm/xmcb24Lkfl5HIxKvOmGX1Y zsvR5bK4mjYXzXzeFD+x2qKsOiWENMj/2dVF+XeuOb2vox/Pvj4Llb1GT4oC2ef/RDp1Hpt9tM3a isODx+rQBGDklHx6dPhSfp+nrJdPw+wXAAAA//8DAFBLAwQUAAYACAAAACEAtQKnBOAAAAAIAQAA DwAAAGRycy9kb3ducmV2LnhtbEyPwU7DMBBE70j8g7VI3KiTFGgTsqkQAokTghZV4ubGJgmN18F2 m8DXs5zgOJrRzJtyNdleHI0PnSOEdJaAMFQ73VGD8Lp5uFiCCFGRVr0jg/BlAqyq05NSFdqN9GKO 69gILqFQKIQ2xqGQMtStsSrM3GCIvXfnrYosfSO1VyOX215mSXItreqIF1o1mLvW1Pv1wSLkm/HK Pfv99jLtPt++7z/i8PgUEc/PptsbENFM8S8Mv/iMDhUz7dyBdBA9wiJP5hxFmGcg2F/kKV/ZIWRp BrIq5f8D1Q8AAAD//wMAUEsBAi0AFAAGAAgAAAAhALaDOJL+AAAA4QEAABMAAAAAAAAAAAAAAAAA AAAAAFtDb250ZW50X1R5cGVzXS54bWxQSwECLQAUAAYACAAAACEAOP0h/9YAAACUAQAACwAAAAAA AAAAAAAAAAAvAQAAX3JlbHMvLnJlbHNQSwECLQAUAAYACAAAACEA+9XYjTkCAABiBAAADgAAAAAA AAAAAAAAAAAuAgAAZHJzL2Uyb0RvYy54bWxQSwECLQAUAAYACAAAACEAtQKnBOAAAAAIAQAADwAA AAAAAAAAAAAAAACTBAAAZHJzL2Rvd25yZXYueG1sUEsFBgAAAAAEAAQA8wAAAKAFAAAAAA== ">
                          <v:stroke endarrow="block"/>
                        </v:line>
                      </w:pict>
                    </mc:Fallback>
                  </mc:AlternateContent>
                  <mc:AlternateContent>
                    <mc:Choice Requires="wps">
                      <w:drawing>
                        <wp:anchor distT="0" distB="0" distL="114300" distR="114300" simplePos="0" relativeHeight="251782144" behindDoc="0" locked="0" layoutInCell="1" allowOverlap="1">
                          <wp:simplePos x="0" y="0"/>
                          <wp:positionH relativeFrom="column">
                            <wp:posOffset>3465830</wp:posOffset>
                          </wp:positionH>
                          <wp:positionV relativeFrom="paragraph">
                            <wp:posOffset>77470</wp:posOffset>
                          </wp:positionV>
                          <wp:extent cx="9525" cy="233680"/>
                          <wp:effectExtent l="0" t="0" r="28575" b="33020"/>
                          <wp:wrapNone/>
                          <wp:docPr id="8" name="Tiesioji jungtis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36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8" o:spid="_x0000_s1026" style="position:absolute;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2.9pt,6.1pt" to="273.65pt,2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2N779GwIAADYEAAAOAAAAZHJzL2Uyb0RvYy54bWysU8GO2jAQvVfqP1i5QxIIFCLCqkqgl20X aekHGNtJvHVsyzYEVPXfOzYB7W4vVdUcnBnP+Hlm3vPq4dwJdGLGciWLKB0nEWKSKMplU0Tf99vR IkLWYUmxUJIV0YXZ6GH98cOq1zmbqFYJygwCEGnzXhdR65zO49iSlnXYjpVmEoK1Mh124Jompgb3 gN6JeJIk87hXhmqjCLMWdqtrMFoH/LpmxD3VtWUOiSKC2lxYTVgPfo3XK5w3BuuWk6EM/A9VdJhL uPQOVWGH0dHwP6A6ToyyqnZjorpY1TUnLPQA3aTJu26eW6xZ6AWGY/V9TPb/wZJvp51BnBYRECVx BxTtOQM2Xzh6OcrGcYsWfkq9tjkkl3JnfJ/kLJ/1oyI/LJKqbLFsWKh2f9EAkfoT8Zsj3rEa7jr0 XxWFHHx0KozsXJvOQ8Iw0Dkwc7kzw84OEdhcziazCBEITKbT+SLwFuP8dlQb674w1SFvFJHg0o8N 5/j0aJ0vBee3FL8t1ZYLEagXEvUDvI9YJTj1weCY5lAKg07Yiyd8oa93aUYdJQ1gLcN0M9gOc3G1 4XIhPR40A+UM1lUdP5fJcrPYLLJRNplvRllSVaPP2zIbzbfpp1k1rcqySn/5XtIsbzmlTPrqbkpN s79TwvBmrhq7a/U+hvgtepgXFHv7h6IDm57AqxQOil525sYyiDMkDw/Jq/+1D/br577+DQAA//8D AFBLAwQUAAYACAAAACEA0XeLut4AAAAJAQAADwAAAGRycy9kb3ducmV2LnhtbEyPwU7DMBBE70j8 g7VIXKrWJk0KhDgVAnLrhQLiuo2XJCJep7HbBr4ec4LjaEYzb4r1ZHtxpNF3jjVcLRQI4tqZjhsN ry/V/AaED8gGe8ek4Ys8rMvzswJz4078TMdtaEQsYZ+jhjaEIZfS1y1Z9As3EEfvw40WQ5RjI82I p1hue5kotZIWO44LLQ700FL9uT1YDb56o331Patn6n3ZOEr2j5sn1PryYrq/AxFoCn9h+MWP6FBG pp07sPGi15ClWUQP0UgSEDGQpddLEDsN6a0CWRby/4PyBwAA//8DAFBLAQItABQABgAIAAAAIQC2 gziS/gAAAOEBAAATAAAAAAAAAAAAAAAAAAAAAABbQ29udGVudF9UeXBlc10ueG1sUEsBAi0AFAAG AAgAAAAhADj9If/WAAAAlAEAAAsAAAAAAAAAAAAAAAAALwEAAF9yZWxzLy5yZWxzUEsBAi0AFAAG AAgAAAAhAPY3vv0bAgAANgQAAA4AAAAAAAAAAAAAAAAALgIAAGRycy9lMm9Eb2MueG1sUEsBAi0A FAAGAAgAAAAhANF3i7reAAAACQEAAA8AAAAAAAAAAAAAAAAAdQQAAGRycy9kb3ducmV2LnhtbFBL BQYAAAAABAAEAPMAAACABQAAAAA= "/>
                      </w:pict>
                    </mc:Fallback>
                  </mc:AlternateContent>
                  <mc:AlternateContent>
                    <mc:Choice Requires="wps">
                      <w:drawing>
                        <wp:anchor distT="0" distB="0" distL="114300" distR="114300" simplePos="0" relativeHeight="251771904" behindDoc="0" locked="0" layoutInCell="1" allowOverlap="1">
                          <wp:simplePos x="0" y="0"/>
                          <wp:positionH relativeFrom="column">
                            <wp:posOffset>3204210</wp:posOffset>
                          </wp:positionH>
                          <wp:positionV relativeFrom="paragraph">
                            <wp:posOffset>87630</wp:posOffset>
                          </wp:positionV>
                          <wp:extent cx="4445" cy="281305"/>
                          <wp:effectExtent l="76200" t="0" r="71755" b="61595"/>
                          <wp:wrapNone/>
                          <wp:docPr id="9" name="Tiesioji jungtis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45" cy="2813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9" o:spid="_x0000_s1026" style="position:absolute;flip:x;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3pt,6.9pt" to="252.65pt,29.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G0CoNOwIAAGIEAAAOAAAAZHJzL2Uyb0RvYy54bWysVFFv2jAQfp+0/2D5nSahoYOooZoIbA/d VqnsBxjbIe4c27INAU3777szlK7byzSNB3O277777rtzbu8OvSZ76YOypqbFVU6JNNwKZbY1/bpe jaaUhMiMYNoaWdOjDPRu/vbN7eAqObad1UJ6AiAmVIOraRejq7Is8E72LFxZJw1cttb3LMLWbzPh 2QDovc7GeX6TDdYL5y2XIcBpc7qk84TftpLHL20bZCS6psAtptWndYNrNr9l1dYz1yl+psH+gUXP lIGkF6iGRUZ2Xv0B1SvubbBtvOK2z2zbKi5TDVBNkf9WzWPHnEy1gDjBXWQK/w+Wf94/eKJETWeU GNZDi9ZKQjefFHnamW1UgcxQpcGFCpwX5sFjnfxgHt295d8CMXbRMbOVie366ACiwIjsVQhugoNc m+GTFeDDdtEmyQ6t70mrlfuIgQgOspBD6tHx0iN5iITDYVmWE0o4XIynxXU+SZlYhSAY6nyIH6Tt CRo11cqggKxi+/sQkdSLCx4bu1JapyHQhgygwmQ8SQHBaiXwEt2C324W2pM9wzFKv3PeV27e7oxI YJ1kYnm2I1MabBKTNNErEEtLitl6KSjREl4OWid62mBGKBcIn63TJH2f5bPldDktR+X4Zjkq86YZ vV8tytHNqng3aa6bxaIpfiD5oqw6JYQ0yP95qovy76bm/L5O83iZ64tQ2Wv0pCiQff5PpFPnsdmn sdlYcXzwWB0OAQxycj4/Onwpv+6T18unYf4TAAD//wMAUEsDBBQABgAIAAAAIQBt8YdB3wAAAAkB AAAPAAAAZHJzL2Rvd25yZXYueG1sTI/BTsMwEETvSPyDtUjcqB3aVCXEqRACiROCFiFxc+MlCY3X wXabwNeznOC2o3manSnXk+vFEUPsPGnIZgoEUu1tR42Gl+39xQpETIas6T2hhi+MsK5OT0pTWD/S Mx43qREcQrEwGtqUhkLKWLfoTJz5AYm9dx+cSSxDI20wI4e7Xl4qtZTOdMQfWjPgbYv1fnNwGq62 Y+6fwv51kXWfb993H2l4eExan59NN9cgEk7pD4bf+lwdKu608weyUfQacrVYMsrGnCcwkKt8DmLH xyoDWZXy/4LqBwAA//8DAFBLAQItABQABgAIAAAAIQC2gziS/gAAAOEBAAATAAAAAAAAAAAAAAAA AAAAAABbQ29udGVudF9UeXBlc10ueG1sUEsBAi0AFAAGAAgAAAAhADj9If/WAAAAlAEAAAsAAAAA AAAAAAAAAAAALwEAAF9yZWxzLy5yZWxzUEsBAi0AFAAGAAgAAAAhAMbQKg07AgAAYgQAAA4AAAAA AAAAAAAAAAAALgIAAGRycy9lMm9Eb2MueG1sUEsBAi0AFAAGAAgAAAAhAG3xh0HfAAAACQEAAA8A AAAAAAAAAAAAAAAAlQQAAGRycy9kb3ducmV2LnhtbFBLBQYAAAAABAAEAPMAAAChBQAAAAA= ">
                          <v:stroke endarrow="block"/>
                        </v:line>
                      </w:pict>
                    </mc:Fallback>
                  </mc:AlternateContent>
                  <mc:AlternateContent>
                    <mc:Choice Requires="wps">
                      <w:drawing>
                        <wp:anchor distT="4294967295" distB="4294967295" distL="114300" distR="114300" simplePos="0" relativeHeight="251776000" behindDoc="0" locked="0" layoutInCell="1" allowOverlap="1">
                          <wp:simplePos x="0" y="0"/>
                          <wp:positionH relativeFrom="column">
                            <wp:posOffset>3604895</wp:posOffset>
                          </wp:positionH>
                          <wp:positionV relativeFrom="paragraph">
                            <wp:posOffset>20319</wp:posOffset>
                          </wp:positionV>
                          <wp:extent cx="1424305" cy="0"/>
                          <wp:effectExtent l="0" t="0" r="23495" b="19050"/>
                          <wp:wrapNone/>
                          <wp:docPr id="11" name="Tiesioji jungtis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43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1" o:spid="_x0000_s1026" style="position:absolute;z-index:2517760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85pt,1.6pt" to="396pt,1.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Kbr6HwIAADYEAAAOAAAAZHJzL2Uyb0RvYy54bWysU02P2yAQvVfqf0DcE9tZZ5tYcVaVnfSy bSNt+gMIYJstBgQkTlT1v3cgH23aS1XVBwzM8Hgz77F4OvYSHbh1QqsSZ+MUI66oZkK1Jf6yXY9m GDlPFCNSK17iE3f4afn2zWIwBZ/oTkvGLQIQ5YrBlLjz3hRJ4mjHe+LG2nAFwUbbnnhY2jZhlgyA 3stkkqaPyaAtM1ZT7hzs1ucgXkb8puHUf24axz2SJQZuPo42jrswJssFKVpLTCfohQb5BxY9EQou vUHVxBO0t+IPqF5Qq51u/JjqPtFNIyiPNUA1WfpbNS8dMTzWAs1x5tYm9/9g6afDxiLBQLsMI0V6 0GgrOMj5KtDrXrVeOAQh6NNgXAHpldrYUCk9qhfzrOlXh5SuOqJaHvluTwYw4onk7khYOAO37YaP mkEO2Xsdm3ZsbB8goR3oGLU53bThR48obGb5JH9IpxjRaywhxfWgsc5/4LpHYVJiKVRoGynI4dl5 oA6p15SwrfRaSBmllwoNJZ5PJ9N4wGkpWAiGNGfbXSUtOpBgnviFPgDYXZrVe8UiWMcJW13mngh5 nkO+VAEPSgE6l9nZHd/m6Xw1W83yUT55XI3ytK5H79dVPnpcZ++m9UNdVXX2PVDL8qITjHEV2F2d muV/54TLmzl77ObVWxuSe/RYIpC9/iPpqGWQ72yEnWanjQ3dCLKCOWPy5SEF9/+6jlk/n/vyBwAA AP//AwBQSwMEFAAGAAgAAAAhADAxSnXbAAAABwEAAA8AAABkcnMvZG93bnJldi54bWxMj8FOwzAQ RO9I/IO1SFwq6pCKBkKcCgG5cWkBcd3GSxIRr9PYbQNfz8IFjqMZzbwpVpPr1YHG0Hk2cDlPQBHX 3nbcGHh5ri6uQYWIbLH3TAY+KcCqPD0pMLf+yGs6bGKjpIRDjgbaGIdc61C35DDM/UAs3rsfHUaR Y6PtiEcpd71Ok2SpHXYsCy0OdN9S/bHZOwOheqVd9TWrZ8nbovGU7h6eHtGY87Pp7hZUpCn+heEH X9ChFKat37MNqjdwtcwyiRpYpKDEz25S+bb91bos9H/+8hsAAP//AwBQSwECLQAUAAYACAAAACEA toM4kv4AAADhAQAAEwAAAAAAAAAAAAAAAAAAAAAAW0NvbnRlbnRfVHlwZXNdLnhtbFBLAQItABQA BgAIAAAAIQA4/SH/1gAAAJQBAAALAAAAAAAAAAAAAAAAAC8BAABfcmVscy8ucmVsc1BLAQItABQA BgAIAAAAIQC7Kbr6HwIAADYEAAAOAAAAAAAAAAAAAAAAAC4CAABkcnMvZTJvRG9jLnhtbFBLAQIt ABQABgAIAAAAIQAwMUp12wAAAAcBAAAPAAAAAAAAAAAAAAAAAHkEAABkcnMvZG93bnJldi54bWxQ SwUGAAAAAAQABADzAAAAgQUAAAAA "/>
                      </w:pict>
                    </mc:Fallback>
                  </mc:AlternateContent>
                </w:r>
              </w:p>
              <w:p>
                <w:pPr>
                  <w:ind w:left="180"/>
                  <w:jc w:val="both"/>
                  <w:rPr>
                    <w:b/>
                    <w:szCs w:val="24"/>
                  </w:rPr>
                </w:pPr>
                <w:r>
                  <w:rPr>
                    <w:lang w:eastAsia="lt-LT"/>
                  </w:rPr>
                  <mc:AlternateContent>
                    <mc:Choice Requires="wps">
                      <w:drawing>
                        <wp:anchor distT="0" distB="0" distL="114300" distR="114300" simplePos="0" relativeHeight="251783168" behindDoc="0" locked="0" layoutInCell="1" allowOverlap="1">
                          <wp:simplePos x="0" y="0"/>
                          <wp:positionH relativeFrom="column">
                            <wp:posOffset>3470910</wp:posOffset>
                          </wp:positionH>
                          <wp:positionV relativeFrom="paragraph">
                            <wp:posOffset>137795</wp:posOffset>
                          </wp:positionV>
                          <wp:extent cx="414655" cy="2540"/>
                          <wp:effectExtent l="0" t="0" r="23495" b="35560"/>
                          <wp:wrapNone/>
                          <wp:docPr id="12" name="Tiesioji jungtis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4655" cy="2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2" o:spid="_x0000_s1026" style="position:absolute;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3.3pt,10.85pt" to="305.95pt,11.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a7AaXIQIAADgEAAAOAAAAZHJzL2Uyb0RvYy54bWysU9uO2yAQfa/Uf0C8Z32pkyZWnFUVJ33Z diNt+gEEsM0WAwISJ6r67x3IRdn2parqBzwwM4czc4b547GX6MCtE1pVOHtIMeKKaiZUW+Fv2/Vo ipHzRDEiteIVPnGHHxfv380HU/Jcd1oybhGAKFcOpsKd96ZMEkc73hP3oA1X4Gy07YmHrW0TZskA 6L1M8jSdJIO2zFhNuXNwWp+deBHxm4ZT/9w0jnskKwzcfFxtXHdhTRZzUraWmE7QCw3yDyx6IhRc eoOqiSdob8UfUL2gVjvd+Aeq+0Q3jaA81gDVZOlv1bx0xPBYCzTHmVub3P+DpV8PG4sEA+1yjBTp QaOt4CDnq0Cve9V64RC4oE+DcSWEL9XGhkrpUb2YJ02/O6T0siOq5ZHv9mQAIwsZyZuUsHEGbtsN XzSDGLL3Ojbt2Ng+QEI70DFqc7ppw48eUTgssmIyHmNEwZWPi6hcQsprqrHOf+a6R8GosBQqNI6U 5PDkfKBCymtIOFZ6LaSM4kuFhgrPxvk4JjgtBQvOEOZsu1tKiw4kjE/8Yl3guQ+zeq9YBOs4YauL 7YmQZxsulyrgQTFA52Kd5+PHLJ2tpqtpMSryyWpUpHU9+rReFqPJOvs4rj/Uy2Wd/QzUsqLsBGNc BXbXWc2Kv5uFy6s5T9ltWm9tSN6ix34B2es/ko5qBgHPo7DT7LSxV5VhPGPw5SmF+b/fg33/4Be/ AAAA//8DAFBLAwQUAAYACAAAACEAEYBqMN4AAAAJAQAADwAAAGRycy9kb3ducmV2LnhtbEyPwU7D MAyG70i8Q2QkLhNLW6BAaTohoDcuDBBXrzFtReN0TbYVnh5zgqPtT7+/v1zNblB7mkLv2UC6TEAR N9723Bp4fanPrkGFiGxx8EwGvijAqjo+KrGw/sDPtF/HVkkIhwINdDGOhdah6chhWPqRWG4ffnIY ZZxabSc8SLgbdJYkuXbYs3zocKT7jprP9c4ZCPUbbevvRbNI3s9bT9n24ekRjTk9me9uQUWa4x8M v/qiDpU4bfyObVCDgcuLPBfUQJZegRIgT9MbUBtZZCnoqtT/G1Q/AAAA//8DAFBLAQItABQABgAI AAAAIQC2gziS/gAAAOEBAAATAAAAAAAAAAAAAAAAAAAAAABbQ29udGVudF9UeXBlc10ueG1sUEsB Ai0AFAAGAAgAAAAhADj9If/WAAAAlAEAAAsAAAAAAAAAAAAAAAAALwEAAF9yZWxzLy5yZWxzUEsB Ai0AFAAGAAgAAAAhABrsBpchAgAAOAQAAA4AAAAAAAAAAAAAAAAALgIAAGRycy9lMm9Eb2MueG1s UEsBAi0AFAAGAAgAAAAhABGAajDeAAAACQEAAA8AAAAAAAAAAAAAAAAAewQAAGRycy9kb3ducmV2 LnhtbFBLBQYAAAAABAAEAPMAAACGBQAAAAA= "/>
                      </w:pict>
                    </mc:Fallback>
                  </mc:AlternateContent>
                  <mc:AlternateContent>
                    <mc:Choice Requires="wps">
                      <w:drawing>
                        <wp:anchor distT="0" distB="0" distL="114300" distR="114300" simplePos="0" relativeHeight="251784192" behindDoc="0" locked="0" layoutInCell="1" allowOverlap="1">
                          <wp:simplePos x="0" y="0"/>
                          <wp:positionH relativeFrom="column">
                            <wp:posOffset>3879850</wp:posOffset>
                          </wp:positionH>
                          <wp:positionV relativeFrom="paragraph">
                            <wp:posOffset>137795</wp:posOffset>
                          </wp:positionV>
                          <wp:extent cx="10160" cy="1490980"/>
                          <wp:effectExtent l="76200" t="0" r="66040" b="52070"/>
                          <wp:wrapNone/>
                          <wp:docPr id="13" name="Tiesioji jungtis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160" cy="1490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3" o:spid="_x0000_s1026" style="position:absolute;flip:x;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5.5pt,10.85pt" to="306.3pt,128.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lpAmPwIAAGYEAAAOAAAAZHJzL2Uyb0RvYy54bWysVMGO2jAQvVfqP1i+QxI2UDYirKoE2sO2 RVr6AcZ2Em8d27INAVX99x0blt1tL1VVDmbsmXl+M/Ocxd2xl+jArRNalTgbpxhxRTUTqi3x9+16 NMfIeaIYkVrxEp+4w3fL9+8Wgyn4RHdaMm4RgChXDKbEnfemSBJHO94TN9aGK3A22vbEw9a2CbNk APReJpM0nSWDtsxYTblzcFqfnXgZ8ZuGU/+taRz3SJYYuPm42rjuwposF6RoLTGdoBca5B9Y9EQo uPQKVRNP0N6KP6B6Qa12uvFjqvtEN42gPNYA1WTpb9U8dMTwWAs0x5lrm9z/g6VfDxuLBIPZ3WCk SA8z2goO43wU6HGvWi8cAhf0aTCugPBKbWyolB7Vg7nX9IdDSlcdUS2PfLcnAxhZyEjepISNM3Db bviiGcSQvdexacfG9qiRwnwOiQEcGoOOcUqn65T40SMKh1mazWCUFDxZfpvezuMUE1IEmJBsrPOf uO5RMEoshQpNJAU53DsfaL2EhGOl10LKKASp0FDi2+lkGhOcloIFZwhztt1V0qIDCVKKv1gjeF6H Wb1XLIJ1nLDVxfZESLCRj83xVkC7JMfhtp4zjCSH1xOsMz2pwo1QMBC+WGc1/YR6V/PVPB/lk9lq lKd1Pfq4rvLRbJ19mNY3dVXV2a9APsuLTjDGVeD/rOws/zvlXN7YWZNXbV8blbxFjx0Fss//kXSc fRj3WTg7zU4bG6oLMgAxx+DLwwuv5fU+Rr18HpZPAAAA//8DAFBLAwQUAAYACAAAACEAaTxbE+EA AAAKAQAADwAAAGRycy9kb3ducmV2LnhtbEyPwU7DMBBE70j8g7VI3KjjiBgIcSqEQOKEoEWVenPj JQmN7WBvm8DXY05wnJ3R7JtqOduBHTHE3jsFYpEBQ9d407tWwdv68eIaWCTtjB68QwVfGGFZn55U ujR+cq94XFHLUomLpVbQEY0l57Hp0Oq48CO65L37YDUlGVpugp5SuR14nmWSW9279KHTI9532OxX B6vgZj0V/iXsN5ei/9x+P3zQ+PRMSp2fzXe3wAhn+gvDL35Chzox7fzBmcgGBVKItIUU5OIKWApI kUtgu3QoZAG8rvj/CfUPAAAA//8DAFBLAQItABQABgAIAAAAIQC2gziS/gAAAOEBAAATAAAAAAAA AAAAAAAAAAAAAABbQ29udGVudF9UeXBlc10ueG1sUEsBAi0AFAAGAAgAAAAhADj9If/WAAAAlAEA AAsAAAAAAAAAAAAAAAAALwEAAF9yZWxzLy5yZWxzUEsBAi0AFAAGAAgAAAAhAG+WkCY/AgAAZgQA AA4AAAAAAAAAAAAAAAAALgIAAGRycy9lMm9Eb2MueG1sUEsBAi0AFAAGAAgAAAAhAGk8WxPhAAAA CgEAAA8AAAAAAAAAAAAAAAAAmQQAAGRycy9kb3ducmV2LnhtbFBLBQYAAAAABAAEAPMAAACnBQAA AAA= ">
                          <v:stroke endarrow="block"/>
                        </v:line>
                      </w:pict>
                    </mc:Fallback>
                  </mc:AlternateContent>
                </w:r>
              </w:p>
              <w:p>
                <w:pPr>
                  <w:ind w:left="180"/>
                  <w:jc w:val="both"/>
                  <w:rPr>
                    <w:b/>
                    <w:szCs w:val="24"/>
                  </w:rPr>
                </w:pPr>
                <w:r>
                  <w:rPr>
                    <w:lang w:eastAsia="lt-LT"/>
                  </w:rPr>
                  <mc:AlternateContent>
                    <mc:Choice Requires="wps">
                      <w:drawing>
                        <wp:anchor distT="0" distB="0" distL="114300" distR="114300" simplePos="0" relativeHeight="251770880" behindDoc="0" locked="0" layoutInCell="1" allowOverlap="1">
                          <wp:simplePos x="0" y="0"/>
                          <wp:positionH relativeFrom="column">
                            <wp:posOffset>2856865</wp:posOffset>
                          </wp:positionH>
                          <wp:positionV relativeFrom="paragraph">
                            <wp:posOffset>20320</wp:posOffset>
                          </wp:positionV>
                          <wp:extent cx="800735" cy="232410"/>
                          <wp:effectExtent l="0" t="0" r="18415" b="15240"/>
                          <wp:wrapNone/>
                          <wp:docPr id="14" name="Stačiakampi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735" cy="232410"/>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MERAS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4" o:spid="_x0000_s1040" style="position:absolute;left:0;text-align:left;margin-left:224.95pt;margin-top:1.6pt;width:63.05pt;height:18.3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J6mMgIAAFQEAAAOAAAAZHJzL2Uyb0RvYy54bWysVNtuEzEQfUfiHyy/k92kCW1X2VRVShBS gUqBD5h4vVmrvjF2sin/wF/xYYydS1PgCbEPlsczPp45Z2anNzuj2VZiUM7WfDgoOZNWuEbZdc2/ flm8ueIsRLANaGdlzZ9k4Dez16+mva/kyHVONxIZgdhQ9b7mXYy+KoogOmkgDJyXlpytQwORTFwX DUJP6EYXo7J8W/QOG49OyBDo9G7v5LOM37ZSxM9tG2RkuuaUW8wr5nWV1mI2hWqN4DslDmnAP2Rh QFl69AR1BxHYBtUfUEYJdMG1cSCcKVzbKiFzDVTNsPytmmUHXuZaiJzgTzSF/wcrPm0fkKmGtBtz ZsGQRssIP38oeATjVWB0TiT1PlQUu/QPmMoM/t6Jx8Csm3dg1/IW0fWdhIZSG6b44sWFZAS6ylb9 R9fQE7CJLvO1a9EkQGKC7bIsTydZ5C4yQYdXZXl5MeFMkGt0MRoPs2wFVMfLHkN8L51haVNzJNUz OGzvQ0zJQHUMyck7rZqF0jobuF7NNbItUIcs8pfzpxrPw7Rlfc2vJ6NJRn7hC+cQZf7+BmFUpFbX yuSKKCwFQZVYe2ebvI+g9H5PKWt7oDExt1cg7la7o1h0IdG6cs0TEYtu39o0irTpHH7nrKe2rnn4 tgGUnOkPlsS5Ho7HaQ6yMZ5cjsjAc8/q3ANWEFTNI2f77TzuZ2fjUa07emmY6bDulgRtVSb7OatD /tS6WYPDmKXZOLdz1PPPYPYLAAD//wMAUEsDBBQABgAIAAAAIQDD8Pyo3QAAAAgBAAAPAAAAZHJz L2Rvd25yZXYueG1sTI9BT4NAFITvJv6HzTPxZhdprQVZGqOpiceWXrw94Ako+5awS4v+ep8nPU5m MvNNtp1tr040+s6xgdtFBIq4cnXHjYFjsbvZgPIBucbeMRn4Ig/b/PIiw7R2Z97T6RAaJSXsUzTQ hjCkWvuqJYt+4QZi8d7daDGIHBtdj3iWctvrOIrW2mLHstDiQE8tVZ+HyRoou/iI3/viJbLJbhle 5+Jjens25vpqfnwAFWgOf2H4xRd0yIWpdBPXXvUGVqskkaiBZQxK/Lv7tXwrRScb0Hmm/x/IfwAA AP//AwBQSwECLQAUAAYACAAAACEAtoM4kv4AAADhAQAAEwAAAAAAAAAAAAAAAAAAAAAAW0NvbnRl bnRfVHlwZXNdLnhtbFBLAQItABQABgAIAAAAIQA4/SH/1gAAAJQBAAALAAAAAAAAAAAAAAAAAC8B AABfcmVscy8ucmVsc1BLAQItABQABgAIAAAAIQCg+J6mMgIAAFQEAAAOAAAAAAAAAAAAAAAAAC4C AABkcnMvZTJvRG9jLnhtbFBLAQItABQABgAIAAAAIQDD8Pyo3QAAAAgBAAAPAAAAAAAAAAAAAAAA AIwEAABkcnMvZG93bnJldi54bWxQSwUGAAAAAAQABADzAAAAlgUAAAAA ">
                          <v:textbox>
                            <w:txbxContent>
                              <w:p>
                                <w:pPr>
                                  <w:jc w:val="center"/>
                                  <w:rPr>
                                    <w:rFonts w:ascii="TimesLT" w:hAnsi="TimesLT"/>
                                    <w:sz w:val="16"/>
                                    <w:szCs w:val="16"/>
                                    <w:u w:val="single"/>
                                    <w:lang w:val="en-GB"/>
                                  </w:rPr>
                                </w:pPr>
                                <w:r>
                                  <w:rPr>
                                    <w:rFonts w:ascii="TimesLT" w:hAnsi="TimesLT"/>
                                    <w:sz w:val="16"/>
                                    <w:szCs w:val="16"/>
                                    <w:u w:val="single"/>
                                    <w:lang w:val="en-GB"/>
                                  </w:rPr>
                                  <w:t>MERAS</w:t>
                                </w:r>
                              </w:p>
                            </w:txbxContent>
                          </v:textbox>
                        </v:rect>
                      </w:pict>
                    </mc:Fallback>
                  </mc:AlternateContent>
                  <mc:AlternateContent>
                    <mc:Choice Requires="wps">
                      <w:drawing>
                        <wp:anchor distT="4294967295" distB="4294967295" distL="114300" distR="114300" simplePos="0" relativeHeight="251772928" behindDoc="0" locked="0" layoutInCell="1" allowOverlap="1">
                          <wp:simplePos x="0" y="0"/>
                          <wp:positionH relativeFrom="column">
                            <wp:posOffset>689610</wp:posOffset>
                          </wp:positionH>
                          <wp:positionV relativeFrom="paragraph">
                            <wp:posOffset>116204</wp:posOffset>
                          </wp:positionV>
                          <wp:extent cx="2167255" cy="0"/>
                          <wp:effectExtent l="0" t="0" r="23495" b="19050"/>
                          <wp:wrapNone/>
                          <wp:docPr id="15" name="Tiesioji jungtis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672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5" o:spid="_x0000_s1026" style="position:absolute;flip:x;z-index:2517729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3pt,9.15pt" to="224.95pt,9.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sa4FJQIAAEAEAAAOAAAAZHJzL2Uyb0RvYy54bWysU9uO2yAQfa/Uf0B+T3ypk02sOKvKTtqH bRtp0w8ggG22GBCQOFHVf+9ALs22L1VVP+CBmTmcmTksHo+9QAdmLFeyjNJxEiEmiaJctmX0dbse zSJkHZYUCyVZGZ2YjR6Xb98sBl2wTHVKUGYQgEhbDLqMOud0EceWdKzHdqw0k+BslOmxg61pY2rw AOi9iLMkmcaDMlQbRZi1cFqfndEy4DcNI+5L01jmkCgj4ObCasK682u8XOCiNVh3nFxo4H9g0WMu 4dIbVI0dRnvD/4DqOTHKqsaNiepj1TScsFADVJMmv1Xz3GHNQi3QHKtvbbL/D5Z8PmwM4hRmN4mQ xD3MaMsZjPOFo5e9bB23CFzQp0HbAsIruTG+UnKUz/pJkW8WSVV1WLYs8N2eNGCkPiN+leI3VsNt u+GTohCD906Fph0b06NGcP3RJ3pwaAw6himdblNiR4cIHGbp9CGbAFty9cW48BA+URvrPjDVI2+U keDSNxAX+PBknaf0K8QfS7XmQgQRCImGMppPsklIsEpw6p0+zJp2VwmDDtjLKHyhPvDchxm1lzSA dQzT1cV2mIuzDZcL6fGgFKBzsc46+T5P5qvZapaP8my6GuVJXY/er6t8NF2nD5P6XV1VdfrDU0vz ouOUMunZXTWb5n+nicvrOavtptpbG+LX6KFfQPb6D6TDVP0gz5LYKXramOu0QaYh+PKk/Du434N9 //CXPwEAAP//AwBQSwMEFAAGAAgAAAAhAE6ISOXdAAAACQEAAA8AAABkcnMvZG93bnJldi54bWxM j0FPwzAMhe9I/IfISNxYwjZNbWk6TQi4ICExCue08dpqjVM1WVf+PUYc2M3Pfnr+Xr6dXS8mHEPn ScP9QoFAqr3tqNFQfjzfJSBCNGRN7wk1fGOAbXF9lZvM+jO947SPjeAQCpnR0MY4ZFKGukVnwsIP SHw7+NGZyHJspB3NmcNdL5dKbaQzHfGH1gz42GJ93J+cht3X69Pqbaqc723alJ/WleplqfXtzbx7 ABFxjv9m+MVndCiYqfInskH0rFWyYSsPyQoEG9brNAVR/S1kkcvLBsUPAAAA//8DAFBLAQItABQA BgAIAAAAIQC2gziS/gAAAOEBAAATAAAAAAAAAAAAAAAAAAAAAABbQ29udGVudF9UeXBlc10ueG1s UEsBAi0AFAAGAAgAAAAhADj9If/WAAAAlAEAAAsAAAAAAAAAAAAAAAAALwEAAF9yZWxzLy5yZWxz UEsBAi0AFAAGAAgAAAAhAFmxrgUlAgAAQAQAAA4AAAAAAAAAAAAAAAAALgIAAGRycy9lMm9Eb2Mu eG1sUEsBAi0AFAAGAAgAAAAhAE6ISOXdAAAACQEAAA8AAAAAAAAAAAAAAAAAfwQAAGRycy9kb3du cmV2LnhtbFBLBQYAAAAABAAEAPMAAACJBQAAAAA= "/>
                      </w:pict>
                    </mc:Fallback>
                  </mc:AlternateContent>
                  <mc:AlternateContent>
                    <mc:Choice Requires="wps">
                      <w:drawing>
                        <wp:anchor distT="0" distB="0" distL="114299" distR="114299" simplePos="0" relativeHeight="251773952" behindDoc="0" locked="0" layoutInCell="1" allowOverlap="1">
                          <wp:simplePos x="0" y="0"/>
                          <wp:positionH relativeFrom="column">
                            <wp:posOffset>689609</wp:posOffset>
                          </wp:positionH>
                          <wp:positionV relativeFrom="paragraph">
                            <wp:posOffset>116205</wp:posOffset>
                          </wp:positionV>
                          <wp:extent cx="0" cy="343535"/>
                          <wp:effectExtent l="76200" t="0" r="76200" b="56515"/>
                          <wp:wrapNone/>
                          <wp:docPr id="16" name="Tiesioji jungtis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35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6" o:spid="_x0000_s1026" style="position:absolute;z-index:2517739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4.3pt,9.15pt" to="54.3pt,36.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W8J3CMQIAAFcEAAAOAAAAZHJzL2Uyb0RvYy54bWysVMGO2jAQvVfqP1i+QwgEChFhVRHoZdsi Lf0AYzuJt45t2YaAqv57xybQ0l6qqhzM2B6/efNmJsuncyvRiVsntCpwOhxhxBXVTKi6wF/228Ec I+eJYkRqxQt84Q4/rd6+WXYm52PdaMm4RQCiXN6ZAjfemzxJHG14S9xQG67gstK2JR62tk6YJR2g tzIZj0azpNOWGaspdw5Oy+slXkX8quLUf64qxz2SBQZuPq42roewJqslyWtLTCNoT4P8A4uWCAVB 71Al8QQdrfgDqhXUaqcrP6S6TXRVCcpjDpBNOvotm5eGGB5zAXGcucvk/h8s/XTaWSQY1G6GkSIt 1GgvOJTzVaDXo6q9cAiuQKfOuBzc12pnQ6b0rF7Ms6ZfHVJ63RBV88h3fzGAkYYXycOTsHEGoh26 j5qBDzl6HUU7V7YNkCAHOsfaXO614WeP6PWQwukkm0wn0whO8ts7Y53/wHWLglFgKVRQjeTk9Ox8 4EHym0s4VnorpIyVlwp1BV5Mx9P4wGkpWLgMbs7Wh7W06ERC78RfH/fBzeqjYhGs4YRtetsTIcFG PqrhrQB9JMchWssZRpLDuATrSk+qEBFyBcK9dW2fb4vRYjPfzLNBNp5tBtmoLAfvt+tsMNum76bl pFyvy/R7IJ9meSMY4yrwv7Vymv1dq/RDdW3CezPfhUoe0aOiQPb2H0nHYof6XjvloNllZ0N2oe7Q vdG5n7QwHr/uo9fP78HqBwAAAP//AwBQSwMEFAAGAAgAAAAhAB5rCSDfAAAACQEAAA8AAABkcnMv ZG93bnJldi54bWxMj0FPwzAMhe9I/IfISNxYuoFGVJpOCGlcNkDbEIJb1pi2onGqJN3Kv8fjAjc/ ++n5e8VidJ04YIitJw3TSQYCqfK2pVrD6255pUDEZMiazhNq+MYIi/L8rDC59Ufa4GGbasEhFHOj oUmpz6WMVYPOxInvkfj26YMziWWopQ3myOGuk7Msm0tnWuIPjenxocHqazs4DZv1cqXeVsNYhY/H 6fPuZf30HpXWlxfj/R2IhGP6M8MJn9GhZKa9H8hG0bHO1JytPKhrECfD72Kv4XZ2A7Is5P8G5Q8A AAD//wMAUEsBAi0AFAAGAAgAAAAhALaDOJL+AAAA4QEAABMAAAAAAAAAAAAAAAAAAAAAAFtDb250 ZW50X1R5cGVzXS54bWxQSwECLQAUAAYACAAAACEAOP0h/9YAAACUAQAACwAAAAAAAAAAAAAAAAAv AQAAX3JlbHMvLnJlbHNQSwECLQAUAAYACAAAACEAVvCdwjECAABXBAAADgAAAAAAAAAAAAAAAAAu AgAAZHJzL2Uyb0RvYy54bWxQSwECLQAUAAYACAAAACEAHmsJIN8AAAAJAQAADwAAAAAAAAAAAAAA AACLBAAAZHJzL2Rvd25yZXYueG1sUEsFBgAAAAAEAAQA8wAAAJcFAAAAAA== ">
                          <v:stroke endarrow="block"/>
                        </v:line>
                      </w:pict>
                    </mc:Fallback>
                  </mc:AlternateContent>
                </w:r>
              </w:p>
              <w:p>
                <w:pPr>
                  <w:ind w:left="180"/>
                  <w:jc w:val="both"/>
                  <w:rPr>
                    <w:b/>
                    <w:szCs w:val="24"/>
                  </w:rPr>
                </w:pPr>
                <w:r>
                  <w:rPr>
                    <w:lang w:eastAsia="lt-LT"/>
                  </w:rPr>
                  <mc:AlternateContent>
                    <mc:Choice Requires="wps">
                      <w:drawing>
                        <wp:anchor distT="0" distB="0" distL="114300" distR="114300" simplePos="0" relativeHeight="251774976" behindDoc="0" locked="0" layoutInCell="1" allowOverlap="1">
                          <wp:simplePos x="0" y="0"/>
                          <wp:positionH relativeFrom="column">
                            <wp:posOffset>3199130</wp:posOffset>
                          </wp:positionH>
                          <wp:positionV relativeFrom="paragraph">
                            <wp:posOffset>77470</wp:posOffset>
                          </wp:positionV>
                          <wp:extent cx="5080" cy="1200785"/>
                          <wp:effectExtent l="76200" t="0" r="71120" b="56515"/>
                          <wp:wrapNone/>
                          <wp:docPr id="17" name="Tiesioji jungtis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80" cy="12007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7" o:spid="_x0000_s1026" style="position:absolute;flip:x;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1.9pt,6.1pt" to="252.3pt,100.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rR6XPAIAAGUEAAAOAAAAZHJzL2Uyb0RvYy54bWysVE2P2jAQvVfqf7B8hyQ0fEWEVZVAe9i2 SEt/gLEd4q1jW7YhoKr/vWPDsqW9VFU5mLE98+bNzHMWD6dOoiO3TmhV4myYYsQV1UyofYm/bteD GUbOE8WI1IqX+Mwdfli+fbPoTcFHutWScYsARLmiNyVuvTdFkjja8o64oTZcwWWjbUc8bO0+YZb0 gN7JZJSmk6TXlhmrKXcOTuvLJV5G/Kbh1H9pGsc9kiUGbj6uNq67sCbLBSn2lphW0CsN8g8sOiIU JL1B1cQTdLDiD6hOUKudbvyQ6i7RTSMojzVANVn6WzVPLTE81gLNcebWJvf/YOnn48YiwWB2U4wU 6WBGW8FhnM8CPR/U3guH4Ar61BtXgHulNjZUSk/qyTxq+s0hpauWqD2PfLdnAxhZiEjuQsLGGci2 6z9pBj7k4HVs2qmxHWqkMB9DYACHxqBTnNL5NiV+8ojC4TidwSQpXGSggOlsHFORIqCEWGOd/8B1 h4JRYilU6CEpyPHR+cDq1SUcK70WUkYdSIX6Es/Ho3EMcFoKFi6Dm7P7XSUtOpKgpPi75r1zs/qg WARrOWGrq+2JkGAjH3vjrYBuSY5Dto4zjCSHxxOsCz2pQkaoFwhfrYuYvs/T+Wq2muWDfDRZDfK0 rgfv11U+mKyz6bh+V1dVnf0I5LO8aAVjXAX+L8LO8r8TzvWJXSR5k/atUck9euwokH35j6Tj6MO0 L7rZaXbe2FBdUAFoOTpf3114LL/uo9fr12H5EwAA//8DAFBLAwQUAAYACAAAACEAkhnH4OEAAAAK AQAADwAAAGRycy9kb3ducmV2LnhtbEyPwU7DMBBE70j8g7VI3KidtKkgxKkQAokTghZV6s1NliQ0 XgfbbQJfz3KC42hGM2+K1WR7cUIfOkcakpkCgVS5uqNGw9vm8eoaRIiGatM7Qg1fGGBVnp8VJq/d SK94WsdGcAmF3GhoYxxyKUPVojVh5gYk9t6dtyay9I2svRm53PYyVWopremIF1oz4H2L1WF9tBpu NmPmXvxhu0i6z933w0ccnp6j1pcX090tiIhT/AvDLz6jQ8lMe3ekOoheQ6bmjB7ZSFMQHMjUYgli ryFVyRxkWcj/F8ofAAAA//8DAFBLAQItABQABgAIAAAAIQC2gziS/gAAAOEBAAATAAAAAAAAAAAA AAAAAAAAAABbQ29udGVudF9UeXBlc10ueG1sUEsBAi0AFAAGAAgAAAAhADj9If/WAAAAlAEAAAsA AAAAAAAAAAAAAAAALwEAAF9yZWxzLy5yZWxzUEsBAi0AFAAGAAgAAAAhAJGtHpc8AgAAZQQAAA4A AAAAAAAAAAAAAAAALgIAAGRycy9lMm9Eb2MueG1sUEsBAi0AFAAGAAgAAAAhAJIZx+DhAAAACgEA AA8AAAAAAAAAAAAAAAAAlgQAAGRycy9kb3ducmV2LnhtbFBLBQYAAAAABAAEAPMAAACkBQAAAAA= ">
                          <v:stroke endarrow="block"/>
                        </v:line>
                      </w:pict>
                    </mc:Fallback>
                  </mc:AlternateContent>
                </w:r>
              </w:p>
              <w:p>
                <w:pPr>
                  <w:ind w:left="180"/>
                  <w:jc w:val="both"/>
                  <w:rPr>
                    <w:b/>
                    <w:szCs w:val="24"/>
                  </w:rPr>
                </w:pPr>
                <w:r>
                  <w:rPr>
                    <w:lang w:eastAsia="lt-LT"/>
                  </w:rPr>
                  <mc:AlternateContent>
                    <mc:Choice Requires="wps">
                      <w:drawing>
                        <wp:anchor distT="0" distB="0" distL="114300" distR="114300" simplePos="0" relativeHeight="251787264" behindDoc="0" locked="0" layoutInCell="1" allowOverlap="1">
                          <wp:simplePos x="0" y="0"/>
                          <wp:positionH relativeFrom="column">
                            <wp:posOffset>1495425</wp:posOffset>
                          </wp:positionH>
                          <wp:positionV relativeFrom="paragraph">
                            <wp:posOffset>120015</wp:posOffset>
                          </wp:positionV>
                          <wp:extent cx="1022985" cy="414655"/>
                          <wp:effectExtent l="0" t="0" r="24765" b="23495"/>
                          <wp:wrapNone/>
                          <wp:docPr id="18" name="Stačiakampis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985" cy="41465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MERO PATARĖJAI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8" o:spid="_x0000_s1041" style="position:absolute;left:0;text-align:left;margin-left:117.75pt;margin-top:9.45pt;width:80.55pt;height:32.6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cCqnMgIAAFUEAAAOAAAAZHJzL2Uyb0RvYy54bWysVF2O0zAQfkfiDpbfaZKqXbZR09WqSxHS AisVDjB1nMZa/zF2m5Y7cCsOxsTpdrvAEyIPlscz/jzzfTOZ3xyMZnuJQTlb8WKUcyatcLWy24p/ /bJ6c81ZiGBr0M7Kih9l4DeL16/mnS/l2LVO1xIZgdhQdr7ibYy+zLIgWmkgjJyXlpyNQwORTNxm NUJH6EZn4zy/yjqHtUcnZAh0ejc4+SLhN40U8XPTBBmZrjjlFtOKad30a7aYQ7lF8K0SpzTgH7Iw oCw9eoa6gwhsh+oPKKMEuuCaOBLOZK5plJCpBqqmyH+rZt2Cl6kWIif4M03h/8GKT/sHZKom7Ugp C4Y0Wkf4+UPBIxivAqNzIqnzoaTYtX/Avszg7514DMy6ZQt2K28RXddKqCm1oo/PXlzojUBX2ab7 6Gp6AnbRJb4ODZoekJhghyTL8SyLPEQm6LDIx+PZ9ZQzQb5JMbmaTtMTUD7d9hjie+kM6zcVR5I9 ocP+PsQ+GyifQlL2Tqt6pbROBm43S41sD9Qiq/Sd0MNlmLasq/hsOp4m5Be+cAmRp+9vEEZF6nWt TMWvz0FQ9rS9s3XqxAhKD3tKWdsTjz11gwTxsDkMaiUKel43rj4Ss+iG3qZZpE3r8DtnHfV1xcO3 HaDkTH+wpM6smEz6QUjGZPp2TAZeejaXHrCCoCoeORu2yzgMz86j2rb0UpHosO6WFG1UIvs5q1P+ 1LtJg9Oc9cNxaaeo57/B4hcAAAD//wMAUEsDBBQABgAIAAAAIQCnjT0d3gAAAAkBAAAPAAAAZHJz L2Rvd25yZXYueG1sTI9BT4NAEIXvJv6HzZh4s4tgCSBLYzQ18djSS28DjICyu4RdWvTXO57a4+R9 ee+bfLPoQZxocr01Ch5XAQgytW160yo4lNuHBITzaBocrCEFP+RgU9ze5Jg19mx2dNr7VnCJcRkq 6LwfMyld3ZFGt7IjGc4+7aTR8zm1spnwzOV6kGEQxFJjb3ihw5FeO6q/97NWUPXhAX935Xug023k P5byaz6+KXV/t7w8g/C0+AsM//qsDgU7VXY2jRODgjBarxnlIElBMBClcQyiUpA8hSCLXF5/UPwB AAD//wMAUEsBAi0AFAAGAAgAAAAhALaDOJL+AAAA4QEAABMAAAAAAAAAAAAAAAAAAAAAAFtDb250 ZW50X1R5cGVzXS54bWxQSwECLQAUAAYACAAAACEAOP0h/9YAAACUAQAACwAAAAAAAAAAAAAAAAAv AQAAX3JlbHMvLnJlbHNQSwECLQAUAAYACAAAACEAI3AqpzICAABVBAAADgAAAAAAAAAAAAAAAAAu AgAAZHJzL2Uyb0RvYy54bWxQSwECLQAUAAYACAAAACEAp409Hd4AAAAJAQAADwAAAAAAAAAAAAAA AACMBAAAZHJzL2Rvd25yZXYueG1sUEsFBgAAAAAEAAQA8wAAAJcFAAAAAA== ">
                          <v:textbox>
                            <w:txbxContent>
                              <w:p>
                                <w:pPr>
                                  <w:jc w:val="center"/>
                                  <w:rPr>
                                    <w:rFonts w:ascii="TimesLT" w:hAnsi="TimesLT"/>
                                    <w:sz w:val="16"/>
                                    <w:szCs w:val="16"/>
                                    <w:u w:val="single"/>
                                    <w:lang w:val="en-GB"/>
                                  </w:rPr>
                                </w:pPr>
                                <w:r>
                                  <w:rPr>
                                    <w:rFonts w:ascii="TimesLT" w:hAnsi="TimesLT"/>
                                    <w:sz w:val="16"/>
                                    <w:szCs w:val="16"/>
                                    <w:u w:val="single"/>
                                    <w:lang w:val="en-GB"/>
                                  </w:rPr>
                                  <w:t>MERO PATARĖJAI</w:t>
                                </w:r>
                              </w:p>
                            </w:txbxContent>
                          </v:textbox>
                        </v:rect>
                      </w:pict>
                    </mc:Fallback>
                  </mc:AlternateContent>
                  <mc:AlternateContent>
                    <mc:Choice Requires="wps">
                      <w:drawing>
                        <wp:anchor distT="0" distB="0" distL="114300" distR="114300" simplePos="0" relativeHeight="251785216" behindDoc="0" locked="0" layoutInCell="1" allowOverlap="1">
                          <wp:simplePos x="0" y="0"/>
                          <wp:positionH relativeFrom="column">
                            <wp:posOffset>4343400</wp:posOffset>
                          </wp:positionH>
                          <wp:positionV relativeFrom="paragraph">
                            <wp:posOffset>46990</wp:posOffset>
                          </wp:positionV>
                          <wp:extent cx="1217930" cy="376555"/>
                          <wp:effectExtent l="0" t="0" r="20320" b="23495"/>
                          <wp:wrapNone/>
                          <wp:docPr id="19" name="Stačiakampis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7930" cy="37655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KOMITETAI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9" o:spid="_x0000_s1042" style="position:absolute;left:0;text-align:left;margin-left:342pt;margin-top:3.7pt;width:95.9pt;height:29.6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s472NAIAAFUEAAAOAAAAZHJzL2Uyb0RvYy54bWysVF1u2zAMfh+wOwh6Xx2nTdMYdYqiXYcB 3VYg2wEYWY6F6m+UEie7w27Vg42S0zTd9jTMD4IoUh+p7yN9ebU1mm0kBuVszcuTEWfSCtcou6r5 t6937y44CxFsA9pZWfOdDPxq/vbNZe8rOXad041ERiA2VL2veRejr4oiiE4aCCfOS0vO1qGBSCau igahJ3Sji/FodF70DhuPTsgQ6PR2cPJ5xm9bKeKXtg0yMl1zqi3mFfO6TGsxv4RqheA7JfZlwD9U YUBZSnqAuoUIbI3qDyijBLrg2nginClc2yoh8xvoNeXot9csOvAyv4XICf5AU/h/sOLz5gGZaki7 GWcWDGm0iPD0U8EjGK8Co3MiqfehotiFf8D0zODvnXgMzLqbDuxKXiO6vpPQUGllii9eXUhGoKts 2X9yDaWAdXSZr22LJgESE2ybZdkdZJHbyAQdluNyOjsl9QT5Tqfnk8kkp4Dq+bbHED9IZ1ja1BxJ 9owOm/sQUzVQPYfk6p1WzZ3SOhu4Wt5oZBugFrnL3x49HIdpy/qazybjSUZ+5QvHEKP8/Q3CqEi9 rpWp+cUhCKpE23vb5E6MoPSwp5K13fOYqBskiNvldlDrPGVIvC5dsyNm0Q29TbNIm87hD8566uua h+9rQMmZ/mhJnVl5dpYGIRtnk+mYDDz2LI89YAVB1TxyNmxv4jA8a49q1VGmMtNh3TUp2qpM9ktV +/qpd7MG+zlLw3Fs56iXv8H8FwAAAP//AwBQSwMEFAAGAAgAAAAhAOcKnJLdAAAACAEAAA8AAABk cnMvZG93bnJldi54bWxMj0FPg0AQhe8m/ofNmHizi7UCUpbGaGrisaUXbws7BZSdJezSor/e6UmP k2/y3vfyzWx7ccLRd44U3C8iEEi1Mx01Cg7l9i4F4YMmo3tHqOAbPWyK66tcZ8adaYenfWgEh5DP tII2hCGT0tctWu0XbkBidnSj1YHPsZFm1GcOt71cRlEsre6IG1o94EuL9dd+sgqqbnnQP7vyLbJP 24fwPpef08erUrc38/MaRMA5/D3DRZ/VoWCnyk1kvOgVxOmKtwQFyQoE8zR55CkVgzgBWeTy/4Di FwAA//8DAFBLAQItABQABgAIAAAAIQC2gziS/gAAAOEBAAATAAAAAAAAAAAAAAAAAAAAAABbQ29u dGVudF9UeXBlc10ueG1sUEsBAi0AFAAGAAgAAAAhADj9If/WAAAAlAEAAAsAAAAAAAAAAAAAAAAA LwEAAF9yZWxzLy5yZWxzUEsBAi0AFAAGAAgAAAAhAICzjvY0AgAAVQQAAA4AAAAAAAAAAAAAAAAA LgIAAGRycy9lMm9Eb2MueG1sUEsBAi0AFAAGAAgAAAAhAOcKnJLdAAAACAEAAA8AAAAAAAAAAAAA AAAAjgQAAGRycy9kb3ducmV2LnhtbFBLBQYAAAAABAAEAPMAAACYBQAAAAA= ">
                          <v:textbox>
                            <w:txbxContent>
                              <w:p>
                                <w:pPr>
                                  <w:jc w:val="center"/>
                                  <w:rPr>
                                    <w:rFonts w:ascii="TimesLT" w:hAnsi="TimesLT"/>
                                    <w:sz w:val="16"/>
                                    <w:szCs w:val="16"/>
                                    <w:u w:val="single"/>
                                    <w:lang w:val="en-GB"/>
                                  </w:rPr>
                                </w:pPr>
                                <w:r>
                                  <w:rPr>
                                    <w:rFonts w:ascii="TimesLT" w:hAnsi="TimesLT"/>
                                    <w:sz w:val="16"/>
                                    <w:szCs w:val="16"/>
                                    <w:u w:val="single"/>
                                    <w:lang w:val="en-GB"/>
                                  </w:rPr>
                                  <w:t>KOMITETAI</w:t>
                                </w:r>
                              </w:p>
                            </w:txbxContent>
                          </v:textbox>
                        </v:rect>
                      </w:pict>
                    </mc:Fallback>
                  </mc:AlternateContent>
                  <mc:AlternateContent>
                    <mc:Choice Requires="wps">
                      <w:drawing>
                        <wp:anchor distT="0" distB="0" distL="114300" distR="114300" simplePos="0" relativeHeight="251786240" behindDoc="0" locked="0" layoutInCell="1" allowOverlap="1">
                          <wp:simplePos x="0" y="0"/>
                          <wp:positionH relativeFrom="column">
                            <wp:posOffset>132080</wp:posOffset>
                          </wp:positionH>
                          <wp:positionV relativeFrom="paragraph">
                            <wp:posOffset>109220</wp:posOffset>
                          </wp:positionV>
                          <wp:extent cx="1229995" cy="410210"/>
                          <wp:effectExtent l="0" t="0" r="27305" b="27940"/>
                          <wp:wrapNone/>
                          <wp:docPr id="20" name="Stačiakampis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9995" cy="410210"/>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MERO PAVADUOTOJAS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0" o:spid="_x0000_s1043" style="position:absolute;left:0;text-align:left;margin-left:10.4pt;margin-top:8.6pt;width:96.85pt;height:32.3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eExONAIAAFUEAAAOAAAAZHJzL2Uyb0RvYy54bWysVF1u2zAMfh+wOwh6Xx0bydoYcYoiXYcB 3Vag2wEYWY6F6m+UEqe7w261g5WS0yzd9jTMD4IoUp/I7yO9uNwbzXYSg3K24eXZhDNphWuV3TT8 65ebNxechQi2Be2sbPijDPxy+frVYvC1rFzvdCuREYgN9eAb3sfo66IIopcGwpnz0pKzc2ggkomb okUYCN3ooppM3haDw9ajEzIEOr0enXyZ8btOivi564KMTDeccot5xbyu01osF1BvEHyvxCEN+Ics DChLjx6hriEC26L6A8oogS64Lp4JZwrXdUrIXANVU05+q+a+By9zLURO8Eeawv+DFZ92d8hU2/CK 6LFgSKP7CD9/KHgA41VgdE4kDT7UFHvv7zCVGfytEw+BWbfqwW7kFaIbegktpVam+OLFhWQEusrW w0fX0hOwjS7zte/QJEBigu2zLI9HWeQ+MkGHZVXN5/MZZ4J803JSlTmlAurn2x5DfC+dYWnTcCTZ MzrsbkNM2UD9HJKzd1q1N0rrbOBmvdLIdkAtcpO/XAAVeRqmLRsaPp9Vs4z8whdOISb5+xuEUZF6 XSvT8ItjENSJtne2zZ0YQelxTylre+AxUTdKEPfrfVarPH9WZe3aR2IW3djbNIu06R1+52ygvm54 +LYFlJzpD5bUmZfTaRqEbExn50l2PPWsTz1gBUE1PHI2bldxHJ6tR7Xp6aUy02HdFSnaqUx2UnvM 6pA/9W7W4DBnaThO7Rz162+wfAIAAP//AwBQSwMEFAAGAAgAAAAhALeoMTzdAAAACAEAAA8AAABk cnMvZG93bnJldi54bWxMj81OwzAQhO9IvIO1SNyonfAXQpwKgYrEsU0v3DbxkgTidRQ7beDpMady 3JnRzLfFerGDONDke8cakpUCQdw403OrYV9trjIQPiAbHByThm/ysC7PzwrMjTvylg670IpYwj5H DV0IYy6lbzqy6FduJI7eh5sshnhOrTQTHmO5HWSq1J202HNc6HCk546ar91sNdR9usefbfWq7MPm Orwt1ef8/qL15cXy9Agi0BJOYfjDj+hQRqbazWy8GDSkKpKHqN+nIKKfJje3IGoNWZKBLAv5/4Hy FwAA//8DAFBLAQItABQABgAIAAAAIQC2gziS/gAAAOEBAAATAAAAAAAAAAAAAAAAAAAAAABbQ29u dGVudF9UeXBlc10ueG1sUEsBAi0AFAAGAAgAAAAhADj9If/WAAAAlAEAAAsAAAAAAAAAAAAAAAAA LwEAAF9yZWxzLy5yZWxzUEsBAi0AFAAGAAgAAAAhAG94TE40AgAAVQQAAA4AAAAAAAAAAAAAAAAA LgIAAGRycy9lMm9Eb2MueG1sUEsBAi0AFAAGAAgAAAAhALeoMTzdAAAACAEAAA8AAAAAAAAAAAAA AAAAjgQAAGRycy9kb3ducmV2LnhtbFBLBQYAAAAABAAEAPMAAACYBQAAAAA= ">
                          <v:textbox>
                            <w:txbxContent>
                              <w:p>
                                <w:pPr>
                                  <w:jc w:val="center"/>
                                  <w:rPr>
                                    <w:rFonts w:ascii="TimesLT" w:hAnsi="TimesLT"/>
                                    <w:sz w:val="16"/>
                                    <w:szCs w:val="16"/>
                                    <w:u w:val="single"/>
                                    <w:lang w:val="en-GB"/>
                                  </w:rPr>
                                </w:pPr>
                                <w:r>
                                  <w:rPr>
                                    <w:rFonts w:ascii="TimesLT" w:hAnsi="TimesLT"/>
                                    <w:sz w:val="16"/>
                                    <w:szCs w:val="16"/>
                                    <w:u w:val="single"/>
                                    <w:lang w:val="en-GB"/>
                                  </w:rPr>
                                  <w:t>MERO PAVADUOTOJAS</w:t>
                                </w:r>
                              </w:p>
                            </w:txbxContent>
                          </v:textbox>
                        </v:rect>
                      </w:pict>
                    </mc:Fallback>
                  </mc:AlternateContent>
                </w:r>
              </w:p>
              <w:p>
                <w:pPr>
                  <w:ind w:left="180"/>
                  <w:jc w:val="both"/>
                  <w:rPr>
                    <w:b/>
                    <w:szCs w:val="24"/>
                  </w:rPr>
                </w:pPr>
                <w:r>
                  <w:rPr>
                    <w:lang w:eastAsia="lt-LT"/>
                  </w:rPr>
                  <mc:AlternateContent>
                    <mc:Choice Requires="wps">
                      <w:drawing>
                        <wp:anchor distT="4294967295" distB="4294967295" distL="114300" distR="114300" simplePos="0" relativeHeight="251788288" behindDoc="0" locked="0" layoutInCell="1" allowOverlap="1">
                          <wp:simplePos x="0" y="0"/>
                          <wp:positionH relativeFrom="column">
                            <wp:posOffset>2522855</wp:posOffset>
                          </wp:positionH>
                          <wp:positionV relativeFrom="paragraph">
                            <wp:posOffset>138429</wp:posOffset>
                          </wp:positionV>
                          <wp:extent cx="685800" cy="0"/>
                          <wp:effectExtent l="38100" t="76200" r="0" b="95250"/>
                          <wp:wrapNone/>
                          <wp:docPr id="21" name="Tiesioji jungtis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1" o:spid="_x0000_s1026" style="position:absolute;flip:x;z-index:251788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8.65pt,10.9pt" to="252.65pt,10.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TUlQOgIAAGEEAAAOAAAAZHJzL2Uyb0RvYy54bWysVE2P0zAQvSPxHyzfu0lKWtqo6QolLRwW qLTlB7i2k3hxbMt2m1aI/87Y/YDCBSF6cMeemeeZN89ZPB57iQ7cOqFVibOHFCOuqGZCtSX+sl2P Zhg5TxQjUite4hN3+HH5+tViMAUf605Lxi0CEOWKwZS4894USeJox3viHrThCpyNtj3xsLVtwiwZ AL2XyThNp8mgLTNWU+4cnNZnJ15G/Kbh1H9uGsc9kiWG2nxcbVx3YU2WC1K0lphO0EsZ5B+q6IlQ cOkNqiaeoL0Vf0D1glrtdOMfqO4T3TSC8tgDdJOlv3Xz3BHDYy9AjjM3mtz/g6WfDhuLBCvxOMNI kR5mtBUcxvki0MtetV44BC7gaTCugPBKbWzolB7Vs3nS9KtDSlcdUS2P9W5PBjBiRnKXEjbOwG27 4aNmEEP2XkfSjo3tUSOF+RASAzgQg45xSqfblPjRIwqH09lklsIs6dWVkCIghDxjnX/PdY+CUWIp VOCPFOTw5Dz0AKHXkHCs9FpIGTUgFRpKPJ+MJzHBaSlYcIYwZ9tdJS06kKCi+AuEANhdmNV7xSJY xwlbXWxPhAQb+ciLtwKYkhyH23rOMJIcHk6wzohShRuhVyj4Yp2F9G2ezlez1Swf5ePpapSndT16 t67y0XSdvZ3Ub+qqqrPvofgsLzrBGFeh/quos/zvRHN5Xmc53mR9Iyq5R48kQLHX/1h0HHuY9Fkz O81OGxu6CwoAHcfgy5sLD+XXfYz6+WVY/gAAAP//AwBQSwMEFAAGAAgAAAAhAO3+pb/fAAAACQEA AA8AAABkcnMvZG93bnJldi54bWxMj8tOwzAQRfdI/IM1SOyok5ZQGuJUCIHECpW2QmLnxkMSGo+D 7TaBr2cQC1jOnaP7KJaj7cQRfWgdKUgnCQikypmWagXbzcPFNYgQNRndOUIFnxhgWZ6eFDo3bqBn PK5jLdiEQq4VNDH2uZShatDqMHE9Ev/enLc68ulrabwe2Nx2cpokV9Lqljih0T3eNVjt1werYLEZ Mrfy+5fLtP14/bp/j/3jU1Tq/Gy8vQERcYx/MPzU5+pQcqedO5AJolMwW8xnjCqYpjyBgSzJWNj9 CrIs5P8F5TcAAAD//wMAUEsBAi0AFAAGAAgAAAAhALaDOJL+AAAA4QEAABMAAAAAAAAAAAAAAAAA AAAAAFtDb250ZW50X1R5cGVzXS54bWxQSwECLQAUAAYACAAAACEAOP0h/9YAAACUAQAACwAAAAAA AAAAAAAAAAAvAQAAX3JlbHMvLnJlbHNQSwECLQAUAAYACAAAACEAlU1JUDoCAABhBAAADgAAAAAA AAAAAAAAAAAuAgAAZHJzL2Uyb0RvYy54bWxQSwECLQAUAAYACAAAACEA7f6lv98AAAAJAQAADwAA AAAAAAAAAAAAAACUBAAAZHJzL2Rvd25yZXYueG1sUEsFBgAAAAAEAAQA8wAAAKAFAAAAAA== ">
                          <v:stroke endarrow="block"/>
                        </v:line>
                      </w:pict>
                    </mc:Fallback>
                  </mc:AlternateContent>
                  <mc:AlternateContent>
                    <mc:Choice Requires="wps">
                      <w:drawing>
                        <wp:anchor distT="4294967295" distB="4294967295" distL="114300" distR="114300" simplePos="0" relativeHeight="251789312" behindDoc="0" locked="0" layoutInCell="1" allowOverlap="1">
                          <wp:simplePos x="0" y="0"/>
                          <wp:positionH relativeFrom="column">
                            <wp:posOffset>5561330</wp:posOffset>
                          </wp:positionH>
                          <wp:positionV relativeFrom="paragraph">
                            <wp:posOffset>20954</wp:posOffset>
                          </wp:positionV>
                          <wp:extent cx="229235" cy="0"/>
                          <wp:effectExtent l="38100" t="76200" r="0" b="95250"/>
                          <wp:wrapNone/>
                          <wp:docPr id="22" name="Tiesioji jungtis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923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2" o:spid="_x0000_s1026" style="position:absolute;flip:x;z-index:251789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37.9pt,1.65pt" to="455.95pt,1.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0rlqBOwIAAGEEAAAOAAAAZHJzL2Uyb0RvYy54bWysVE2P2jAQvVfqf7B8h5BsoBARVlUC7WHb Ii39AcZ2iLeObdmGgKr+9x2bj91tL1VVDmbsmXl+M/Oc+f2xk+jArRNalTgdjjDiimom1K7E3zer wRQj54liRGrFS3ziDt8v3r+b96bgmW61ZNwiAFGu6E2JW+9NkSSOtrwjbqgNV+BstO2Ih63dJcyS HtA7mWSj0STptWXGasqdg9P67MSLiN80nPpvTeO4R7LEwM3H1cZ1G9ZkMSfFzhLTCnqhQf6BRUeE gktvUDXxBO2t+AOqE9Rqpxs/pLpLdNMIymMNUE06+q2ax5YYHmuB5jhza5P7f7D062FtkWAlzjKM FOlgRhvBYZxPAj3t1c4Lh8AFfeqNKyC8UmsbKqVH9WgeNP3hkNJVS9SOR76bkwGMNGQkb1LCxhm4 bdt/0QxiyN7r2LRjYzvUSGE+h8QADo1Bxzil021K/OgRhcMsm2V3Y4zo1ZWQIiCEPGOd/8R1h4JR YilU6B8pyOHB+cDoJSQcK70SUkYNSIX6Es/G2TgmOC0FC84Q5uxuW0mLDiSoKP5ieeB5HWb1XrEI 1nLClhfbEyHBRj72xVsBnZIch9s6zjCSHB5OsM70pAo3Qq1A+GKdhfRzNpotp8tpPsizyXKQj+p6 8HFV5YPJKv0wru/qqqrTX4F8mhetYIyrwP8q6jT/O9FcntdZjjdZ3xqVvEWPHQWy1/9IOo49TPqs ma1mp7UN1QUFgI5j8OXNhYfyeh+jXr4Mi2cAAAD//wMAUEsDBBQABgAIAAAAIQCnC6yd3gAAAAcB AAAPAAAAZHJzL2Rvd25yZXYueG1sTM7BTsMwEATQOxL/YC0SN+qEUtqEOBVCIHFCpa2QuLnxkoTG 62Bvm8DXY7jAcTSr2VcsR9uJI/rQOlKQThIQSJUzLdUKtpuHiwWIwJqM7hyhgk8MsCxPTwqdGzfQ Mx7XXIs4QiHXChrmPpcyVA1aHSauR4rdm/NWc4y+lsbrIY7bTl4mybW0uqX4odE93jVY7dcHqyDb DDO38vuXq7T9eP26f+f+8YmVOj8bb29AMI78dww//EiHMpp27kAmiE7BYj6LdFYwnYKIfZamGYjd b5ZlIf/7y28AAAD//wMAUEsBAi0AFAAGAAgAAAAhALaDOJL+AAAA4QEAABMAAAAAAAAAAAAAAAAA AAAAAFtDb250ZW50X1R5cGVzXS54bWxQSwECLQAUAAYACAAAACEAOP0h/9YAAACUAQAACwAAAAAA AAAAAAAAAAAvAQAAX3JlbHMvLnJlbHNQSwECLQAUAAYACAAAACEAdK5agTsCAABhBAAADgAAAAAA AAAAAAAAAAAuAgAAZHJzL2Uyb0RvYy54bWxQSwECLQAUAAYACAAAACEApwusnd4AAAAHAQAADwAA AAAAAAAAAAAAAACVBAAAZHJzL2Rvd25yZXYueG1sUEsFBgAAAAAEAAQA8wAAAKAFAAAAAA== ">
                          <v:stroke endarrow="block"/>
                        </v:line>
                      </w:pict>
                    </mc:Fallback>
                  </mc:AlternateContent>
                </w:r>
              </w:p>
              <w:p>
                <w:pPr>
                  <w:ind w:left="180"/>
                  <w:jc w:val="both"/>
                  <w:rPr>
                    <w:b/>
                    <w:szCs w:val="24"/>
                  </w:rPr>
                </w:pPr>
              </w:p>
              <w:p>
                <w:pPr>
                  <w:ind w:left="180"/>
                  <w:jc w:val="both"/>
                  <w:rPr>
                    <w:b/>
                    <w:szCs w:val="24"/>
                  </w:rPr>
                </w:pPr>
                <w:r>
                  <w:rPr>
                    <w:lang w:eastAsia="lt-LT"/>
                  </w:rPr>
                  <mc:AlternateContent>
                    <mc:Choice Requires="wps">
                      <w:drawing>
                        <wp:anchor distT="0" distB="0" distL="114300" distR="114300" simplePos="0" relativeHeight="251790336" behindDoc="0" locked="0" layoutInCell="1" allowOverlap="1">
                          <wp:simplePos x="0" y="0"/>
                          <wp:positionH relativeFrom="column">
                            <wp:posOffset>4343400</wp:posOffset>
                          </wp:positionH>
                          <wp:positionV relativeFrom="paragraph">
                            <wp:posOffset>46990</wp:posOffset>
                          </wp:positionV>
                          <wp:extent cx="1217930" cy="376555"/>
                          <wp:effectExtent l="0" t="0" r="20320" b="23495"/>
                          <wp:wrapNone/>
                          <wp:docPr id="23" name="Stačiakampis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7930" cy="37655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DARBO GRUPĖS IR KOMISIJOS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3" o:spid="_x0000_s1044" style="position:absolute;left:0;text-align:left;margin-left:342pt;margin-top:3.7pt;width:95.9pt;height:29.6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2O5b2NQIAAFUEAAAOAAAAZHJzL2Uyb0RvYy54bWysVNtu2zAMfR+wfxD0vjpOml6MOEWRLsOA biuQ7QMYWY6F6jZKiZP9w/6qHzZKSdN029MwPwiiSB1S55Ce3GyNZhuJQTlb8/JswJm0wjXKrmr+ 7ev83RVnIYJtQDsra76Tgd9M376Z9L6SQ9c53UhkBGJD1fuadzH6qiiC6KSBcOa8tORsHRqIZOKq aBB6Qje6GA4GF0XvsPHohAyBTu/2Tj7N+G0rRfzStkFGpmtOtcW8Yl6XaS2mE6hWCL5T4lAG/EMV BpSlpEeoO4jA1qj+gDJKoAuujWfCmcK1rRIyv4FeUw5+e82iAy/zW4ic4I80hf8HKz5vHpCppubD EWcWDGm0iPD0U8EjGK8Co3MiqfehotiFf8D0zODvnXgMzLpZB3YlbxFd30loqLQyxRevLiQj0FW2 7D+5hlLAOrrM17ZFkwCJCbbNsuyOsshtZIIOy2F5eT0i9QT5RpcX4/E4p4Dq+bbHED9IZ1ja1BxJ 9owOm/sQUzVQPYfk6p1WzVxpnQ1cLWca2QaoReb5O6CH0zBtWV/z6/FwnJFf+cIpxCB/f4MwKlKv a2VqfnUMgirR9t42uRMjKL3fU8naHnhM1O0liNvlNqtVXqUMidela3bELLp9b9Ms0qZz+IOznvq6 5uH7GlBypj9aUue6PD9Pg5CN8/HlkAw89SxPPWAFQdU8crbfzuJ+eNYe1aqjTGWmw7pbUrRVmeyX qg71U+9mDQ5zlobj1M5RL3+D6S8AAAD//wMAUEsDBBQABgAIAAAAIQDnCpyS3QAAAAgBAAAPAAAA ZHJzL2Rvd25yZXYueG1sTI9BT4NAEIXvJv6HzZh4s4u1AlKWxmhq4rGlF28LOwWUnSXs0qK/3ulJ j5Nv8t738s1se3HC0XeOFNwvIhBItTMdNQoO5fYuBeGDJqN7R6jgGz1siuurXGfGnWmHp31oBIeQ z7SCNoQhk9LXLVrtF25AYnZ0o9WBz7GRZtRnDre9XEZRLK3uiBtaPeBLi/XXfrIKqm550D+78i2y T9uH8D6Xn9PHq1K3N/PzGkTAOfw9w0Wf1aFgp8pNZLzoFcTpircEBckKBPM0eeQpFYM4AVnk8v+A 4hcAAP//AwBQSwECLQAUAAYACAAAACEAtoM4kv4AAADhAQAAEwAAAAAAAAAAAAAAAAAAAAAAW0Nv bnRlbnRfVHlwZXNdLnhtbFBLAQItABQABgAIAAAAIQA4/SH/1gAAAJQBAAALAAAAAAAAAAAAAAAA AC8BAABfcmVscy8ucmVsc1BLAQItABQABgAIAAAAIQC2O5b2NQIAAFUEAAAOAAAAAAAAAAAAAAAA AC4CAABkcnMvZTJvRG9jLnhtbFBLAQItABQABgAIAAAAIQDnCpyS3QAAAAgBAAAPAAAAAAAAAAAA AAAAAI8EAABkcnMvZG93bnJldi54bWxQSwUGAAAAAAQABADzAAAAmQUAAAAA ">
                          <v:textbox>
                            <w:txbxContent>
                              <w:p>
                                <w:pPr>
                                  <w:jc w:val="center"/>
                                  <w:rPr>
                                    <w:rFonts w:ascii="TimesLT" w:hAnsi="TimesLT"/>
                                    <w:sz w:val="16"/>
                                    <w:szCs w:val="16"/>
                                    <w:u w:val="single"/>
                                    <w:lang w:val="en-GB"/>
                                  </w:rPr>
                                </w:pPr>
                                <w:r>
                                  <w:rPr>
                                    <w:rFonts w:ascii="TimesLT" w:hAnsi="TimesLT"/>
                                    <w:sz w:val="16"/>
                                    <w:szCs w:val="16"/>
                                    <w:u w:val="single"/>
                                    <w:lang w:val="en-GB"/>
                                  </w:rPr>
                                  <w:t>DARBO GRUPĖS IR KOMISIJOS</w:t>
                                </w:r>
                              </w:p>
                            </w:txbxContent>
                          </v:textbox>
                        </v:rect>
                      </w:pict>
                    </mc:Fallback>
                  </mc:AlternateContent>
                  <mc:AlternateContent>
                    <mc:Choice Requires="wps">
                      <w:drawing>
                        <wp:anchor distT="4294967295" distB="4294967295" distL="114300" distR="114300" simplePos="0" relativeHeight="251791360" behindDoc="0" locked="0" layoutInCell="1" allowOverlap="1">
                          <wp:simplePos x="0" y="0"/>
                          <wp:positionH relativeFrom="column">
                            <wp:posOffset>5561330</wp:posOffset>
                          </wp:positionH>
                          <wp:positionV relativeFrom="paragraph">
                            <wp:posOffset>173989</wp:posOffset>
                          </wp:positionV>
                          <wp:extent cx="372110" cy="0"/>
                          <wp:effectExtent l="38100" t="76200" r="0" b="95250"/>
                          <wp:wrapNone/>
                          <wp:docPr id="24" name="Tiesioji jungtis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21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4" o:spid="_x0000_s1026" style="position:absolute;flip:x;z-index:251791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37.9pt,13.7pt" to="467.2pt,13.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ypNC5OwIAAGEEAAAOAAAAZHJzL2Uyb0RvYy54bWysVE2P2jAQvVfqf7B8hxA2sBARVlUC7WHb Ii39AcZ2Em8d27INAVX97x2bj91tL1VVDmbsmXl+M/OcxcOxk+jArRNaFTgdjjDiimomVFPgb9v1 YIaR80QxIrXiBT5xhx+W798tepPzsW61ZNwiAFEu702BW+9NniSOtrwjbqgNV+Cste2Ih61tEmZJ D+idTMaj0TTptWXGasqdg9Pq7MTLiF/XnPqvde24R7LAwM3H1cZ1F9ZkuSB5Y4lpBb3QIP/AoiNC waU3qIp4gvZW/AHVCWq107UfUt0luq4F5bEGqCYd/VbNU0sMj7VAc5y5tcn9P1j65bCxSLACjzOM FOlgRlvBYZzPAj3vVeOFQ+CCPvXG5RBeqo0NldKjejKPmn53SOmyJarhke/2ZAAjDRnJm5SwcQZu 2/WfNYMYsvc6Nu1Y2w7VUphPITGAQ2PQMU7pdJsSP3pE4fDufpymMEt6dSUkDwghz1jnP3LdoWAU WAoV+kdycnh0PjB6CQnHSq+FlFEDUqG+wPPJeBITnJaCBWcIc7bZldKiAwkqir9YHnheh1m9VyyC tZyw1cX2REiwkY998VZApyTH4baOM4wkh4cTrDM9qcKNUCsQvlhnIf2Yj+ar2WqWDbLxdDXIRlU1 +LAus8F0nd5PqruqLKv0ZyCfZnkrGOMq8L+KOs3+TjSX53WW403Wt0Ylb9FjR4Hs9T+SjmMPkz5r ZqfZaWNDdUEBoOMYfHlz4aG83seoly/D8hcAAAD//wMAUEsDBBQABgAIAAAAIQDquD4l4AAAAAkB AAAPAAAAZHJzL2Rvd25yZXYueG1sTI9BT8MwDIXvSPyHyEjcWLrRsa00nRACiRMa24TELWtMW9Y4 JcnWwq/HiAO72c9P733Ol4NtxRF9aBwpGI8SEEilMw1VCrabx6s5iBA1Gd06QgVfGGBZnJ/lOjOu pxc8rmMlOIRCphXUMXaZlKGs0eowch0S396dtzry6itpvO453LZykiQ30uqGuKHWHd7XWO7XB6tg semnbuX3r+m4+Xz7fviI3dNzVOryYri7BRFxiP9m+MVndCiYaecOZIJoFcxnU0aPCiazFAQbFtcp D7s/QRa5PP2g+AEAAP//AwBQSwECLQAUAAYACAAAACEAtoM4kv4AAADhAQAAEwAAAAAAAAAAAAAA AAAAAAAAW0NvbnRlbnRfVHlwZXNdLnhtbFBLAQItABQABgAIAAAAIQA4/SH/1gAAAJQBAAALAAAA AAAAAAAAAAAAAC8BAABfcmVscy8ucmVsc1BLAQItABQABgAIAAAAIQCypNC5OwIAAGEEAAAOAAAA AAAAAAAAAAAAAC4CAABkcnMvZTJvRG9jLnhtbFBLAQItABQABgAIAAAAIQDquD4l4AAAAAkBAAAP AAAAAAAAAAAAAAAAAJUEAABkcnMvZG93bnJldi54bWxQSwUGAAAAAAQABADzAAAAogUAAAAA ">
                          <v:stroke endarrow="block"/>
                        </v:line>
                      </w:pict>
                    </mc:Fallback>
                  </mc:AlternateContent>
                </w:r>
              </w:p>
              <w:p>
                <w:pPr>
                  <w:ind w:left="180"/>
                  <w:jc w:val="both"/>
                  <w:rPr>
                    <w:b/>
                    <w:szCs w:val="24"/>
                  </w:rPr>
                </w:pPr>
              </w:p>
              <w:p>
                <w:pPr>
                  <w:ind w:left="180"/>
                  <w:jc w:val="both"/>
                  <w:rPr>
                    <w:b/>
                    <w:szCs w:val="24"/>
                  </w:rPr>
                </w:pPr>
              </w:p>
              <w:p>
                <w:pPr>
                  <w:ind w:left="180"/>
                  <w:jc w:val="both"/>
                  <w:rPr>
                    <w:b/>
                    <w:szCs w:val="24"/>
                  </w:rPr>
                </w:pPr>
                <w:r>
                  <w:rPr>
                    <w:lang w:eastAsia="lt-LT"/>
                  </w:rPr>
                  <mc:AlternateContent>
                    <mc:Choice Requires="wps">
                      <w:drawing>
                        <wp:anchor distT="0" distB="0" distL="114300" distR="114300" simplePos="0" relativeHeight="251792384" behindDoc="0" locked="0" layoutInCell="1" allowOverlap="1">
                          <wp:simplePos x="0" y="0"/>
                          <wp:positionH relativeFrom="column">
                            <wp:posOffset>2844165</wp:posOffset>
                          </wp:positionH>
                          <wp:positionV relativeFrom="paragraph">
                            <wp:posOffset>51435</wp:posOffset>
                          </wp:positionV>
                          <wp:extent cx="1485900" cy="502285"/>
                          <wp:effectExtent l="0" t="0" r="19050" b="12065"/>
                          <wp:wrapNone/>
                          <wp:docPr id="25" name="Stačiakampis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0228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 xml:space="preserve">ADMINISTRACIJOS </w:t>
                                      </w:r>
                                    </w:p>
                                    <w:p>
                                      <w:pPr>
                                        <w:rPr>
                                          <w:sz w:val="10"/>
                                          <w:szCs w:val="10"/>
                                        </w:rPr>
                                      </w:pPr>
                                    </w:p>
                                    <w:p>
                                      <w:pPr>
                                        <w:jc w:val="center"/>
                                        <w:rPr>
                                          <w:rFonts w:ascii="TimesLT" w:hAnsi="TimesLT"/>
                                          <w:sz w:val="16"/>
                                          <w:szCs w:val="16"/>
                                          <w:u w:val="single"/>
                                          <w:lang w:val="en-GB"/>
                                        </w:rPr>
                                      </w:pPr>
                                      <w:r>
                                        <w:rPr>
                                          <w:rFonts w:ascii="TimesLT" w:hAnsi="TimesLT"/>
                                          <w:sz w:val="16"/>
                                          <w:szCs w:val="16"/>
                                          <w:u w:val="single"/>
                                          <w:lang w:val="en-GB"/>
                                        </w:rPr>
                                        <w:t>DIREKTORIUS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5" o:spid="_x0000_s1045" style="position:absolute;left:0;text-align:left;margin-left:223.95pt;margin-top:4.05pt;width:117pt;height:39.5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SkjfdMQIAAFUEAAAOAAAAZHJzL2Uyb0RvYy54bWysVNuO0zAQfUfiHyy/0yRVC23UdLXqUoS0 wEqFD5g6TmOtb4zdpss/8Fd8GBOnLeUiHhB5sDye8fHMOTNZ3ByNZgeJQTlb8WKUcyatcLWyu4p/ +rh+MeMsRLA1aGdlxZ9k4DfL588WnS/l2LVO1xIZgdhQdr7ibYy+zLIgWmkgjJyXlpyNQwORTNxl NUJH6EZn4zx/mXUOa49OyBDo9G5w8mXCbxop4oemCTIyXXHKLaYV07rt12y5gHKH4FslTmnAP2Rh QFl69AJ1BxHYHtVvUEYJdME1cSScyVzTKCFTDVRNkf9SzaYFL1MtRE7wF5rC/4MV7w8PyFRd8fGU MwuGNNpE+PZVwSMYrwKjcyKp86Gk2I1/wL7M4O+deAzMulULdidvEV3XSqgptaKPz3660BuBrrJt 987V9ATso0t8HRs0PSAxwY5JlqeLLPIYmaDDYjKbznNST5Bvmo/Hs5RSBuX5tscQ30hnWL+pOJLs CR0O9yH22UB5DknZO63qtdI6GbjbrjSyA1CLrNOXCqAir8O0ZV3F51Oi4+8Qefr+BGFUpF7XylR8 dgmCsqftta1TJ0ZQethTytqeeOypGySIx+0xqVXMz6psXf1EzKIbeptmkTatwy+cddTXFQ+f94CS M/3WkjrzYjLpByEZk+mrMRl47dlee8AKgqp45GzYruIwPHuPatfSS0Wiw7pbUrRRiexe7SGrU/7U u0mD05z1w3Ftp6gff4PldwAAAP//AwBQSwMEFAAGAAgAAAAhACdBBrbdAAAACAEAAA8AAABkcnMv ZG93bnJldi54bWxMj0FPg0AQhe8m/ofNmHizC9i0lLI0RlMTjy29eBvYEajsLmGXFv31jic9fnkv b77Jd7PpxYVG3zmrIF5EIMjWTne2UXAq9w8pCB/QauydJQVf5GFX3N7kmGl3tQe6HEMjeMT6DBW0 IQyZlL5uyaBfuIEsZx9uNBgYx0bqEa88bnqZRNFKGuwsX2hxoOeW6s/jZBRUXXLC70P5GpnN/jG8 zeV5en9R6v5uftqCCDSHvzL86rM6FOxUuclqL3oFy+V6w1UFaQyC81UaM1fM6wRkkcv/DxQ/AAAA //8DAFBLAQItABQABgAIAAAAIQC2gziS/gAAAOEBAAATAAAAAAAAAAAAAAAAAAAAAABbQ29udGVu dF9UeXBlc10ueG1sUEsBAi0AFAAGAAgAAAAhADj9If/WAAAAlAEAAAsAAAAAAAAAAAAAAAAALwEA AF9yZWxzLy5yZWxzUEsBAi0AFAAGAAgAAAAhAJKSN90xAgAAVQQAAA4AAAAAAAAAAAAAAAAALgIA AGRycy9lMm9Eb2MueG1sUEsBAi0AFAAGAAgAAAAhACdBBrbdAAAACAEAAA8AAAAAAAAAAAAAAAAA iwQAAGRycy9kb3ducmV2LnhtbFBLBQYAAAAABAAEAPMAAACVBQAAAAA= ">
                          <v:textbox>
                            <w:txbxContent>
                              <w:p>
                                <w:pPr>
                                  <w:jc w:val="center"/>
                                  <w:rPr>
                                    <w:rFonts w:ascii="TimesLT" w:hAnsi="TimesLT"/>
                                    <w:sz w:val="16"/>
                                    <w:szCs w:val="16"/>
                                    <w:u w:val="single"/>
                                    <w:lang w:val="en-GB"/>
                                  </w:rPr>
                                </w:pPr>
                                <w:r>
                                  <w:rPr>
                                    <w:rFonts w:ascii="TimesLT" w:hAnsi="TimesLT"/>
                                    <w:sz w:val="16"/>
                                    <w:szCs w:val="16"/>
                                    <w:u w:val="single"/>
                                    <w:lang w:val="en-GB"/>
                                  </w:rPr>
                                  <w:t xml:space="preserve">ADMINISTRACIJOS </w:t>
                                </w:r>
                              </w:p>
                              <w:p>
                                <w:pPr>
                                  <w:rPr>
                                    <w:sz w:val="10"/>
                                    <w:szCs w:val="10"/>
                                  </w:rPr>
                                </w:pPr>
                              </w:p>
                              <w:p>
                                <w:pPr>
                                  <w:jc w:val="center"/>
                                  <w:rPr>
                                    <w:rFonts w:ascii="TimesLT" w:hAnsi="TimesLT"/>
                                    <w:sz w:val="16"/>
                                    <w:szCs w:val="16"/>
                                    <w:u w:val="single"/>
                                    <w:lang w:val="en-GB"/>
                                  </w:rPr>
                                </w:pPr>
                                <w:r>
                                  <w:rPr>
                                    <w:rFonts w:ascii="TimesLT" w:hAnsi="TimesLT"/>
                                    <w:sz w:val="16"/>
                                    <w:szCs w:val="16"/>
                                    <w:u w:val="single"/>
                                    <w:lang w:val="en-GB"/>
                                  </w:rPr>
                                  <w:t>DIREKTORIUS</w:t>
                                </w:r>
                              </w:p>
                            </w:txbxContent>
                          </v:textbox>
                        </v:rect>
                      </w:pict>
                    </mc:Fallback>
                  </mc:AlternateContent>
                  <mc:AlternateContent>
                    <mc:Choice Requires="wps">
                      <w:drawing>
                        <wp:anchor distT="4294967295" distB="4294967295" distL="114300" distR="114300" simplePos="0" relativeHeight="251793408" behindDoc="0" locked="0" layoutInCell="1" allowOverlap="1">
                          <wp:simplePos x="0" y="0"/>
                          <wp:positionH relativeFrom="column">
                            <wp:posOffset>4330065</wp:posOffset>
                          </wp:positionH>
                          <wp:positionV relativeFrom="paragraph">
                            <wp:posOffset>52069</wp:posOffset>
                          </wp:positionV>
                          <wp:extent cx="1049655" cy="0"/>
                          <wp:effectExtent l="0" t="0" r="17145" b="19050"/>
                          <wp:wrapNone/>
                          <wp:docPr id="26" name="Tiesioji jungtis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96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6" o:spid="_x0000_s1026" style="position:absolute;flip:x;z-index:251793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40.95pt,4.1pt" to="423.6pt,4.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tQdS4JQIAAEAEAAAOAAAAZHJzL2Uyb0RvYy54bWysU02P2yAQvVfqf0DcE9upkyZWnFUVJ+1h 20ba9AcQwDZbDAhInKjqf9+BfDTbXqqqPuCBmXm8mXnMH46dRAdundCqxNkwxYgrqplQTYm/bdeD KUbOE8WI1IqX+MQdfli8fTPvTcFHutWScYsARLmiNyVuvTdFkjja8o64oTZcgbPWtiMetrZJmCU9 oHcyGaXpJOm1ZcZqyp2D0+rsxIuIX9ec+q917bhHssTAzcfVxnUX1mQxJ0VjiWkFvdAg/8CiI0LB pTeoiniC9lb8AdUJarXTtR9S3SW6rgXlsQaoJkt/q+apJYbHWqA5ztza5P4fLP1y2FgkWIlHE4wU 6WBGW8FhnM8CPe9V44VD4II+9cYVEL5UGxsqpUf1ZB41/e6Q0suWqIZHvtuTAYwsZCSvUsLGGbht 13/WDGLI3uvYtGNtO1RLYT6FxAAOjUHHOKXTbUr86BGFwyzNZ5PxGCN69SWkCBAh0VjnP3LdoWCU WAoVGkgKcnh0PlD6FRKOlV4LKaMIpEJ9iWfj0TgmOC0FC84Q5myzW0qLDiTIKH6xPvDch1m9VyyC tZyw1cX2RMizDZdLFfCgFKBzsc46+TFLZ6vpapoP8tFkNcjTqhp8WC/zwWSdvR9X76rlssp+BmpZ XrSCMa4Cu6tms/zvNHF5PWe13VR7a0PyGj32C8he/5F0nGoY5FkSO81OG3udNsg0Bl+eVHgH93uw 7x/+4gUAAP//AwBQSwMEFAAGAAgAAAAhAHU6eQXbAAAABwEAAA8AAABkcnMvZG93bnJldi54bWxM jsFOwzAQRO9I/IO1SNyo04BKmsapKgRckJBaQs9OvCQR9jqK3TT8PQsXuM1oRjOv2M7OignH0HtS sFwkIJAab3pqFVRvTzcZiBA1GW09oYIvDLAtLy8KnRt/pj1Oh9gKHqGQawVdjEMuZWg6dDos/IDE 2YcfnY5sx1aaUZ953FmZJslKOt0TP3R6wIcOm8/DySnYHV8eb1+n2nlr1m31blyVPKdKXV/Nuw2I iHP8K8MPPqNDyUy1P5EJwipYZcs1VxVkKQjOs7t7FvWvl2Uh//OX3wAAAP//AwBQSwECLQAUAAYA CAAAACEAtoM4kv4AAADhAQAAEwAAAAAAAAAAAAAAAAAAAAAAW0NvbnRlbnRfVHlwZXNdLnhtbFBL AQItABQABgAIAAAAIQA4/SH/1gAAAJQBAAALAAAAAAAAAAAAAAAAAC8BAABfcmVscy8ucmVsc1BL AQItABQABgAIAAAAIQCtQdS4JQIAAEAEAAAOAAAAAAAAAAAAAAAAAC4CAABkcnMvZTJvRG9jLnht bFBLAQItABQABgAIAAAAIQB1OnkF2wAAAAcBAAAPAAAAAAAAAAAAAAAAAH8EAABkcnMvZG93bnJl di54bWxQSwUGAAAAAAQABADzAAAAhwUAAAAA "/>
                      </w:pict>
                    </mc:Fallback>
                  </mc:AlternateContent>
                  <mc:AlternateContent>
                    <mc:Choice Requires="wps">
                      <w:drawing>
                        <wp:anchor distT="0" distB="0" distL="114299" distR="114299" simplePos="0" relativeHeight="251794432" behindDoc="0" locked="0" layoutInCell="1" allowOverlap="1">
                          <wp:simplePos x="0" y="0"/>
                          <wp:positionH relativeFrom="column">
                            <wp:posOffset>5379719</wp:posOffset>
                          </wp:positionH>
                          <wp:positionV relativeFrom="paragraph">
                            <wp:posOffset>51435</wp:posOffset>
                          </wp:positionV>
                          <wp:extent cx="0" cy="292735"/>
                          <wp:effectExtent l="0" t="0" r="19050" b="31115"/>
                          <wp:wrapNone/>
                          <wp:docPr id="27" name="Tiesioji jungtis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27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7" o:spid="_x0000_s1026" style="position:absolute;z-index:251794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23.6pt,4.05pt" to="423.6pt,27.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WBydHAIAADUEAAAOAAAAZHJzL2Uyb0RvYy54bWysU8GO2jAQvVfqP1i+Q0gWWIgIq4pAL9su 0tIPMLaTeOvYlm0IqOq/d2wCWtpLVTUHZzwzfn4z87x4OrUSHbl1QqsCp8MRRlxRzYSqC/xttxnM MHKeKEakVrzAZ+7w0/Ljh0Vncp7pRkvGLQIQ5fLOFLjx3uRJ4mjDW+KG2nAFwUrblnjY2jphlnSA 3sokG42mSactM1ZT7hx4y0sQLyN+VXHqX6rKcY9kgYGbj6uN6z6syXJB8toS0wja0yD/wKIlQsGl N6iSeIIOVvwB1QpqtdOVH1LdJrqqBOWxBqgmHf1WzWtDDI+1QHOcubXJ/T9Y+vW4tUiwAmePGCnS wox2gsM43wR6O6jaC4cgBH3qjMshfaW2NlRKT+rVPGv63SGlVw1RNY98d2cDGGk4kdwdCRtn4LZ9 90UzyCEHr2PTTpVtAyS0A53ibM632fCTR/TipODN5tnjwySCk/x6zljnP3PdomAUWAoVukZycnx2 PvAg+TUluJXeCCnj5KVCXYHnk2wSDzgtBQvBkOZsvV9Ji44kaCd+/b13aVYfFItgDSds3dueCHmx 4XKpAh5UAnR66yKOH/PRfD1bz8aDcTZdD8ajshx82qzGg+kmfZyUD+VqVaY/A7V0nDeCMa4Cu6tQ 0/HfCaF/MheJ3aR6a0Nyjx77BWSv/0g6jjJM76KDvWbnrb2OGLQZk/t3FMT/fg/2+9e+/AUAAP// AwBQSwMEFAAGAAgAAAAhAJNXpRjcAAAACAEAAA8AAABkcnMvZG93bnJldi54bWxMj8FOwzAQRO9I /IO1SFyq1mkopQpxKgTkxqUFxHUbL0lEvE5jtw18PYs4wG1HM5p9k69H16kjDaH1bGA+S0ARV962 XBt4eS6nK1AhIlvsPJOBTwqwLs7PcsysP/GGjttYKynhkKGBJsY+0zpUDTkMM98Ti/fuB4dR5FBr O+BJyl2n0yRZaocty4cGe7pvqPrYHpyBUL7SvvyaVJPk7ar2lO4fnh7RmMuL8e4WVKQx/oXhB1/Q oRCmnT+wDaozsFrcpBKVYw5K/F+9M3C9SEEXuf4/oPgGAAD//wMAUEsBAi0AFAAGAAgAAAAhALaD OJL+AAAA4QEAABMAAAAAAAAAAAAAAAAAAAAAAFtDb250ZW50X1R5cGVzXS54bWxQSwECLQAUAAYA CAAAACEAOP0h/9YAAACUAQAACwAAAAAAAAAAAAAAAAAvAQAAX3JlbHMvLnJlbHNQSwECLQAUAAYA CAAAACEAq1gcnRwCAAA1BAAADgAAAAAAAAAAAAAAAAAuAgAAZHJzL2Uyb0RvYy54bWxQSwECLQAU AAYACAAAACEAk1elGNwAAAAIAQAADwAAAAAAAAAAAAAAAAB2BAAAZHJzL2Rvd25yZXYueG1sUEsF BgAAAAAEAAQA8wAAAH8FAAAAAA== "/>
                      </w:pict>
                    </mc:Fallback>
                  </mc:AlternateContent>
                </w:r>
              </w:p>
              <w:p>
                <w:pPr>
                  <w:ind w:left="180"/>
                  <w:jc w:val="both"/>
                  <w:rPr>
                    <w:b/>
                    <w:szCs w:val="24"/>
                  </w:rPr>
                </w:pPr>
                <w:r>
                  <w:rPr>
                    <w:lang w:eastAsia="lt-LT"/>
                  </w:rPr>
                  <mc:AlternateContent>
                    <mc:Choice Requires="wps">
                      <w:drawing>
                        <wp:anchor distT="0" distB="0" distL="114299" distR="114299" simplePos="0" relativeHeight="251795456" behindDoc="0" locked="0" layoutInCell="1" allowOverlap="1">
                          <wp:simplePos x="0" y="0"/>
                          <wp:positionH relativeFrom="column">
                            <wp:posOffset>1363979</wp:posOffset>
                          </wp:positionH>
                          <wp:positionV relativeFrom="paragraph">
                            <wp:posOffset>92710</wp:posOffset>
                          </wp:positionV>
                          <wp:extent cx="0" cy="257175"/>
                          <wp:effectExtent l="76200" t="0" r="57150" b="47625"/>
                          <wp:wrapNone/>
                          <wp:docPr id="28" name="Tiesioji jungtis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571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28" o:spid="_x0000_s1026" style="position:absolute;flip:x;z-index:2517954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07.4pt,7.3pt" to="107.4pt,27.5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p/kgOAIAAGEEAAAOAAAAZHJzL2Uyb0RvYy54bWysVMGO2jAQvVfqP1i+Q0gadiEirKoE2sO2 RVr6AcZ2Em8d27INAVX9944Ny5b2UlXlYMb2zJs3b8ZZPBx7iQ7cOqFVidPxBCOuqGZCtSX+ul2P Zhg5TxQjUite4hN3+GH59s1iMAXPdKcl4xYBiHLFYErceW+KJHG04z1xY224gstG25542No2YZYM gN7LJJtM7pJBW2asptw5OK3Pl3gZ8ZuGU/+laRz3SJYYuPm42rjuwposF6RoLTGdoBca5B9Y9EQo SHqFqoknaG/FH1C9oFY73fgx1X2im0ZQHmuAatLJb9U8dcTwWAuI48xVJvf/YOnnw8YiwUqcQacU 6aFHW8Ghnc8CPe9V64VDcAU6DcYV4F6pjQ2V0qN6Mo+afnNI6aojquWR7/ZkACMNEclNSNg4A9l2 wyfNwIfsvY6iHRvbo0YK8zEEBnAQBh1jl07XLvGjR/R8SOE0m96n99OYhhQBIcQZ6/wHrnsUjBJL oYJ+pCCHR+cDo1eXcKz0WkgZZ0AqNJR4Ps2mMcBpKVi4DG7OtrtKWnQgYYri75L3xs3qvWIRrOOE rS62J0KCjXzUxVsBSkmOQ7aeM4wkh4cTrDM9qUJGqBUIX6zzIH2fT+ar2WqWj/LsbjXKJ3U9er+u 8tHdGnSo39VVVac/Avk0LzrBGFeB/8tQp/nfDc3leZ3H8TrWV6GSW/SoKJB9+Y+kY9tDp88zs9Ps tLGhujABMMfR+fLmwkP5dR+9Xr8My58AAAD//wMAUEsDBBQABgAIAAAAIQBxVxUQ3gAAAAkBAAAP AAAAZHJzL2Rvd25yZXYueG1sTI/BTsMwEETvSPyDtUjcqJMqqWiIUyEEEicELULqzY1NEhqvg71t Al/PVhzgODujmbflanK9ONoQO48K0lkCwmLtTYeNgtfNw9U1iEgaje49WgVfNsKqOj8rdWH8iC/2 uKZGcAnGQitoiYZCyli31uk484NF9t59cJpYhkaaoEcud72cJ8lCOt0hL7R6sHetrffrg1Ow3Iy5 fw77tyztPrff9x80PD6RUpcX0+0NCLIT/YXhhM/oUDHTzh/QRNErmKcZoxMb2QIEB34POwV5noKs Svn/g+oHAAD//wMAUEsBAi0AFAAGAAgAAAAhALaDOJL+AAAA4QEAABMAAAAAAAAAAAAAAAAAAAAA AFtDb250ZW50X1R5cGVzXS54bWxQSwECLQAUAAYACAAAACEAOP0h/9YAAACUAQAACwAAAAAAAAAA AAAAAAAvAQAAX3JlbHMvLnJlbHNQSwECLQAUAAYACAAAACEAQqf5IDgCAABhBAAADgAAAAAAAAAA AAAAAAAuAgAAZHJzL2Uyb0RvYy54bWxQSwECLQAUAAYACAAAACEAcVcVEN4AAAAJAQAADwAAAAAA AAAAAAAAAACSBAAAZHJzL2Rvd25yZXYueG1sUEsFBgAAAAAEAAQA8wAAAJ0FAAAAAA== ">
                          <v:stroke endarrow="block"/>
                        </v:line>
                      </w:pict>
                    </mc:Fallback>
                  </mc:AlternateContent>
                  <mc:AlternateContent>
                    <mc:Choice Requires="wps">
                      <w:drawing>
                        <wp:anchor distT="0" distB="0" distL="114300" distR="114300" simplePos="0" relativeHeight="251796480" behindDoc="0" locked="0" layoutInCell="1" allowOverlap="1">
                          <wp:simplePos x="0" y="0"/>
                          <wp:positionH relativeFrom="column">
                            <wp:posOffset>4565650</wp:posOffset>
                          </wp:positionH>
                          <wp:positionV relativeFrom="paragraph">
                            <wp:posOffset>168910</wp:posOffset>
                          </wp:positionV>
                          <wp:extent cx="1485900" cy="581025"/>
                          <wp:effectExtent l="0" t="0" r="19050" b="28575"/>
                          <wp:wrapNone/>
                          <wp:docPr id="29" name="Stačiakampis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8102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ADMINISTRACIJOS DIREKTORIAUS PAVADUOTOJAS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9" o:spid="_x0000_s1046" style="position:absolute;left:0;text-align:left;margin-left:359.5pt;margin-top:13.3pt;width:117pt;height:45.7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TIrnLwIAAFUEAAAOAAAAZHJzL2Uyb0RvYy54bWysVNuO0zAQfUfiHyy/0yRVC23UdLXqUoS0 wEqFD5g6TmOtb4zdpss/8Fd82E6cbrdcxAMiD5bHHp+ZOWcmi6uj0ewgMShnK16Mcs6kFa5Wdlfx L5/Xr2achQi2Bu2srPiDDPxq+fLFovOlHLvW6VoiIxAbys5XvI3Rl1kWRCsNhJHz0tJl49BAJBN3 WY3QEbrR2TjPX2edw9qjEzIEOr0ZLvky4TeNFPFT0wQZma445RbTimnd9mu2XEC5Q/CtEqc04B+y MKAsBT1D3UAEtkf1G5RRAl1wTRwJZzLXNErIVANVU+S/VLNpwctUC5ET/Jmm8P9gxcfDHTJVV3w8 58yCIY02EX58V3APxqvA6JxI6nwoyXfj77AvM/hbJ+4Ds27Vgt3Ja0TXtRJqSq3o/bOfHvRGoKds 231wNYWAfXSJr2ODpgckJtgxyfJwlkUeIxN0WExm03lO6gm6m86KfDxNIaB8eu0xxHfSGdZvKo4k e0KHw22IfTZQPrmk7J1W9VppnQzcbVca2QGoRdbpO6GHSzdtWVfx+ZRi/x0iT9+fIIyK1OtamYrP zk5Q9rS9tXXqxAhKD3tKWdsTjz11gwTxuD0OaqXW7XnduvqBmEU39DbNIm1ah98466ivKx6+7gEl Z/q9JXXmxWTSD0IyJtM3YzLw8mZ7eQNWEFTFI2fDdhWH4dl7VLuWIhWJDuuuSdFGJbKfszrlT72b NDjNWT8cl3byev4bLB8BAAD//wMAUEsDBBQABgAIAAAAIQC7/AFD3wAAAAoBAAAPAAAAZHJzL2Rv d25yZXYueG1sTI/BToNAEIbvJr7DZky82QUasSBLYzQ18djSi7eBXQFlZwm7tOjTO57qcWa+/PP9 xXaxgziZyfeOFMSrCIShxumeWgXHane3AeEDksbBkVHwbTxsy+urAnPtzrQ3p0NoBYeQz1FBF8KY S+mbzlj0Kzca4tuHmywGHqdW6gnPHG4HmURRKi32xB86HM1zZ5qvw2wV1H1yxJ999RrZbLcOb0v1 Ob+/KHV7szw9gghmCRcY/vRZHUp2qt1M2otBwUOccZegIElTEAxk92te1EzGmxhkWcj/FcpfAAAA //8DAFBLAQItABQABgAIAAAAIQC2gziS/gAAAOEBAAATAAAAAAAAAAAAAAAAAAAAAABbQ29udGVu dF9UeXBlc10ueG1sUEsBAi0AFAAGAAgAAAAhADj9If/WAAAAlAEAAAsAAAAAAAAAAAAAAAAALwEA AF9yZWxzLy5yZWxzUEsBAi0AFAAGAAgAAAAhAMtMiucvAgAAVQQAAA4AAAAAAAAAAAAAAAAALgIA AGRycy9lMm9Eb2MueG1sUEsBAi0AFAAGAAgAAAAhALv8AUPfAAAACgEAAA8AAAAAAAAAAAAAAAAA iQQAAGRycy9kb3ducmV2LnhtbFBLBQYAAAAABAAEAPMAAACVBQAAAAA= ">
                          <v:textbox>
                            <w:txbxContent>
                              <w:p>
                                <w:pPr>
                                  <w:jc w:val="center"/>
                                  <w:rPr>
                                    <w:rFonts w:ascii="TimesLT" w:hAnsi="TimesLT"/>
                                    <w:sz w:val="16"/>
                                    <w:szCs w:val="16"/>
                                    <w:u w:val="single"/>
                                    <w:lang w:val="en-GB"/>
                                  </w:rPr>
                                </w:pPr>
                                <w:r>
                                  <w:rPr>
                                    <w:rFonts w:ascii="TimesLT" w:hAnsi="TimesLT"/>
                                    <w:sz w:val="16"/>
                                    <w:szCs w:val="16"/>
                                    <w:u w:val="single"/>
                                    <w:lang w:val="en-GB"/>
                                  </w:rPr>
                                  <w:t>ADMINISTRACIJOS DIREKTORIAUS PAVADUOTOJAS</w:t>
                                </w:r>
                              </w:p>
                            </w:txbxContent>
                          </v:textbox>
                        </v:rect>
                      </w:pict>
                    </mc:Fallback>
                  </mc:AlternateContent>
                  <mc:AlternateContent>
                    <mc:Choice Requires="wps">
                      <w:drawing>
                        <wp:anchor distT="4294967295" distB="4294967295" distL="114300" distR="114300" simplePos="0" relativeHeight="251797504" behindDoc="0" locked="0" layoutInCell="1" allowOverlap="1">
                          <wp:simplePos x="0" y="0"/>
                          <wp:positionH relativeFrom="column">
                            <wp:posOffset>1362075</wp:posOffset>
                          </wp:positionH>
                          <wp:positionV relativeFrom="paragraph">
                            <wp:posOffset>90169</wp:posOffset>
                          </wp:positionV>
                          <wp:extent cx="1482090" cy="0"/>
                          <wp:effectExtent l="0" t="0" r="22860" b="19050"/>
                          <wp:wrapNone/>
                          <wp:docPr id="30" name="Tiesioji jungtis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20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30" o:spid="_x0000_s1026" style="position:absolute;z-index:251797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7.25pt,7.1pt" to="223.95pt,7.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K2nfUHQIAADYEAAAOAAAAZHJzL2Uyb0RvYy54bWysU8GO2jAQvVfqP1i+QxI2bCEirCoCvWxb pKUfYGwn8daxLdsQUNV/79gQxLaXqmoOztgz8/zmzXjxdOokOnLrhFYlzsYpRlxRzYRqSvxttxnN MHKeKEakVrzEZ+7w0/L9u0VvCj7RrZaMWwQgyhW9KXHrvSmSxNGWd8SNteEKnLW2HfGwtU3CLOkB vZPJJE0fk15bZqym3Dk4rS5OvIz4dc2p/1rXjnskSwzcfFxtXPdhTZYLUjSWmFbQKw3yDyw6IhRc eoOqiCfoYMUfUJ2gVjtd+zHVXaLrWlAea4BqsvS3al5aYnisBcRx5iaT+3+w9Mtxa5FgJX4AeRTp oEc7waGdrwK9HlTjhUPgAp164woIX6mtDZXSk3oxz5p+d0jpVUtUwyPf3dkARhYykjcpYeMM3Lbv P2sGMeTgdRTtVNsuQIIc6BR7c771hp88onCY5bNJOgeOdPAlpBgSjXX+E9cdCkaJpVBBNlKQ47Pz gQgphpBwrPRGSBlbLxXqSzyfTqYxwWkpWHCGMGeb/UpadCRheOIXqwLPfZjVB8UiWMsJW19tT4S8 2HC5VAEPSgE6V+syHT/m6Xw9W8/yUT55XI/ytKpGHzerfPS4yT5Mq4dqtaqyn4FalhetYIyrwG6Y 1Cz/u0m4vpnLjN1m9SZD8hY96gVkh38kHXsZ2ncZhL1m560degzDGYOvDylM//0e7PvnvvwFAAD/ /wMAUEsDBBQABgAIAAAAIQB7fNtX3QAAAAkBAAAPAAAAZHJzL2Rvd25yZXYueG1sTI9NT8MwDIbv SPyHyEhcJpaulK/SdEJAb7swQFy9xrQVjdM12Vb49RhxgKP9Pnr9uFhOrld7GkPn2cBinoAirr3t uDHw8lydXYMKEdli75kMfFKAZXl8VGBu/YGfaL+OjZISDjkaaGMccq1D3ZLDMPcDsWTvfnQYZRwb bUc8SLnrdZokl9phx3KhxYHuW6o/1jtnIFSvtK2+ZvUseTtvPKXbh9UjGnN6Mt3dgoo0xT8YfvRF HUpx2vgd26B6A+kiuxBUgiwFJUCWXd2A2vwudFno/x+U3wAAAP//AwBQSwECLQAUAAYACAAAACEA toM4kv4AAADhAQAAEwAAAAAAAAAAAAAAAAAAAAAAW0NvbnRlbnRfVHlwZXNdLnhtbFBLAQItABQA BgAIAAAAIQA4/SH/1gAAAJQBAAALAAAAAAAAAAAAAAAAAC8BAABfcmVscy8ucmVsc1BLAQItABQA BgAIAAAAIQDK2nfUHQIAADYEAAAOAAAAAAAAAAAAAAAAAC4CAABkcnMvZTJvRG9jLnhtbFBLAQIt ABQABgAIAAAAIQB7fNtX3QAAAAkBAAAPAAAAAAAAAAAAAAAAAHcEAABkcnMvZG93bnJldi54bWxQ SwUGAAAAAAQABADzAAAAgQUAAAAA "/>
                      </w:pict>
                    </mc:Fallback>
                  </mc:AlternateContent>
                </w:r>
              </w:p>
              <w:p>
                <w:pPr>
                  <w:ind w:left="180"/>
                  <w:jc w:val="both"/>
                  <w:rPr>
                    <w:b/>
                    <w:szCs w:val="24"/>
                  </w:rPr>
                </w:pPr>
                <w:r>
                  <w:rPr>
                    <w:lang w:eastAsia="lt-LT"/>
                  </w:rPr>
                  <mc:AlternateContent>
                    <mc:Choice Requires="wps">
                      <w:drawing>
                        <wp:anchor distT="0" distB="0" distL="114300" distR="114300" simplePos="0" relativeHeight="251798528" behindDoc="0" locked="0" layoutInCell="1" allowOverlap="1">
                          <wp:simplePos x="0" y="0"/>
                          <wp:positionH relativeFrom="column">
                            <wp:posOffset>607695</wp:posOffset>
                          </wp:positionH>
                          <wp:positionV relativeFrom="paragraph">
                            <wp:posOffset>184785</wp:posOffset>
                          </wp:positionV>
                          <wp:extent cx="1550035" cy="307975"/>
                          <wp:effectExtent l="0" t="0" r="12065" b="15875"/>
                          <wp:wrapNone/>
                          <wp:docPr id="31" name="Stačiakampis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0035" cy="30797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SENIŪNIJOS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1" o:spid="_x0000_s1047" style="position:absolute;left:0;text-align:left;margin-left:47.85pt;margin-top:14.55pt;width:122.05pt;height:24.2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M54iMgIAAFUEAAAOAAAAZHJzL2Uyb0RvYy54bWysVF1u2zAMfh+wOwh6X+yk8dIadYoiXYYB 3Vag2wEYWY6F6m+UEie7w27Vg42Wkyzd9jTMD4IoUp/I7yN9fbMzmm0lBuVsxcejnDNphauVXVf8 65flm0vOQgRbg3ZWVnwvA7+Zv3513flSTlzrdC2REYgNZecr3sboyywLopUGwsh5acnZODQQycR1 ViN0hG50Nsnzt1nnsPbohAyBTu8GJ58n/KaRIn5umiAj0xWn3GJaMa2rfs3m11CuEXyrxCEN+Ics DChLj56g7iAC26D6A8oogS64Jo6EM5lrGiVkqoGqGee/VfPYgpepFiIn+BNN4f/Bik/bB2SqrvjF mDMLhjR6jPD8Q8ETGK8Co3MiqfOhpNhH/4B9mcHfO/EUmHWLFuxa3iK6rpVQU2opPntxoTcCXWWr 7qOr6QnYRJf42jVoekBigu2SLPuTLHIXmaDDcVHk+UXBmSDfRT67mhV9ShmUx9seQ3wvnWH9puJI sid02N6HOIQeQ1L2Tqt6qbROBq5XC41sC9Qiy/Qd0MN5mLasq/hVMSkS8gtfOIfI0/c3CKMi9bpW puKXpyAoe9re2Tp1YgSlhz1Vpy0VeaRukCDuVruk1uSkysrVe2IW3dDbNIu0aR1+56yjvq54+LYB lJzpD5bUuRpPp/0gJGNazCZk4Llnde4BKwiq4pGzYbuIw/BsPKp1Sy+NEx3W3ZKijUpk9ykPWR3y p95Nch3mrB+OcztF/fobzH8CAAD//wMAUEsDBBQABgAIAAAAIQDdgbrI3gAAAAgBAAAPAAAAZHJz L2Rvd25yZXYueG1sTI9BT4NAFITvJv6HzTPxZpdCLIIsjdHUxGNLL94e7BNQdpewS4v+ep+nepzM ZOabYruYQZxo8r2zCtarCATZxunetgqO1e7uAYQPaDUOzpKCb/KwLa+vCsy1O9s9nQ6hFVxifY4K uhDGXErfdGTQr9xIlr0PNxkMLKdW6gnPXG4GGUfRRhrsLS90ONJzR83XYTYK6j4+4s++eo1MtkvC 21J9zu8vSt3eLE+PIAIt4RKGP3xGh5KZajdb7cWgILtPOakgztYg2E+SjK/UCtJ0A7Is5P8D5S8A AAD//wMAUEsBAi0AFAAGAAgAAAAhALaDOJL+AAAA4QEAABMAAAAAAAAAAAAAAAAAAAAAAFtDb250 ZW50X1R5cGVzXS54bWxQSwECLQAUAAYACAAAACEAOP0h/9YAAACUAQAACwAAAAAAAAAAAAAAAAAv AQAAX3JlbHMvLnJlbHNQSwECLQAUAAYACAAAACEAPzOeIjICAABVBAAADgAAAAAAAAAAAAAAAAAu AgAAZHJzL2Uyb0RvYy54bWxQSwECLQAUAAYACAAAACEA3YG6yN4AAAAIAQAADwAAAAAAAAAAAAAA AACMBAAAZHJzL2Rvd25yZXYueG1sUEsFBgAAAAAEAAQA8wAAAJcFAAAAAA== ">
                          <v:textbox>
                            <w:txbxContent>
                              <w:p>
                                <w:pPr>
                                  <w:jc w:val="center"/>
                                  <w:rPr>
                                    <w:rFonts w:ascii="TimesLT" w:hAnsi="TimesLT"/>
                                    <w:sz w:val="16"/>
                                    <w:szCs w:val="16"/>
                                    <w:u w:val="single"/>
                                    <w:lang w:val="en-GB"/>
                                  </w:rPr>
                                </w:pPr>
                                <w:r>
                                  <w:rPr>
                                    <w:rFonts w:ascii="TimesLT" w:hAnsi="TimesLT"/>
                                    <w:sz w:val="16"/>
                                    <w:szCs w:val="16"/>
                                    <w:u w:val="single"/>
                                    <w:lang w:val="en-GB"/>
                                  </w:rPr>
                                  <w:t>SENIŪNIJOS</w:t>
                                </w:r>
                              </w:p>
                            </w:txbxContent>
                          </v:textbox>
                        </v:rect>
                      </w:pict>
                    </mc:Fallback>
                  </mc:AlternateContent>
                </w:r>
              </w:p>
              <w:p>
                <w:pPr>
                  <w:ind w:left="180"/>
                  <w:jc w:val="both"/>
                  <w:rPr>
                    <w:b/>
                    <w:szCs w:val="24"/>
                  </w:rPr>
                </w:pPr>
                <w:r>
                  <w:rPr>
                    <w:lang w:eastAsia="lt-LT"/>
                  </w:rPr>
                  <mc:AlternateContent>
                    <mc:Choice Requires="wps">
                      <w:drawing>
                        <wp:anchor distT="0" distB="0" distL="114300" distR="114300" simplePos="0" relativeHeight="251799552" behindDoc="0" locked="0" layoutInCell="1" allowOverlap="1">
                          <wp:simplePos x="0" y="0"/>
                          <wp:positionH relativeFrom="column">
                            <wp:posOffset>3216275</wp:posOffset>
                          </wp:positionH>
                          <wp:positionV relativeFrom="paragraph">
                            <wp:posOffset>73660</wp:posOffset>
                          </wp:positionV>
                          <wp:extent cx="0" cy="453390"/>
                          <wp:effectExtent l="57150" t="6985" r="57150" b="15875"/>
                          <wp:wrapNone/>
                          <wp:docPr id="96" name="Tiesioji jungtis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33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96" o:spid="_x0000_s1026" style="position:absolute;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3.25pt,5.8pt" to="253.25pt,4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ojEnMwIAAFcEAAAOAAAAZHJzL2Uyb0RvYy54bWysVMGO2jAQvVfqP1i+QwgEChFhVRHoZdtF WvoBxnYSbx3bsg0BVf33jh2gu+2lqsrBjD3j5zdvZrJ8OLcSnbh1QqsCp8MRRlxRzYSqC/x1vx3M MXKeKEakVrzAF+7ww+r9u2Vncj7WjZaMWwQgyuWdKXDjvcmTxNGGt8QNteEKnJW2LfGwtXXCLOkA vZXJeDSaJZ22zFhNuXNwWvZOvIr4VcWpf6oqxz2SBQZuPq42roewJqslyWtLTCPolQb5BxYtEQoe vUOVxBN0tOIPqFZQq52u/JDqNtFVJSiPOUA26ei3bJ4bYnjMBcRx5i6T+3+w9MtpZ5FgBV7MMFKk hRrtBYdyvgj0clS1Fw6BC3TqjMshfK12NmRKz+rZPGr6zSGl1w1RNY989xcDGGm4kby5EjbOwGuH 7rNmEEOOXkfRzpVtAyTIgc6xNpd7bfjZI9ofUjjNppPJIpYtIfntnrHOf+K6RcEosBQqqEZycnp0 PvAg+S0kHCu9FVLGykuFOkh9Op7GC05LwYIzhDlbH9bSohMJvRN/MSnwvA6z+qhYBGs4YZur7YmQ YCMf1fBWgD6S4/BayxlGksO4BKunJ1V4EXIFwlerb5/vi9FiM9/Ms0E2nm0G2agsBx+362ww26Yf puWkXK/L9Ecgn2Z5IxjjKvC/tXKa/V2rXIeqb8J7M9+FSt6iR0WB7O0/ko7FDvXtO+Wg2WVnQ3ah 7tC9Mfg6aWE8Xu9j1K/vweonAAAA//8DAFBLAwQUAAYACAAAACEATGz8ON4AAAAJAQAADwAAAGRy cy9kb3ducmV2LnhtbEyPwUrDQBCG74LvsIzgze5GaQhpNkWEemlV2orY2zY7JsHsbMhu2vj2jnjQ 48z/8c83xXJynTjhEFpPGpKZAoFUedtSreF1v7rJQIRoyJrOE2r4wgDL8vKiMLn1Z9riaRdrwSUU cqOhibHPpQxVg86Eme+ROPvwgzORx6GWdjBnLnedvFUqlc60xBca0+NDg9XnbnQatpvVOntbj1M1 HB6T5/3L5uk9ZFpfX033CxARp/gHw48+q0PJTkc/kg2i0zBX6ZxRDpIUBAO/i6OG7E6BLAv5/4Py GwAA//8DAFBLAQItABQABgAIAAAAIQC2gziS/gAAAOEBAAATAAAAAAAAAAAAAAAAAAAAAABbQ29u dGVudF9UeXBlc10ueG1sUEsBAi0AFAAGAAgAAAAhADj9If/WAAAAlAEAAAsAAAAAAAAAAAAAAAAA LwEAAF9yZWxzLy5yZWxzUEsBAi0AFAAGAAgAAAAhAMeiMSczAgAAVwQAAA4AAAAAAAAAAAAAAAAA LgIAAGRycy9lMm9Eb2MueG1sUEsBAi0AFAAGAAgAAAAhAExs/DjeAAAACQEAAA8AAAAAAAAAAAAA AAAAjQQAAGRycy9kb3ducmV2LnhtbFBLBQYAAAAABAAEAPMAAACYBQAAAAA= ">
                          <v:stroke endarrow="block"/>
                        </v:line>
                      </w:pict>
                    </mc:Fallback>
                  </mc:AlternateContent>
                  <mc:AlternateContent>
                    <mc:Choice Requires="wps">
                      <w:drawing>
                        <wp:anchor distT="4294967295" distB="4294967295" distL="114300" distR="114300" simplePos="0" relativeHeight="251800576" behindDoc="0" locked="0" layoutInCell="1" allowOverlap="1">
                          <wp:simplePos x="0" y="0"/>
                          <wp:positionH relativeFrom="column">
                            <wp:posOffset>2172335</wp:posOffset>
                          </wp:positionH>
                          <wp:positionV relativeFrom="paragraph">
                            <wp:posOffset>81279</wp:posOffset>
                          </wp:positionV>
                          <wp:extent cx="2385060" cy="0"/>
                          <wp:effectExtent l="0" t="0" r="15240" b="19050"/>
                          <wp:wrapNone/>
                          <wp:docPr id="97" name="Tiesioji jungtis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850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97" o:spid="_x0000_s1026" style="position:absolute;flip:x;z-index:251800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1.05pt,6.4pt" to="358.85pt,6.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5rDSJgIAAEAEAAAOAAAAZHJzL2Uyb0RvYy54bWysU02P2yAQvVfqf0Dcs7azSTax4qwqO2kP 2zbSpj+AALbZYkBA4kRV//sO5KPZ9lJV9QEPzMzjzZth/njoJNpz64RWBc7uUoy4opoJ1RT422Y1 mGLkPFGMSK14gY/c4cfF+3fz3uR8qFstGbcIQJTLe1Pg1nuTJ4mjLe+Iu9OGK3DW2nbEw9Y2CbOk B/ROJsM0nSS9tsxYTblzcFqdnHgR8euaU/+1rh33SBYYuPm42rhuw5os5iRvLDGtoGca5B9YdEQo uPQKVRFP0M6KP6A6Qa12uvZ3VHeJrmtBeawBqsnS36p5bonhsRYQx5mrTO7/wdIv+7VFghV49oCR Ih30aCM4tPNFoJedarxwCFygU29cDuGlWttQKT2oZ/Ok6XeHlC5bohoe+W6OBjCykJG8SQkbZ+C2 bf9ZM4ghO6+jaIfadqiWwnwKiQEchEGH2KXjtUv84BGFw+H9dJxOoJn04ktIHiBCorHOf+S6Q8Eo sBQqCEhysn9yPlD6FRKOlV4JKeMQSIV6UGE8HMcEp6VgwRnCnG22pbRoT8IYxS/WB57bMKt3ikWw lhO2PNueCHmy4XKpAh6UAnTO1mlOfszS2XK6nI4Go+FkORilVTX4sCpHg8kqexhX91VZVtnPQC0b 5a1gjKvA7jKz2ejvZuL8ek7Tdp3aqwzJW/SoF5C9/CPp2NXQyNNIbDU7ru2l2zCmMfj8pMI7uN2D ffvwF68AAAD//wMAUEsDBBQABgAIAAAAIQAc3xus3AAAAAkBAAAPAAAAZHJzL2Rvd25yZXYueG1s TI/BTsMwEETvSPyDtUjcqJMUEQhxqgoBFyQkStqzEy9JhL2OYjcNf88iDnDcmafZmXKzOCtmnMLg SUG6SkAgtd4M1Cmo35+ubkGEqMlo6wkVfGGATXV+VurC+BO94byLneAQCoVW0Mc4FlKGtkenw8qP SOx9+MnpyOfUSTPpE4c7K7MkuZFOD8Qfej3iQ4/t5+7oFGwPL4/r17lx3pq7rt4bVyfPmVKXF8v2 HkTEJf7B8FOfq0PFnRp/JBOEVbC+zlJG2ch4AgN5mucgml9BVqX8v6D6BgAA//8DAFBLAQItABQA BgAIAAAAIQC2gziS/gAAAOEBAAATAAAAAAAAAAAAAAAAAAAAAABbQ29udGVudF9UeXBlc10ueG1s UEsBAi0AFAAGAAgAAAAhADj9If/WAAAAlAEAAAsAAAAAAAAAAAAAAAAALwEAAF9yZWxzLy5yZWxz UEsBAi0AFAAGAAgAAAAhAEXmsNImAgAAQAQAAA4AAAAAAAAAAAAAAAAALgIAAGRycy9lMm9Eb2Mu eG1sUEsBAi0AFAAGAAgAAAAhABzfG6zcAAAACQEAAA8AAAAAAAAAAAAAAAAAgAQAAGRycy9kb3du cmV2LnhtbFBLBQYAAAAABAAEAPMAAACJBQAAAAA= "/>
                      </w:pict>
                    </mc:Fallback>
                  </mc:AlternateContent>
                </w:r>
              </w:p>
              <w:p>
                <w:pPr>
                  <w:ind w:left="180"/>
                  <w:jc w:val="both"/>
                  <w:rPr>
                    <w:b/>
                    <w:szCs w:val="24"/>
                  </w:rPr>
                </w:pPr>
                <w:r>
                  <w:rPr>
                    <w:lang w:eastAsia="lt-LT"/>
                  </w:rPr>
                  <mc:AlternateContent>
                    <mc:Choice Requires="wps">
                      <w:drawing>
                        <wp:anchor distT="0" distB="0" distL="114300" distR="114300" simplePos="0" relativeHeight="251801600" behindDoc="0" locked="0" layoutInCell="1" allowOverlap="1">
                          <wp:simplePos x="0" y="0"/>
                          <wp:positionH relativeFrom="column">
                            <wp:posOffset>1359535</wp:posOffset>
                          </wp:positionH>
                          <wp:positionV relativeFrom="paragraph">
                            <wp:posOffset>157480</wp:posOffset>
                          </wp:positionV>
                          <wp:extent cx="1270" cy="172720"/>
                          <wp:effectExtent l="76200" t="0" r="74930" b="55880"/>
                          <wp:wrapNone/>
                          <wp:docPr id="98" name="Tiesioji jungtis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172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98" o:spid="_x0000_s1026" style="position:absolute;flip:x;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05pt,12.4pt" to="107.15pt,2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8RXbQPgIAAGQEAAAOAAAAZHJzL2Uyb0RvYy54bWysVE2P2yAQvVfqf0DcE8eu82XFWVV20h62 baRNfwABHLPFgIDEiar+9x1INrvbXqqqOZCBmXm8eTN4cXfqJDpy64RWJU6HI4y4opoJtS/x9+16 MMPIeaIYkVrxEp+5w3fL9+8WvSl4plstGbcIQJQrelPi1ntTJImjLe+IG2rDFTgbbTviYWv3CbOk B/ROJtloNEl6bZmxmnLn4LS+OPEy4jcNp/5b0zjukSwxcPNxtXHdhTVZLkixt8S0gl5pkH9g0RGh 4NIbVE08QQcr/oDqBLXa6cYPqe4S3TSC8lgDVJOOfqvmoSWGx1pAHGduMrn/B0u/HjcWCVbiOXRK kQ56tBUc2vko0ONB7b1wCFygU29cAeGV2thQKT2pB3Ov6Q+HlK5aovY88t2eDWCkISN5kxI2zsBt u/6LZhBDDl5H0U6N7VAjhfkcEgM4CINOsUvnW5f4ySMKh2k2hU5ScKTTbJrFHiakCCAh1VjnP3Hd oWCUWAoVJCQFOd47H0i9hIRjpddCyjgGUqEedBhn45jgtBQsOEOYs/tdJS06kjBI8RcrBM/rMKsP ikWwlhO2utqeCAk28lEabwWIJTkOt3WcYSQ5vJ1gXehJFW6EcoHw1brM0s/5aL6arWb5IM8mq0E+ quvBx3WVDybrdDquP9RVVae/Avk0L1rBGFeB//Ncp/nfzc31hV0m8jbZN6GSt+hRUSD7/B9Jx86H Zl/GZqfZeWNDdWEIYJRj8PXZhbfyeh+jXj4OyycAAAD//wMAUEsDBBQABgAIAAAAIQB1MTUD3wAA AAkBAAAPAAAAZHJzL2Rvd25yZXYueG1sTI9BT8MwDIXvSPyHyEjcWNrSIShNJ4RA4oRgQ0jcssZr uzVOSbK149fjneBm+z09f69cTLYXB/Shc6QgnSUgkGpnOmoUfKyer25BhKjJ6N4RKjhigEV1flbq wriR3vGwjI3gEAqFVtDGOBRShrpFq8PMDUisbZy3OvLqG2m8Hjnc9jJLkhtpdUf8odUDPrZY75Z7 q+BuNc7dm9995mn3/fXztI3Dy2tU6vJiergHEXGKf2Y44TM6VMy0dnsyQfQKsjRP2cpDzhXYwIdr EGsF8ywBWZXyf4PqFwAA//8DAFBLAQItABQABgAIAAAAIQC2gziS/gAAAOEBAAATAAAAAAAAAAAA AAAAAAAAAABbQ29udGVudF9UeXBlc10ueG1sUEsBAi0AFAAGAAgAAAAhADj9If/WAAAAlAEAAAsA AAAAAAAAAAAAAAAALwEAAF9yZWxzLy5yZWxzUEsBAi0AFAAGAAgAAAAhALxFdtA+AgAAZAQAAA4A AAAAAAAAAAAAAAAALgIAAGRycy9lMm9Eb2MueG1sUEsBAi0AFAAGAAgAAAAhAHUxNQPfAAAACQEA AA8AAAAAAAAAAAAAAAAAmAQAAGRycy9kb3ducmV2LnhtbFBLBQYAAAAABAAEAPMAAACkBQAAAAA= ">
                          <v:stroke endarrow="block"/>
                        </v:line>
                      </w:pict>
                    </mc:Fallback>
                  </mc:AlternateContent>
                </w:r>
              </w:p>
              <w:p>
                <w:pPr>
                  <w:ind w:right="176"/>
                  <w:jc w:val="both"/>
                  <w:rPr>
                    <w:b/>
                    <w:szCs w:val="24"/>
                  </w:rPr>
                </w:pPr>
                <w:r>
                  <w:rPr>
                    <w:lang w:eastAsia="lt-LT"/>
                  </w:rPr>
                  <mc:AlternateContent>
                    <mc:Choice Requires="wps">
                      <w:drawing>
                        <wp:anchor distT="0" distB="0" distL="114300" distR="114300" simplePos="0" relativeHeight="251802624" behindDoc="0" locked="0" layoutInCell="1" allowOverlap="1">
                          <wp:simplePos x="0" y="0"/>
                          <wp:positionH relativeFrom="column">
                            <wp:posOffset>641985</wp:posOffset>
                          </wp:positionH>
                          <wp:positionV relativeFrom="paragraph">
                            <wp:posOffset>176530</wp:posOffset>
                          </wp:positionV>
                          <wp:extent cx="1515745" cy="2584450"/>
                          <wp:effectExtent l="0" t="0" r="27305" b="25400"/>
                          <wp:wrapNone/>
                          <wp:docPr id="99" name="Stačiakampis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5745" cy="2584450"/>
                                  </a:xfrm>
                                  <a:prstGeom prst="rect">
                                    <a:avLst/>
                                  </a:prstGeom>
                                  <a:solidFill>
                                    <a:srgbClr val="FFFFFF"/>
                                  </a:solidFill>
                                  <a:ln w="9525">
                                    <a:solidFill>
                                      <a:srgbClr val="000000"/>
                                    </a:solidFill>
                                    <a:miter lim="800000"/>
                                    <a:headEnd/>
                                    <a:tailEnd/>
                                  </a:ln>
                                </wps:spPr>
                                <wps:txbx>
                                  <w:txbxContent>
                                    <w:p>
                                      <w:pPr>
                                        <w:rPr>
                                          <w:rFonts w:ascii="TimesLT" w:hAnsi="TimesLT"/>
                                          <w:color w:val="000000"/>
                                          <w:sz w:val="20"/>
                                          <w:szCs w:val="16"/>
                                          <w:u w:val="single"/>
                                          <w:lang w:val="en-GB"/>
                                        </w:rPr>
                                      </w:pPr>
                                      <w:r>
                                        <w:rPr>
                                          <w:rFonts w:ascii="TimesLT" w:hAnsi="TimesLT"/>
                                          <w:color w:val="000000"/>
                                          <w:sz w:val="20"/>
                                          <w:szCs w:val="16"/>
                                          <w:u w:val="single"/>
                                          <w:lang w:val="en-GB"/>
                                        </w:rPr>
                                        <w:t>Alytaus seniūnija</w:t>
                                      </w:r>
                                    </w:p>
                                    <w:p>
                                      <w:pPr>
                                        <w:rPr>
                                          <w:rFonts w:ascii="TimesLT" w:hAnsi="TimesLT"/>
                                          <w:color w:val="000000"/>
                                          <w:sz w:val="20"/>
                                          <w:szCs w:val="16"/>
                                          <w:u w:val="single"/>
                                          <w:lang w:val="en-GB"/>
                                        </w:rPr>
                                      </w:pPr>
                                      <w:r>
                                        <w:rPr>
                                          <w:rFonts w:ascii="TimesLT" w:hAnsi="TimesLT"/>
                                          <w:color w:val="000000"/>
                                          <w:sz w:val="20"/>
                                          <w:szCs w:val="16"/>
                                          <w:u w:val="single"/>
                                          <w:lang w:val="en-GB"/>
                                        </w:rPr>
                                        <w:t>Alovės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 xml:space="preserve">Butrimonių seniūnija </w:t>
                                      </w:r>
                                    </w:p>
                                    <w:p>
                                      <w:pPr>
                                        <w:rPr>
                                          <w:rFonts w:ascii="TimesLT" w:hAnsi="TimesLT"/>
                                          <w:color w:val="000000"/>
                                          <w:sz w:val="20"/>
                                          <w:szCs w:val="16"/>
                                          <w:u w:val="single"/>
                                          <w:lang w:val="en-GB"/>
                                        </w:rPr>
                                      </w:pPr>
                                      <w:r>
                                        <w:rPr>
                                          <w:rFonts w:ascii="TimesLT" w:hAnsi="TimesLT"/>
                                          <w:color w:val="000000"/>
                                          <w:sz w:val="20"/>
                                          <w:szCs w:val="16"/>
                                          <w:u w:val="single"/>
                                          <w:lang w:val="en-GB"/>
                                        </w:rPr>
                                        <w:t xml:space="preserve">Daugų seniūnija Krokialaukio seniūnija </w:t>
                                      </w:r>
                                    </w:p>
                                    <w:p>
                                      <w:pPr>
                                        <w:rPr>
                                          <w:rFonts w:ascii="TimesLT" w:hAnsi="TimesLT"/>
                                          <w:color w:val="000000"/>
                                          <w:sz w:val="20"/>
                                          <w:szCs w:val="16"/>
                                          <w:u w:val="single"/>
                                          <w:lang w:val="en-GB"/>
                                        </w:rPr>
                                      </w:pPr>
                                      <w:r>
                                        <w:rPr>
                                          <w:rFonts w:ascii="TimesLT" w:hAnsi="TimesLT"/>
                                          <w:color w:val="000000"/>
                                          <w:sz w:val="20"/>
                                          <w:szCs w:val="16"/>
                                          <w:u w:val="single"/>
                                          <w:lang w:val="en-GB"/>
                                        </w:rPr>
                                        <w:t>Miroslavo seniūnija Nemunaičio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Pivašiūnų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Punios seniūnija</w:t>
                                      </w:r>
                                    </w:p>
                                    <w:p>
                                      <w:pPr>
                                        <w:rPr>
                                          <w:rFonts w:ascii="TimesLT" w:hAnsi="TimesLT"/>
                                          <w:color w:val="000000"/>
                                          <w:sz w:val="20"/>
                                          <w:szCs w:val="16"/>
                                          <w:u w:val="single"/>
                                          <w:lang w:val="en-GB"/>
                                        </w:rPr>
                                      </w:pPr>
                                      <w:r>
                                        <w:rPr>
                                          <w:rFonts w:ascii="TimesLT" w:hAnsi="TimesLT"/>
                                          <w:color w:val="000000"/>
                                          <w:sz w:val="20"/>
                                          <w:szCs w:val="16"/>
                                          <w:u w:val="single"/>
                                          <w:lang w:val="en-GB"/>
                                        </w:rPr>
                                        <w:t>Raitininkų seniūnija</w:t>
                                      </w:r>
                                    </w:p>
                                    <w:p>
                                      <w:pPr>
                                        <w:rPr>
                                          <w:rFonts w:ascii="TimesLT" w:hAnsi="TimesLT"/>
                                          <w:color w:val="000000"/>
                                          <w:sz w:val="20"/>
                                          <w:szCs w:val="16"/>
                                          <w:u w:val="single"/>
                                          <w:lang w:val="en-GB"/>
                                        </w:rPr>
                                      </w:pPr>
                                      <w:r>
                                        <w:rPr>
                                          <w:rFonts w:ascii="TimesLT" w:hAnsi="TimesLT"/>
                                          <w:color w:val="000000"/>
                                          <w:sz w:val="20"/>
                                          <w:szCs w:val="16"/>
                                          <w:u w:val="single"/>
                                          <w:lang w:val="en-GB"/>
                                        </w:rPr>
                                        <w:t>Simno seniūnija</w:t>
                                      </w:r>
                                    </w:p>
                                    <w:p>
                                      <w:pPr>
                                        <w:rPr>
                                          <w:rFonts w:ascii="TimesLT" w:hAnsi="TimesLT"/>
                                          <w:color w:val="000000"/>
                                          <w:sz w:val="16"/>
                                          <w:szCs w:val="16"/>
                                          <w:u w:val="single"/>
                                          <w:lang w:val="en-GB"/>
                                        </w:rPr>
                                      </w:pPr>
                                    </w:p>
                                    <w:p>
                                      <w:pPr>
                                        <w:rPr>
                                          <w:rFonts w:ascii="TimesLT" w:hAnsi="TimesLT"/>
                                          <w:sz w:val="16"/>
                                          <w:szCs w:val="16"/>
                                          <w:u w:val="single"/>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id="Stačiakampis 99" o:spid="_x0000_s1048" style="position:absolute;left:0;text-align:left;margin-left:50.55pt;margin-top:13.9pt;width:119.35pt;height:203.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YIft5NQIAAFYEAAAOAAAAZHJzL2Uyb0RvYy54bWysVF1u2zAMfh+wOwh6Xx0b8ZoYdYqiXYcB 3VYg2wEYWY6F6m+UEie7w261g5WWkyzd9jTMD4IoUp/I7yN9db0zmm0lBuVszfOLCWfSCtcou675 1y/3b2achQi2Ae2srPleBn69eP3qqveVLFzndCOREYgNVe9r3sXoqywLopMGwoXz0pKzdWggkonr rEHoCd3orJhM3ma9w8ajEzIEOr0bnXyR8NtWivi5bYOMTNeccotpxbSuhjVbXEG1RvCdEoc04B+y MKAsPXqCuoMIbIPqDyijBLrg2nghnMlc2yohUw1UTT75rZplB16mWoic4E80hf8HKz5tH5Gppubz OWcWDGm0jPDzh4InMF4FRudEUu9DRbFL/4hDmcE/OPEUmHW3Hdi1vEF0fSehodTyIT57cWEwAl1l q/6ja+gJ2ESX+Nq1aAZAYoLtkiz7kyxyF5mgw7zMy8tpyZkgX1HOptMyCZdBdbzuMcT30hk2bGqO pHuCh+1DiEM6UB1DUvpOq+ZeaZ0MXK9uNbItUI/cpy9VQFWeh2nLemKpLMqE/MIXziEm6fsbhFGR ml0rU/PZKQiqgbd3tkmtGEHpcU8pa3sgcuBu1CDuVrskV1EcZVm5Zk/Uohubm4aRNp3D75z11Ng1 D982gJIz/cGSPPN8Oh0mIRnT8rIgA889q3MPWEFQNY+cjdvbOE7PxqNad/RSnuiw7oYkbVUie5B7 zOqQPzVv0uAwaMN0nNsp6tfvYPEMAAD//wMAUEsDBBQABgAIAAAAIQCPX/6N3gAAAAoBAAAPAAAA ZHJzL2Rvd25yZXYueG1sTI9NT4NAEIbvJv6HzZh4s7tAoy1laYymJh5bevE2wAhUdpewS4v+esdT vc2befJ+ZNvZ9OJMo++c1RAtFAiylas722g4FruHFQgf0NbYO0savsnDNr+9yTCt3cXu6XwIjWAT 61PU0IYwpFL6qiWDfuEGsvz7dKPBwHJsZD3ihc1NL2OlHqXBznJCiwO9tFR9HSajoeziI/7sizdl 1rskvM/Fafp41fr+bn7egAg0hysMf/W5OuTcqXSTrb3oWasoYlRD/MQTGEiSNR+lhmWyXIHMM/l/ Qv4LAAD//wMAUEsBAi0AFAAGAAgAAAAhALaDOJL+AAAA4QEAABMAAAAAAAAAAAAAAAAAAAAAAFtD b250ZW50X1R5cGVzXS54bWxQSwECLQAUAAYACAAAACEAOP0h/9YAAACUAQAACwAAAAAAAAAAAAAA AAAvAQAAX3JlbHMvLnJlbHNQSwECLQAUAAYACAAAACEAGCH7eTUCAABWBAAADgAAAAAAAAAAAAAA AAAuAgAAZHJzL2Uyb0RvYy54bWxQSwECLQAUAAYACAAAACEAj1/+jd4AAAAKAQAADwAAAAAAAAAA AAAAAACPBAAAZHJzL2Rvd25yZXYueG1sUEsFBgAAAAAEAAQA8wAAAJoFAAAAAA== ">
                          <v:textbox>
                            <w:txbxContent>
                              <w:p>
                                <w:pPr>
                                  <w:rPr>
                                    <w:rFonts w:ascii="TimesLT" w:hAnsi="TimesLT"/>
                                    <w:color w:val="000000"/>
                                    <w:sz w:val="20"/>
                                    <w:szCs w:val="16"/>
                                    <w:u w:val="single"/>
                                    <w:lang w:val="en-GB"/>
                                  </w:rPr>
                                </w:pPr>
                                <w:r>
                                  <w:rPr>
                                    <w:rFonts w:ascii="TimesLT" w:hAnsi="TimesLT"/>
                                    <w:color w:val="000000"/>
                                    <w:sz w:val="20"/>
                                    <w:szCs w:val="16"/>
                                    <w:u w:val="single"/>
                                    <w:lang w:val="en-GB"/>
                                  </w:rPr>
                                  <w:t>Alytaus seniūnija</w:t>
                                </w:r>
                              </w:p>
                              <w:p>
                                <w:pPr>
                                  <w:rPr>
                                    <w:rFonts w:ascii="TimesLT" w:hAnsi="TimesLT"/>
                                    <w:color w:val="000000"/>
                                    <w:sz w:val="20"/>
                                    <w:szCs w:val="16"/>
                                    <w:u w:val="single"/>
                                    <w:lang w:val="en-GB"/>
                                  </w:rPr>
                                </w:pPr>
                                <w:r>
                                  <w:rPr>
                                    <w:rFonts w:ascii="TimesLT" w:hAnsi="TimesLT"/>
                                    <w:color w:val="000000"/>
                                    <w:sz w:val="20"/>
                                    <w:szCs w:val="16"/>
                                    <w:u w:val="single"/>
                                    <w:lang w:val="en-GB"/>
                                  </w:rPr>
                                  <w:t>Alovės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 xml:space="preserve">Butrimonių seniūnija </w:t>
                                </w:r>
                              </w:p>
                              <w:p>
                                <w:pPr>
                                  <w:rPr>
                                    <w:rFonts w:ascii="TimesLT" w:hAnsi="TimesLT"/>
                                    <w:color w:val="000000"/>
                                    <w:sz w:val="20"/>
                                    <w:szCs w:val="16"/>
                                    <w:u w:val="single"/>
                                    <w:lang w:val="en-GB"/>
                                  </w:rPr>
                                </w:pPr>
                                <w:r>
                                  <w:rPr>
                                    <w:rFonts w:ascii="TimesLT" w:hAnsi="TimesLT"/>
                                    <w:color w:val="000000"/>
                                    <w:sz w:val="20"/>
                                    <w:szCs w:val="16"/>
                                    <w:u w:val="single"/>
                                    <w:lang w:val="en-GB"/>
                                  </w:rPr>
                                  <w:t xml:space="preserve">Daugų seniūnija Krokialaukio seniūnija </w:t>
                                </w:r>
                              </w:p>
                              <w:p>
                                <w:pPr>
                                  <w:rPr>
                                    <w:rFonts w:ascii="TimesLT" w:hAnsi="TimesLT"/>
                                    <w:color w:val="000000"/>
                                    <w:sz w:val="20"/>
                                    <w:szCs w:val="16"/>
                                    <w:u w:val="single"/>
                                    <w:lang w:val="en-GB"/>
                                  </w:rPr>
                                </w:pPr>
                                <w:r>
                                  <w:rPr>
                                    <w:rFonts w:ascii="TimesLT" w:hAnsi="TimesLT"/>
                                    <w:color w:val="000000"/>
                                    <w:sz w:val="20"/>
                                    <w:szCs w:val="16"/>
                                    <w:u w:val="single"/>
                                    <w:lang w:val="en-GB"/>
                                  </w:rPr>
                                  <w:t>Miroslavo seniūnija Nemunaičio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Pivašiūnų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Punios seniūnija</w:t>
                                </w:r>
                              </w:p>
                              <w:p>
                                <w:pPr>
                                  <w:rPr>
                                    <w:rFonts w:ascii="TimesLT" w:hAnsi="TimesLT"/>
                                    <w:color w:val="000000"/>
                                    <w:sz w:val="20"/>
                                    <w:szCs w:val="16"/>
                                    <w:u w:val="single"/>
                                    <w:lang w:val="en-GB"/>
                                  </w:rPr>
                                </w:pPr>
                                <w:r>
                                  <w:rPr>
                                    <w:rFonts w:ascii="TimesLT" w:hAnsi="TimesLT"/>
                                    <w:color w:val="000000"/>
                                    <w:sz w:val="20"/>
                                    <w:szCs w:val="16"/>
                                    <w:u w:val="single"/>
                                    <w:lang w:val="en-GB"/>
                                  </w:rPr>
                                  <w:t>Raitininkų seniūnija</w:t>
                                </w:r>
                              </w:p>
                              <w:p>
                                <w:pPr>
                                  <w:rPr>
                                    <w:rFonts w:ascii="TimesLT" w:hAnsi="TimesLT"/>
                                    <w:color w:val="000000"/>
                                    <w:sz w:val="20"/>
                                    <w:szCs w:val="16"/>
                                    <w:u w:val="single"/>
                                    <w:lang w:val="en-GB"/>
                                  </w:rPr>
                                </w:pPr>
                                <w:r>
                                  <w:rPr>
                                    <w:rFonts w:ascii="TimesLT" w:hAnsi="TimesLT"/>
                                    <w:color w:val="000000"/>
                                    <w:sz w:val="20"/>
                                    <w:szCs w:val="16"/>
                                    <w:u w:val="single"/>
                                    <w:lang w:val="en-GB"/>
                                  </w:rPr>
                                  <w:t>Simno seniūnija</w:t>
                                </w:r>
                              </w:p>
                              <w:p>
                                <w:pPr>
                                  <w:rPr>
                                    <w:rFonts w:ascii="TimesLT" w:hAnsi="TimesLT"/>
                                    <w:color w:val="000000"/>
                                    <w:sz w:val="16"/>
                                    <w:szCs w:val="16"/>
                                    <w:u w:val="single"/>
                                    <w:lang w:val="en-GB"/>
                                  </w:rPr>
                                </w:pPr>
                              </w:p>
                              <w:p>
                                <w:pPr>
                                  <w:rPr>
                                    <w:rFonts w:ascii="TimesLT" w:hAnsi="TimesLT"/>
                                    <w:sz w:val="16"/>
                                    <w:szCs w:val="16"/>
                                    <w:u w:val="single"/>
                                    <w:lang w:val="en-GB"/>
                                  </w:rPr>
                                </w:pPr>
                              </w:p>
                            </w:txbxContent>
                          </v:textbox>
                        </v:rect>
                      </w:pict>
                    </mc:Fallback>
                  </mc:AlternateContent>
                  <mc:AlternateContent>
                    <mc:Choice Requires="wps">
                      <w:drawing>
                        <wp:anchor distT="0" distB="0" distL="114300" distR="114300" simplePos="0" relativeHeight="251803648" behindDoc="0" locked="0" layoutInCell="1" allowOverlap="1">
                          <wp:simplePos x="0" y="0"/>
                          <wp:positionH relativeFrom="column">
                            <wp:posOffset>2494280</wp:posOffset>
                          </wp:positionH>
                          <wp:positionV relativeFrom="paragraph">
                            <wp:posOffset>176530</wp:posOffset>
                          </wp:positionV>
                          <wp:extent cx="2153285" cy="2584450"/>
                          <wp:effectExtent l="0" t="0" r="18415" b="25400"/>
                          <wp:wrapNone/>
                          <wp:docPr id="100" name="Stačiakampis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3285" cy="2584450"/>
                                  </a:xfrm>
                                  <a:prstGeom prst="rect">
                                    <a:avLst/>
                                  </a:prstGeom>
                                  <a:solidFill>
                                    <a:srgbClr val="FFFFFF"/>
                                  </a:solidFill>
                                  <a:ln w="9525">
                                    <a:solidFill>
                                      <a:srgbClr val="000000"/>
                                    </a:solidFill>
                                    <a:miter lim="800000"/>
                                    <a:headEnd/>
                                    <a:tailEnd/>
                                  </a:ln>
                                </wps:spPr>
                                <wps:txbx>
                                  <w:txbxContent>
                                    <w:p>
                                      <w:pPr>
                                        <w:rPr>
                                          <w:rFonts w:ascii="TimesLT" w:hAnsi="TimesLT"/>
                                          <w:color w:val="000000"/>
                                          <w:sz w:val="20"/>
                                          <w:u w:val="single"/>
                                          <w:lang w:val="en-GB"/>
                                        </w:rPr>
                                      </w:pPr>
                                      <w:r>
                                        <w:rPr>
                                          <w:rFonts w:ascii="TimesLT" w:hAnsi="TimesLT"/>
                                          <w:color w:val="000000"/>
                                          <w:sz w:val="20"/>
                                          <w:u w:val="single"/>
                                          <w:lang w:val="en-GB"/>
                                        </w:rPr>
                                        <w:t>Komunalinio ūkio ir architektūros skyrius</w:t>
                                      </w:r>
                                    </w:p>
                                    <w:p>
                                      <w:pPr>
                                        <w:rPr>
                                          <w:rFonts w:ascii="TimesLT" w:hAnsi="TimesLT"/>
                                          <w:color w:val="000000"/>
                                          <w:sz w:val="20"/>
                                          <w:u w:val="single"/>
                                          <w:lang w:val="en-GB"/>
                                        </w:rPr>
                                      </w:pPr>
                                      <w:r>
                                        <w:rPr>
                                          <w:rFonts w:ascii="TimesLT" w:hAnsi="TimesLT"/>
                                          <w:color w:val="000000"/>
                                          <w:sz w:val="20"/>
                                          <w:u w:val="single"/>
                                          <w:lang w:val="en-GB"/>
                                        </w:rPr>
                                        <w:t>Buhalterinės apskaitos skyrius</w:t>
                                      </w:r>
                                    </w:p>
                                    <w:p>
                                      <w:pPr>
                                        <w:rPr>
                                          <w:rFonts w:ascii="TimesLT" w:hAnsi="TimesLT"/>
                                          <w:color w:val="000000"/>
                                          <w:sz w:val="20"/>
                                          <w:u w:val="single"/>
                                          <w:lang w:val="en-GB"/>
                                        </w:rPr>
                                      </w:pPr>
                                      <w:r>
                                        <w:rPr>
                                          <w:rFonts w:ascii="TimesLT" w:hAnsi="TimesLT"/>
                                          <w:color w:val="000000"/>
                                          <w:sz w:val="20"/>
                                          <w:u w:val="single"/>
                                          <w:lang w:val="en-GB"/>
                                        </w:rPr>
                                        <w:t>Centralizuotas vidaus audito skyrius</w:t>
                                      </w:r>
                                    </w:p>
                                    <w:p>
                                      <w:pPr>
                                        <w:rPr>
                                          <w:rFonts w:ascii="TimesLT" w:hAnsi="TimesLT"/>
                                          <w:color w:val="000000"/>
                                          <w:sz w:val="20"/>
                                          <w:u w:val="single"/>
                                          <w:lang w:val="en-GB"/>
                                        </w:rPr>
                                      </w:pPr>
                                      <w:r>
                                        <w:rPr>
                                          <w:rFonts w:ascii="TimesLT" w:hAnsi="TimesLT"/>
                                          <w:color w:val="000000"/>
                                          <w:sz w:val="20"/>
                                          <w:u w:val="single"/>
                                          <w:lang w:val="en-GB"/>
                                        </w:rPr>
                                        <w:t>Civilinės metrikacijos skyrius</w:t>
                                      </w:r>
                                    </w:p>
                                    <w:p>
                                      <w:pPr>
                                        <w:rPr>
                                          <w:rFonts w:ascii="TimesLT" w:hAnsi="TimesLT"/>
                                          <w:color w:val="000000"/>
                                          <w:sz w:val="20"/>
                                          <w:u w:val="single"/>
                                          <w:lang w:val="en-GB"/>
                                        </w:rPr>
                                      </w:pPr>
                                      <w:r>
                                        <w:rPr>
                                          <w:rFonts w:ascii="TimesLT" w:hAnsi="TimesLT"/>
                                          <w:color w:val="000000"/>
                                          <w:sz w:val="20"/>
                                          <w:u w:val="single"/>
                                          <w:lang w:val="en-GB"/>
                                        </w:rPr>
                                        <w:t>Turto valdymo skyrius</w:t>
                                      </w:r>
                                    </w:p>
                                    <w:p>
                                      <w:pPr>
                                        <w:rPr>
                                          <w:rFonts w:ascii="TimesLT" w:hAnsi="TimesLT"/>
                                          <w:color w:val="000000"/>
                                          <w:sz w:val="20"/>
                                          <w:u w:val="single"/>
                                          <w:lang w:val="en-GB"/>
                                        </w:rPr>
                                      </w:pPr>
                                      <w:r>
                                        <w:rPr>
                                          <w:rFonts w:ascii="TimesLT" w:hAnsi="TimesLT"/>
                                          <w:color w:val="000000"/>
                                          <w:sz w:val="20"/>
                                          <w:u w:val="single"/>
                                          <w:lang w:val="en-GB"/>
                                        </w:rPr>
                                        <w:t>Finansų ir investicijų skyrius</w:t>
                                      </w:r>
                                    </w:p>
                                    <w:p>
                                      <w:pPr>
                                        <w:rPr>
                                          <w:rFonts w:ascii="TimesLT" w:hAnsi="TimesLT"/>
                                          <w:color w:val="000000"/>
                                          <w:sz w:val="20"/>
                                          <w:u w:val="single"/>
                                          <w:lang w:val="en-GB"/>
                                        </w:rPr>
                                      </w:pPr>
                                      <w:r>
                                        <w:rPr>
                                          <w:rFonts w:ascii="TimesLT" w:hAnsi="TimesLT"/>
                                          <w:color w:val="000000"/>
                                          <w:sz w:val="20"/>
                                          <w:u w:val="single"/>
                                          <w:lang w:val="en-GB"/>
                                        </w:rPr>
                                        <w:t>Vyriausiasis specialistas (jaunimo reikalų koordinatorius)</w:t>
                                      </w:r>
                                    </w:p>
                                    <w:p>
                                      <w:pPr>
                                        <w:rPr>
                                          <w:rFonts w:ascii="TimesLT" w:hAnsi="TimesLT"/>
                                          <w:color w:val="000000"/>
                                          <w:sz w:val="20"/>
                                          <w:u w:val="single"/>
                                          <w:lang w:val="en-GB"/>
                                        </w:rPr>
                                      </w:pPr>
                                      <w:r>
                                        <w:rPr>
                                          <w:rFonts w:ascii="TimesLT" w:hAnsi="TimesLT"/>
                                          <w:color w:val="000000"/>
                                          <w:sz w:val="20"/>
                                          <w:u w:val="single"/>
                                          <w:lang w:val="en-GB"/>
                                        </w:rPr>
                                        <w:t>Komunikacijos skyrius</w:t>
                                      </w:r>
                                    </w:p>
                                    <w:p>
                                      <w:pPr>
                                        <w:rPr>
                                          <w:rFonts w:ascii="TimesLT" w:hAnsi="TimesLT"/>
                                          <w:color w:val="000000"/>
                                          <w:sz w:val="20"/>
                                          <w:u w:val="single"/>
                                          <w:lang w:val="en-GB"/>
                                        </w:rPr>
                                      </w:pPr>
                                      <w:r>
                                        <w:rPr>
                                          <w:rFonts w:ascii="TimesLT" w:hAnsi="TimesLT"/>
                                          <w:color w:val="000000"/>
                                          <w:sz w:val="20"/>
                                          <w:u w:val="single"/>
                                          <w:lang w:val="en-GB"/>
                                        </w:rPr>
                                        <w:t>Savivaldybės gydytojas (vyriausiasis specialistas)</w:t>
                                      </w:r>
                                    </w:p>
                                    <w:p>
                                      <w:pPr>
                                        <w:rPr>
                                          <w:rFonts w:ascii="TimesLT" w:hAnsi="TimesLT"/>
                                          <w:color w:val="000000"/>
                                          <w:sz w:val="20"/>
                                          <w:u w:val="single"/>
                                          <w:lang w:val="en-GB"/>
                                        </w:rPr>
                                      </w:pPr>
                                      <w:r>
                                        <w:rPr>
                                          <w:rFonts w:ascii="TimesLT" w:hAnsi="TimesLT"/>
                                          <w:color w:val="000000"/>
                                          <w:sz w:val="20"/>
                                          <w:u w:val="single"/>
                                          <w:lang w:val="en-GB"/>
                                        </w:rPr>
                                        <w:t>Socialinės paramos skyrius</w:t>
                                      </w:r>
                                    </w:p>
                                    <w:p>
                                      <w:pPr>
                                        <w:rPr>
                                          <w:rFonts w:ascii="TimesLT" w:hAnsi="TimesLT"/>
                                          <w:color w:val="000000"/>
                                          <w:sz w:val="20"/>
                                          <w:u w:val="single"/>
                                          <w:lang w:val="en-GB"/>
                                        </w:rPr>
                                      </w:pPr>
                                      <w:r>
                                        <w:rPr>
                                          <w:rFonts w:ascii="TimesLT" w:hAnsi="TimesLT"/>
                                          <w:color w:val="000000"/>
                                          <w:sz w:val="20"/>
                                          <w:u w:val="single"/>
                                          <w:lang w:val="en-GB"/>
                                        </w:rPr>
                                        <w:t>Švietimo, kultūros ir sporto skyrius</w:t>
                                      </w:r>
                                    </w:p>
                                    <w:p>
                                      <w:pPr>
                                        <w:rPr>
                                          <w:rFonts w:ascii="TimesLT" w:hAnsi="TimesLT"/>
                                          <w:color w:val="000000"/>
                                          <w:sz w:val="20"/>
                                          <w:u w:val="single"/>
                                          <w:lang w:val="en-GB"/>
                                        </w:rPr>
                                      </w:pPr>
                                      <w:r>
                                        <w:rPr>
                                          <w:rFonts w:ascii="TimesLT" w:hAnsi="TimesLT"/>
                                          <w:color w:val="000000"/>
                                          <w:sz w:val="20"/>
                                          <w:u w:val="single"/>
                                          <w:lang w:val="en-GB"/>
                                        </w:rPr>
                                        <w:t>Teisės ir vidaus administravimo skyrius</w:t>
                                      </w:r>
                                    </w:p>
                                    <w:p>
                                      <w:pPr>
                                        <w:rPr>
                                          <w:rFonts w:ascii="TimesLT" w:hAnsi="TimesLT"/>
                                          <w:color w:val="000000"/>
                                          <w:sz w:val="20"/>
                                          <w:u w:val="single"/>
                                          <w:lang w:val="en-GB"/>
                                        </w:rPr>
                                      </w:pPr>
                                      <w:r>
                                        <w:rPr>
                                          <w:rFonts w:ascii="TimesLT" w:hAnsi="TimesLT"/>
                                          <w:color w:val="000000"/>
                                          <w:sz w:val="20"/>
                                          <w:u w:val="single"/>
                                          <w:lang w:val="en-GB"/>
                                        </w:rPr>
                                        <w:t>Žemės ūkio skyrius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id="Stačiakampis 100" o:spid="_x0000_s1049" style="position:absolute;left:0;text-align:left;margin-left:196.4pt;margin-top:13.9pt;width:169.55pt;height:203.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QlUzmNgIAAFgEAAAOAAAAZHJzL2Uyb0RvYy54bWysVF1uEzEQfkfiDpbf6SbbLKSrbKoqpQip QKXCASZeb9aq/xg72ZQ7cCsOxtibhhR4QuyD5fGMP89838wuLvdGs53EoJxt+PRswpm0wrXKbhr+ 5fPNqzlnIYJtQTsrG/4oA79cvnyxGHwtS9c73UpkBGJDPfiG9zH6uiiC6KWBcOa8tOTsHBqIZOKm aBEGQje6KCeT18XgsPXohAyBTq9HJ19m/K6TIn7quiAj0w2n3GJeMa/rtBbLBdQbBN8rcUgD/iEL A8rSo0eoa4jAtqj+gDJKoAuui2fCmcJ1nRIy10DVTCe/VXPfg5e5FiIn+CNN4f/Bio+7O2SqJe0m xI8FQyLdR/jxXcEDGK8CSw6iafChpuh7f4ep0OBvnXgIzLpVD3YjrxDd0EtoKblpii+eXUhGoKts PXxwLb0B2+gyY/sOTQIkLtg+C/N4FEbuIxN0WE6r83JecSbIV1bz2azKORVQP133GOI76QxLm4Yj KZ/hYXcbYkoH6qeQnL7Tqr1RWmcDN+uVRrYD6pKb/OUKqMrTMG3Z0PCLqqwy8jNfOIWY5O9vEEZF anetTMPnxyCoE29vbZubMYLS455S1vZAZOJu1CDu1/ssWHn+JMvatY9ELbqxvWkcadM7/MbZQK3d 8PB1Cyg50+8tyXMxnc3SLGRjVr0pycBTz/rUA1YQVMMjZ+N2Fcf52XpUm55emmY6rLsiSTuVyU5y j1kd8qf2zRocRi3Nx6mdo379EJY/AQAA//8DAFBLAwQUAAYACAAAACEAXZQSyeAAAAAKAQAADwAA AGRycy9kb3ducmV2LnhtbEyPQU+DQBCF7yb+h82YeLNLobGFMjRGUxOPLb14W9gRqOwsYZcW/fWu Jz1NXublve/lu9n04kKj6ywjLBcRCOLa6o4bhFO5f9iAcF6xVr1lQvgiB7vi9iZXmbZXPtDl6BsR QthlCqH1fsikdHVLRrmFHYjD78OORvkgx0bqUV1DuOllHEWP0qiOQ0OrBnpuqf48Tgah6uKT+j6U r5FJ94l/m8vz9P6CeH83P21BeJr9nxl+8QM6FIGpshNrJ3qEJI0DukeI1+EGwzpZpiAqhFWy2oAs cvl/QvEDAAD//wMAUEsBAi0AFAAGAAgAAAAhALaDOJL+AAAA4QEAABMAAAAAAAAAAAAAAAAAAAAA AFtDb250ZW50X1R5cGVzXS54bWxQSwECLQAUAAYACAAAACEAOP0h/9YAAACUAQAACwAAAAAAAAAA AAAAAAAvAQAAX3JlbHMvLnJlbHNQSwECLQAUAAYACAAAACEA0JVM5jYCAABYBAAADgAAAAAAAAAA AAAAAAAuAgAAZHJzL2Uyb0RvYy54bWxQSwECLQAUAAYACAAAACEAXZQSyeAAAAAKAQAADwAAAAAA AAAAAAAAAACQBAAAZHJzL2Rvd25yZXYueG1sUEsFBgAAAAAEAAQA8wAAAJ0FAAAAAA== ">
                          <v:textbox>
                            <w:txbxContent>
                              <w:p>
                                <w:pPr>
                                  <w:rPr>
                                    <w:rFonts w:ascii="TimesLT" w:hAnsi="TimesLT"/>
                                    <w:color w:val="000000"/>
                                    <w:sz w:val="20"/>
                                    <w:u w:val="single"/>
                                    <w:lang w:val="en-GB"/>
                                  </w:rPr>
                                </w:pPr>
                                <w:r>
                                  <w:rPr>
                                    <w:rFonts w:ascii="TimesLT" w:hAnsi="TimesLT"/>
                                    <w:color w:val="000000"/>
                                    <w:sz w:val="20"/>
                                    <w:u w:val="single"/>
                                    <w:lang w:val="en-GB"/>
                                  </w:rPr>
                                  <w:t>Komunalinio ūkio ir architektūros skyrius</w:t>
                                </w:r>
                              </w:p>
                              <w:p>
                                <w:pPr>
                                  <w:rPr>
                                    <w:rFonts w:ascii="TimesLT" w:hAnsi="TimesLT"/>
                                    <w:color w:val="000000"/>
                                    <w:sz w:val="20"/>
                                    <w:u w:val="single"/>
                                    <w:lang w:val="en-GB"/>
                                  </w:rPr>
                                </w:pPr>
                                <w:r>
                                  <w:rPr>
                                    <w:rFonts w:ascii="TimesLT" w:hAnsi="TimesLT"/>
                                    <w:color w:val="000000"/>
                                    <w:sz w:val="20"/>
                                    <w:u w:val="single"/>
                                    <w:lang w:val="en-GB"/>
                                  </w:rPr>
                                  <w:t>Buhalterinės apskaitos skyrius</w:t>
                                </w:r>
                              </w:p>
                              <w:p>
                                <w:pPr>
                                  <w:rPr>
                                    <w:rFonts w:ascii="TimesLT" w:hAnsi="TimesLT"/>
                                    <w:color w:val="000000"/>
                                    <w:sz w:val="20"/>
                                    <w:u w:val="single"/>
                                    <w:lang w:val="en-GB"/>
                                  </w:rPr>
                                </w:pPr>
                                <w:r>
                                  <w:rPr>
                                    <w:rFonts w:ascii="TimesLT" w:hAnsi="TimesLT"/>
                                    <w:color w:val="000000"/>
                                    <w:sz w:val="20"/>
                                    <w:u w:val="single"/>
                                    <w:lang w:val="en-GB"/>
                                  </w:rPr>
                                  <w:t>Centralizuotas vidaus audito skyrius</w:t>
                                </w:r>
                              </w:p>
                              <w:p>
                                <w:pPr>
                                  <w:rPr>
                                    <w:rFonts w:ascii="TimesLT" w:hAnsi="TimesLT"/>
                                    <w:color w:val="000000"/>
                                    <w:sz w:val="20"/>
                                    <w:u w:val="single"/>
                                    <w:lang w:val="en-GB"/>
                                  </w:rPr>
                                </w:pPr>
                                <w:r>
                                  <w:rPr>
                                    <w:rFonts w:ascii="TimesLT" w:hAnsi="TimesLT"/>
                                    <w:color w:val="000000"/>
                                    <w:sz w:val="20"/>
                                    <w:u w:val="single"/>
                                    <w:lang w:val="en-GB"/>
                                  </w:rPr>
                                  <w:t>Civilinės metrikacijos skyrius</w:t>
                                </w:r>
                              </w:p>
                              <w:p>
                                <w:pPr>
                                  <w:rPr>
                                    <w:rFonts w:ascii="TimesLT" w:hAnsi="TimesLT"/>
                                    <w:color w:val="000000"/>
                                    <w:sz w:val="20"/>
                                    <w:u w:val="single"/>
                                    <w:lang w:val="en-GB"/>
                                  </w:rPr>
                                </w:pPr>
                                <w:r>
                                  <w:rPr>
                                    <w:rFonts w:ascii="TimesLT" w:hAnsi="TimesLT"/>
                                    <w:color w:val="000000"/>
                                    <w:sz w:val="20"/>
                                    <w:u w:val="single"/>
                                    <w:lang w:val="en-GB"/>
                                  </w:rPr>
                                  <w:t>Turto valdymo skyrius</w:t>
                                </w:r>
                              </w:p>
                              <w:p>
                                <w:pPr>
                                  <w:rPr>
                                    <w:rFonts w:ascii="TimesLT" w:hAnsi="TimesLT"/>
                                    <w:color w:val="000000"/>
                                    <w:sz w:val="20"/>
                                    <w:u w:val="single"/>
                                    <w:lang w:val="en-GB"/>
                                  </w:rPr>
                                </w:pPr>
                                <w:r>
                                  <w:rPr>
                                    <w:rFonts w:ascii="TimesLT" w:hAnsi="TimesLT"/>
                                    <w:color w:val="000000"/>
                                    <w:sz w:val="20"/>
                                    <w:u w:val="single"/>
                                    <w:lang w:val="en-GB"/>
                                  </w:rPr>
                                  <w:t>Finansų ir investicijų skyrius</w:t>
                                </w:r>
                              </w:p>
                              <w:p>
                                <w:pPr>
                                  <w:rPr>
                                    <w:rFonts w:ascii="TimesLT" w:hAnsi="TimesLT"/>
                                    <w:color w:val="000000"/>
                                    <w:sz w:val="20"/>
                                    <w:u w:val="single"/>
                                    <w:lang w:val="en-GB"/>
                                  </w:rPr>
                                </w:pPr>
                                <w:r>
                                  <w:rPr>
                                    <w:rFonts w:ascii="TimesLT" w:hAnsi="TimesLT"/>
                                    <w:color w:val="000000"/>
                                    <w:sz w:val="20"/>
                                    <w:u w:val="single"/>
                                    <w:lang w:val="en-GB"/>
                                  </w:rPr>
                                  <w:t>Vyriausiasis specialistas (jaunimo reikalų koordinatorius)</w:t>
                                </w:r>
                              </w:p>
                              <w:p>
                                <w:pPr>
                                  <w:rPr>
                                    <w:rFonts w:ascii="TimesLT" w:hAnsi="TimesLT"/>
                                    <w:color w:val="000000"/>
                                    <w:sz w:val="20"/>
                                    <w:u w:val="single"/>
                                    <w:lang w:val="en-GB"/>
                                  </w:rPr>
                                </w:pPr>
                                <w:r>
                                  <w:rPr>
                                    <w:rFonts w:ascii="TimesLT" w:hAnsi="TimesLT"/>
                                    <w:color w:val="000000"/>
                                    <w:sz w:val="20"/>
                                    <w:u w:val="single"/>
                                    <w:lang w:val="en-GB"/>
                                  </w:rPr>
                                  <w:t>Komunikacijos skyrius</w:t>
                                </w:r>
                              </w:p>
                              <w:p>
                                <w:pPr>
                                  <w:rPr>
                                    <w:rFonts w:ascii="TimesLT" w:hAnsi="TimesLT"/>
                                    <w:color w:val="000000"/>
                                    <w:sz w:val="20"/>
                                    <w:u w:val="single"/>
                                    <w:lang w:val="en-GB"/>
                                  </w:rPr>
                                </w:pPr>
                                <w:r>
                                  <w:rPr>
                                    <w:rFonts w:ascii="TimesLT" w:hAnsi="TimesLT"/>
                                    <w:color w:val="000000"/>
                                    <w:sz w:val="20"/>
                                    <w:u w:val="single"/>
                                    <w:lang w:val="en-GB"/>
                                  </w:rPr>
                                  <w:t>Savivaldybės gydytojas (vyriausiasis specialistas)</w:t>
                                </w:r>
                              </w:p>
                              <w:p>
                                <w:pPr>
                                  <w:rPr>
                                    <w:rFonts w:ascii="TimesLT" w:hAnsi="TimesLT"/>
                                    <w:color w:val="000000"/>
                                    <w:sz w:val="20"/>
                                    <w:u w:val="single"/>
                                    <w:lang w:val="en-GB"/>
                                  </w:rPr>
                                </w:pPr>
                                <w:r>
                                  <w:rPr>
                                    <w:rFonts w:ascii="TimesLT" w:hAnsi="TimesLT"/>
                                    <w:color w:val="000000"/>
                                    <w:sz w:val="20"/>
                                    <w:u w:val="single"/>
                                    <w:lang w:val="en-GB"/>
                                  </w:rPr>
                                  <w:t>Socialinės paramos skyrius</w:t>
                                </w:r>
                              </w:p>
                              <w:p>
                                <w:pPr>
                                  <w:rPr>
                                    <w:rFonts w:ascii="TimesLT" w:hAnsi="TimesLT"/>
                                    <w:color w:val="000000"/>
                                    <w:sz w:val="20"/>
                                    <w:u w:val="single"/>
                                    <w:lang w:val="en-GB"/>
                                  </w:rPr>
                                </w:pPr>
                                <w:r>
                                  <w:rPr>
                                    <w:rFonts w:ascii="TimesLT" w:hAnsi="TimesLT"/>
                                    <w:color w:val="000000"/>
                                    <w:sz w:val="20"/>
                                    <w:u w:val="single"/>
                                    <w:lang w:val="en-GB"/>
                                  </w:rPr>
                                  <w:t>Švietimo, kultūros ir sporto skyrius</w:t>
                                </w:r>
                              </w:p>
                              <w:p>
                                <w:pPr>
                                  <w:rPr>
                                    <w:rFonts w:ascii="TimesLT" w:hAnsi="TimesLT"/>
                                    <w:color w:val="000000"/>
                                    <w:sz w:val="20"/>
                                    <w:u w:val="single"/>
                                    <w:lang w:val="en-GB"/>
                                  </w:rPr>
                                </w:pPr>
                                <w:r>
                                  <w:rPr>
                                    <w:rFonts w:ascii="TimesLT" w:hAnsi="TimesLT"/>
                                    <w:color w:val="000000"/>
                                    <w:sz w:val="20"/>
                                    <w:u w:val="single"/>
                                    <w:lang w:val="en-GB"/>
                                  </w:rPr>
                                  <w:t>Teisės ir vidaus administravimo skyrius</w:t>
                                </w:r>
                              </w:p>
                              <w:p>
                                <w:pPr>
                                  <w:rPr>
                                    <w:rFonts w:ascii="TimesLT" w:hAnsi="TimesLT"/>
                                    <w:color w:val="000000"/>
                                    <w:sz w:val="20"/>
                                    <w:u w:val="single"/>
                                    <w:lang w:val="en-GB"/>
                                  </w:rPr>
                                </w:pPr>
                                <w:r>
                                  <w:rPr>
                                    <w:rFonts w:ascii="TimesLT" w:hAnsi="TimesLT"/>
                                    <w:color w:val="000000"/>
                                    <w:sz w:val="20"/>
                                    <w:u w:val="single"/>
                                    <w:lang w:val="en-GB"/>
                                  </w:rPr>
                                  <w:t>Žemės ūkio skyrius</w:t>
                                </w:r>
                              </w:p>
                            </w:txbxContent>
                          </v:textbox>
                        </v:rect>
                      </w:pict>
                    </mc:Fallback>
                  </mc:AlternateContent>
                </w:r>
              </w:p>
              <w:p>
                <w:pPr>
                  <w:ind w:left="180"/>
                  <w:jc w:val="both"/>
                  <w:rPr>
                    <w:b/>
                    <w:szCs w:val="24"/>
                  </w:rPr>
                </w:pPr>
              </w:p>
              <w:p>
                <w:pPr>
                  <w:ind w:left="180"/>
                  <w:jc w:val="both"/>
                  <w:rPr>
                    <w:b/>
                    <w:szCs w:val="24"/>
                  </w:rPr>
                </w:pPr>
              </w:p>
              <w:p>
                <w:pPr>
                  <w:ind w:left="180"/>
                  <w:jc w:val="both"/>
                  <w:rPr>
                    <w:b/>
                    <w:szCs w:val="24"/>
                  </w:rPr>
                </w:pPr>
              </w:p>
              <w:p>
                <w:pPr>
                  <w:ind w:left="180"/>
                  <w:jc w:val="both"/>
                  <w:rPr>
                    <w:b/>
                    <w:szCs w:val="24"/>
                  </w:rPr>
                </w:pPr>
              </w:p>
              <w:p>
                <w:pPr>
                  <w:rPr>
                    <w:sz w:val="10"/>
                    <w:szCs w:val="10"/>
                  </w:rPr>
                </w:pPr>
              </w:p>
              <w:p>
                <w:pPr>
                  <w:ind w:left="180" w:firstLine="851"/>
                  <w:jc w:val="center"/>
                  <w:rPr>
                    <w:b/>
                    <w:i/>
                    <w:szCs w:val="24"/>
                  </w:rPr>
                </w:pPr>
              </w:p>
              <w:p>
                <w:pPr>
                  <w:rPr>
                    <w:sz w:val="10"/>
                    <w:szCs w:val="10"/>
                  </w:rPr>
                </w:pPr>
              </w:p>
              <w:p>
                <w:pPr>
                  <w:ind w:left="180" w:firstLine="851"/>
                  <w:rPr>
                    <w:b/>
                    <w:i/>
                    <w:szCs w:val="24"/>
                  </w:rPr>
                </w:pPr>
              </w:p>
              <w:p>
                <w:pPr>
                  <w:rPr>
                    <w:sz w:val="10"/>
                    <w:szCs w:val="10"/>
                  </w:rPr>
                </w:pPr>
              </w:p>
              <w:p>
                <w:pPr>
                  <w:tabs>
                    <w:tab w:val="left" w:pos="7425"/>
                  </w:tabs>
                  <w:ind w:left="180" w:firstLine="7425"/>
                  <w:rPr>
                    <w:b/>
                    <w:i/>
                    <w:szCs w:val="24"/>
                  </w:rPr>
                </w:pPr>
              </w:p>
              <w:p>
                <w:pPr>
                  <w:rPr>
                    <w:sz w:val="10"/>
                    <w:szCs w:val="10"/>
                  </w:rPr>
                </w:pPr>
              </w:p>
              <w:p>
                <w:pPr>
                  <w:ind w:left="180" w:firstLine="851"/>
                  <w:jc w:val="center"/>
                  <w:rPr>
                    <w:b/>
                    <w:i/>
                    <w:szCs w:val="24"/>
                  </w:rPr>
                </w:pPr>
              </w:p>
              <w:p>
                <w:pPr>
                  <w:rPr>
                    <w:sz w:val="10"/>
                    <w:szCs w:val="10"/>
                  </w:rPr>
                </w:pPr>
              </w:p>
              <w:p>
                <w:pPr>
                  <w:ind w:left="180" w:firstLine="851"/>
                  <w:jc w:val="center"/>
                  <w:rPr>
                    <w:b/>
                    <w:i/>
                    <w:szCs w:val="24"/>
                  </w:rPr>
                </w:pPr>
              </w:p>
              <w:p>
                <w:pPr>
                  <w:rPr>
                    <w:sz w:val="10"/>
                    <w:szCs w:val="10"/>
                  </w:rPr>
                </w:pPr>
              </w:p>
              <w:p>
                <w:pPr>
                  <w:ind w:left="180" w:firstLine="851"/>
                  <w:jc w:val="center"/>
                  <w:rPr>
                    <w:b/>
                    <w:i/>
                    <w:szCs w:val="24"/>
                  </w:rPr>
                </w:pPr>
              </w:p>
              <w:p>
                <w:pPr>
                  <w:rPr>
                    <w:sz w:val="10"/>
                    <w:szCs w:val="10"/>
                  </w:rPr>
                </w:pPr>
              </w:p>
              <w:p>
                <w:pPr>
                  <w:ind w:left="180" w:firstLine="1781"/>
                  <w:rPr>
                    <w:b/>
                    <w:i/>
                    <w:szCs w:val="24"/>
                  </w:rPr>
                </w:pPr>
              </w:p>
              <w:p>
                <w:pPr>
                  <w:rPr>
                    <w:sz w:val="10"/>
                    <w:szCs w:val="10"/>
                  </w:rPr>
                </w:pPr>
              </w:p>
              <w:p>
                <w:pPr>
                  <w:jc w:val="both"/>
                  <w:rPr>
                    <w:b/>
                    <w:i/>
                    <w:szCs w:val="24"/>
                  </w:rPr>
                </w:pPr>
              </w:p>
              <w:p>
                <w:pPr>
                  <w:jc w:val="center"/>
                  <w:rPr>
                    <w:szCs w:val="24"/>
                  </w:rPr>
                </w:pPr>
                <w:r>
                  <w:rPr>
                    <w:b/>
                    <w:i/>
                    <w:szCs w:val="24"/>
                  </w:rPr>
                  <w:t>14 pav.</w:t>
                </w:r>
                <w:r>
                  <w:rPr>
                    <w:b/>
                    <w:szCs w:val="24"/>
                  </w:rPr>
                  <w:t xml:space="preserve"> </w:t>
                </w:r>
                <w:r>
                  <w:rPr>
                    <w:szCs w:val="24"/>
                  </w:rPr>
                  <w:t>Alytaus rajono savivaldybės administracijos struktūra</w:t>
                </w:r>
              </w:p>
            </w:tc>
          </w:tr>
          <w:tr>
            <w:tc>
              <w:tcPr>
                <w:tcW w:w="4974" w:type="pct"/>
                <w:shd w:val="clear" w:color="auto" w:fill="auto"/>
              </w:tcPr>
              <w:p>
                <w:pPr>
                  <w:jc w:val="both"/>
                </w:pPr>
                <w:r>
                  <w:rPr>
                    <w:b/>
                    <w:szCs w:val="24"/>
                  </w:rPr>
                  <w:t xml:space="preserve">Žmogiškieji ištekliai (pareigybės, kvalifikacija). </w:t>
                </w:r>
                <w:r>
                  <w:t xml:space="preserve">Nuolat kintančioje aplinkoje formuojasi naujas požiūris į instituciją kaip veiklos sistemą, kurioje darbuotojai, tai yra žmogiškieji ištekliai, tampa svarbiausia ir aktyviąja sistemos dalimi, lemiančia institucijos veiklos efektyvumą. Žmogiškųjų išteklių efektyvus valdymas yra gyvybiškai svarbus veiksnys, siekiant savivaldybės tikslų bei naudos kiekvienam individui, organizacijai ir visuomenei. </w:t>
                </w:r>
              </w:p>
              <w:p>
                <w:pPr>
                  <w:ind w:firstLine="567"/>
                  <w:jc w:val="both"/>
                </w:pPr>
                <w:r>
                  <w:t xml:space="preserve">Alytaus rajono savivaldybės tarybos  2020 m. vasario 6 d. sprendimu K-11 nustatytas didžiausiais leistinas Alytaus rajono savivaldybės administracijos valstybės tarnautojų pareigybių ir darbuotojų dirbančių pagal darbo sutartis  ir gaunančių užmokestį iš savivaldybės biudžeto, skaičius – 189. Įsigalioja sprendimas 2020 m. birželio 1 d. </w:t>
                </w:r>
              </w:p>
              <w:p>
                <w:pPr>
                  <w:ind w:firstLine="567"/>
                  <w:jc w:val="both"/>
                  <w:rPr>
                    <w:b/>
                    <w:szCs w:val="24"/>
                  </w:rPr>
                </w:pPr>
                <w:r>
                  <w:t xml:space="preserve">Yra patvirtina mero, mero pavaduotojo, 2 mero patarėjo ir tarybos sekretoriaus (politinio asmeninio pasitikėjimo) pareigybės, kurios į bendrą administracijos patvirtintą etatų skaičių neįskaičiuojamos. </w:t>
                </w:r>
                <w:r>
                  <w:rPr>
                    <w:szCs w:val="24"/>
                  </w:rPr>
                  <w:t>Savivaldybės darbuotojams būtina tobulinti žmogiškųjų išteklių valdymą bei administracinius gebėjimus, todėl organizuojami įvairūs darbuotojų mokymai: stažuotės, seminarai, kvalifikacijos kėlimo renginiai.</w:t>
                </w:r>
              </w:p>
            </w:tc>
          </w:tr>
          <w:tr>
            <w:tc>
              <w:tcPr>
                <w:tcW w:w="4974" w:type="pct"/>
                <w:shd w:val="clear" w:color="auto" w:fill="auto"/>
              </w:tcPr>
              <w:p>
                <w:pPr>
                  <w:jc w:val="both"/>
                  <w:rPr>
                    <w:b/>
                    <w:szCs w:val="24"/>
                  </w:rPr>
                </w:pPr>
                <w:r>
                  <w:rPr>
                    <w:b/>
                    <w:szCs w:val="24"/>
                  </w:rPr>
                  <w:t xml:space="preserve">Planavimo sistema. </w:t>
                </w:r>
                <w:r>
                  <w:rPr>
                    <w:szCs w:val="24"/>
                  </w:rPr>
                  <w:t>Pagrindiniai planavimo dokumentai, kuriais vadovaujamasi planuojant rajono plėtrą ir savivaldybės veiklą, yra šie:</w:t>
                </w:r>
              </w:p>
              <w:p>
                <w:pPr>
                  <w:ind w:firstLine="454"/>
                  <w:jc w:val="both"/>
                  <w:rPr>
                    <w:b/>
                    <w:szCs w:val="24"/>
                  </w:rPr>
                </w:pPr>
                <w:r>
                  <w:rPr>
                    <w:szCs w:val="24"/>
                  </w:rPr>
                  <w:t></w:t>
                  <w:tab/>
                  <w:t xml:space="preserve">Alytaus rajono savivaldybės 2021–2028 m. strateginės plėtros planas, patvirtintas Savivaldybės tarybos 2020 m. gruodžio 28 d. sprendimu Nr. K-268 </w:t>
                </w:r>
                <w:r>
                  <w:rPr>
                    <w:szCs w:val="24"/>
                    <w:lang w:eastAsia="lt-LT"/>
                  </w:rPr>
                  <w:t xml:space="preserve">„Dėl Alytaus rajono savivaldybės </w:t>
                </w:r>
                <w:r>
                  <w:rPr>
                    <w:szCs w:val="24"/>
                  </w:rPr>
                  <w:t xml:space="preserve">2021–2028 </w:t>
                </w:r>
                <w:r>
                  <w:rPr>
                    <w:szCs w:val="24"/>
                    <w:lang w:eastAsia="lt-LT"/>
                  </w:rPr>
                  <w:t>metų strateginės plėtros plano patvirtinimo</w:t>
                </w:r>
                <w:r>
                  <w:rPr>
                    <w:szCs w:val="24"/>
                  </w:rPr>
                  <w:t>“. Plane išdėstyta rajono vizija, ilgalaikiai prioritetai, tikslai, uždaviniai ir veiksmai strategijai įgyvendinti;</w:t>
                </w:r>
              </w:p>
              <w:p>
                <w:pPr>
                  <w:ind w:firstLine="454"/>
                  <w:jc w:val="both"/>
                  <w:rPr>
                    <w:b/>
                    <w:szCs w:val="24"/>
                  </w:rPr>
                </w:pPr>
                <w:r>
                  <w:rPr>
                    <w:szCs w:val="24"/>
                  </w:rPr>
                  <w:t></w:t>
                  <w:tab/>
                  <w:t>Alytaus rajono savivaldybės teritorijos bendrasis planas. Pagrindinis teritorijų planavimo dokumentas, privalomas visoms institucijoms ir reglamentuojantis darnią savivaldybės teritorijų plėtrą;</w:t>
                </w:r>
              </w:p>
              <w:p>
                <w:pPr>
                  <w:ind w:firstLine="454"/>
                  <w:jc w:val="both"/>
                  <w:rPr>
                    <w:b/>
                    <w:szCs w:val="24"/>
                  </w:rPr>
                </w:pPr>
                <w:r>
                  <w:rPr>
                    <w:szCs w:val="24"/>
                  </w:rPr>
                  <w:t></w:t>
                  <w:tab/>
                  <w:t>Trimetis Savivaldybės strateginis veiklos planas (toliau – ARSVP). Savivaldybės strateginiai veiklos planai rengiami planuojant Savivaldybės veiklą ateinantiems trejiems metams ir kasmet atnaujinami;</w:t>
                </w:r>
              </w:p>
              <w:p>
                <w:pPr>
                  <w:ind w:firstLine="454"/>
                  <w:jc w:val="both"/>
                  <w:rPr>
                    <w:b/>
                    <w:szCs w:val="24"/>
                  </w:rPr>
                </w:pPr>
                <w:r>
                  <w:rPr>
                    <w:szCs w:val="24"/>
                  </w:rPr>
                  <w:t></w:t>
                  <w:tab/>
                  <w:t>Alytaus rajono savivaldybės administracijos ir seniūnijų metiniai veiklos planai, savivaldybės įstaigų metiniai planai;</w:t>
                </w:r>
              </w:p>
              <w:p>
                <w:pPr>
                  <w:ind w:firstLine="454"/>
                  <w:jc w:val="both"/>
                  <w:rPr>
                    <w:b/>
                    <w:szCs w:val="24"/>
                  </w:rPr>
                </w:pPr>
                <w:r>
                  <w:rPr>
                    <w:szCs w:val="24"/>
                  </w:rPr>
                  <w:t></w:t>
                  <w:tab/>
                  <w:t>Metinis savivaldybės biudžetas.</w:t>
                </w:r>
              </w:p>
              <w:p>
                <w:pPr>
                  <w:ind w:firstLine="567"/>
                  <w:jc w:val="both"/>
                  <w:rPr>
                    <w:szCs w:val="24"/>
                  </w:rPr>
                </w:pPr>
                <w:r>
                  <w:rPr>
                    <w:szCs w:val="24"/>
                  </w:rPr>
                  <w:t xml:space="preserve">Alytaus rajono savivaldybės strateginio planavimo organizavimo tvarkos aprašas, patvirtintas Alytaus rajono savivaldybės tarybos </w:t>
                </w:r>
                <w:r>
                  <w:rPr>
                    <w:szCs w:val="24"/>
                    <w:lang w:val="en-GB"/>
                  </w:rPr>
                  <w:t xml:space="preserve">2021 m. rugsėjo 16 d. </w:t>
                </w:r>
                <w:r>
                  <w:rPr>
                    <w:szCs w:val="24"/>
                  </w:rPr>
                  <w:t xml:space="preserve">sprendimu Nr. K-172 </w:t>
                </w:r>
                <w:r>
                  <w:rPr>
                    <w:szCs w:val="24"/>
                    <w:lang w:eastAsia="lt-LT"/>
                  </w:rPr>
                  <w:t>„Dėl Alytaus rajono savivaldybės strateginio planavimo organizavimo tvarkos aprašo patvirtinimo</w:t>
                </w:r>
                <w:r>
                  <w:rPr>
                    <w:szCs w:val="24"/>
                  </w:rPr>
                  <w:t>“.</w:t>
                </w:r>
                <w:r>
                  <w:rPr>
                    <w:b/>
                    <w:caps/>
                    <w:szCs w:val="24"/>
                  </w:rPr>
                  <w:t xml:space="preserve"> </w:t>
                </w:r>
                <w:r>
                  <w:rPr>
                    <w:szCs w:val="24"/>
                  </w:rPr>
                  <w:t xml:space="preserve">Šis tvarkos aprašas reglamentuoja kasmetinį Alytaus rajono savivaldybės trejų metų strateginio </w:t>
                </w:r>
                <w:r>
                  <w:rPr>
                    <w:bCs/>
                  </w:rPr>
                  <w:t xml:space="preserve">planavimo dokumentų ir jų įgyvendinimą detalizuojančių planavimo dokumentų rengimą, svarstymą ir tvirtinimą, įgyvendinimo stebėseną, numatytų pasiekti rezultatų vertinimą, ataskaitų dėl planavimo dokumentų įgyvendinimo rengimą ir svarstymą, savivaldybės gyventojų įtraukimą į jų rengimą, svarstymą ir įgyvendinimo priežiūrą, viešinimą. </w:t>
                </w:r>
                <w:r>
                  <w:rPr>
                    <w:szCs w:val="24"/>
                  </w:rPr>
                  <w:t>Tai dokumentas, sudarantis sąlygas koordinuoti ir kontroliuoti Alytaus rajono savivaldybės strateginių veiklos planų įgyvendinimą, vertinti strateginio veiklos plano įgyvendinimo poveikį rajonui, prireikus papildyti ar keisti Alytaus rajono savivaldybės strateginius veiklos planus. Taip pat šiame tvarkos apraše be strateginių veiklos planų rengimo, numatyta strateginių plėtros planų ir metinių planų rengimas ir koregavimas.</w:t>
                </w:r>
              </w:p>
            </w:tc>
          </w:tr>
          <w:tr>
            <w:tc>
              <w:tcPr>
                <w:tcW w:w="4974" w:type="pct"/>
                <w:shd w:val="clear" w:color="auto" w:fill="auto"/>
              </w:tcPr>
              <w:p>
                <w:pPr>
                  <w:jc w:val="both"/>
                  <w:rPr>
                    <w:b/>
                    <w:szCs w:val="24"/>
                  </w:rPr>
                </w:pPr>
                <w:r>
                  <w:rPr>
                    <w:b/>
                    <w:szCs w:val="24"/>
                  </w:rPr>
                  <w:t xml:space="preserve">Finansiniai ištekliai. </w:t>
                </w:r>
                <w:r>
                  <w:rPr>
                    <w:szCs w:val="24"/>
                  </w:rPr>
                  <w:t xml:space="preserve">Alytaus rajono savivaldybės strateginio veiklos plano programų įgyvendinimui naudojamas vienas iš pagrindinių finansavimo šaltinių – Alytaus rajono savivaldybės biudžeto lėšos (biudžetas ir tikslinės dotacijos). Tačiau kiekvienais metais įvairiems projektams įgyvendinti pritraukiamas finansavimas ir iš kitų šaltinių. Tai ES struktūrinių fondų ir programų lėšos, valstybės biudžeto lėšos. Kiekvienas asignavimų valdytojas yra atsakingas už teisingą programų sąmatų sudarymą ir vykdymą neviršijant patvirtintų asignavimų, už paskirtų asignavimų naudojimo teisėtumą ir efektyvumą. </w:t>
                </w:r>
              </w:p>
              <w:p>
                <w:pPr>
                  <w:ind w:firstLine="720"/>
                  <w:jc w:val="both"/>
                  <w:rPr>
                    <w:szCs w:val="24"/>
                  </w:rPr>
                </w:pPr>
                <w:r>
                  <w:rPr>
                    <w:szCs w:val="24"/>
                  </w:rPr>
                  <w:t>Alytaus rajono savivaldybės 2012–2021 metų biudžeto pajamas sudaro:</w:t>
                </w:r>
              </w:p>
              <w:p>
                <w:pPr>
                  <w:tabs>
                    <w:tab w:val="left" w:pos="360"/>
                  </w:tabs>
                  <w:ind w:firstLine="426"/>
                  <w:jc w:val="both"/>
                  <w:rPr>
                    <w:szCs w:val="24"/>
                  </w:rPr>
                </w:pPr>
                <w:r>
                  <w:rPr>
                    <w:szCs w:val="24"/>
                  </w:rPr>
                  <w:t></w:t>
                  <w:tab/>
                  <w:t>Mokesčiai. Pajamų ir pelno mokesčiai (gyventojų pajamų mokestis), turto mokesčiai (žemės mokestis, paveldimo turto mokestis, nekilnojamo turto mokestis), prekių ir paslaugų mokesčiai (mokesčiai už aplinkos teršimą, rinkliavos).</w:t>
                </w:r>
              </w:p>
              <w:p>
                <w:pPr>
                  <w:tabs>
                    <w:tab w:val="left" w:pos="360"/>
                  </w:tabs>
                  <w:ind w:firstLine="426"/>
                  <w:jc w:val="both"/>
                  <w:rPr>
                    <w:szCs w:val="24"/>
                  </w:rPr>
                </w:pPr>
                <w:r>
                  <w:rPr>
                    <w:szCs w:val="24"/>
                  </w:rPr>
                  <w:t></w:t>
                  <w:tab/>
                  <w:t>Dotacijos. Europos Sąjungos finansinės paramos lėšos, dotacijos iš kitų valdymo lygių.</w:t>
                </w:r>
              </w:p>
              <w:p>
                <w:pPr>
                  <w:tabs>
                    <w:tab w:val="left" w:pos="360"/>
                  </w:tabs>
                  <w:ind w:firstLine="426"/>
                  <w:jc w:val="both"/>
                  <w:rPr>
                    <w:szCs w:val="24"/>
                  </w:rPr>
                </w:pPr>
                <w:r>
                  <w:rPr>
                    <w:szCs w:val="24"/>
                  </w:rPr>
                  <w:t></w:t>
                  <w:tab/>
                  <w:t xml:space="preserve">Kitos pajamos. Turto pajamos, pajamos už prekes ir paslaugas, pajamos iš baudų ir konfiskacijos, kitos neišvardytos pajamos. </w:t>
                </w:r>
              </w:p>
              <w:p>
                <w:pPr>
                  <w:tabs>
                    <w:tab w:val="left" w:pos="360"/>
                  </w:tabs>
                  <w:ind w:firstLine="426"/>
                  <w:jc w:val="both"/>
                  <w:rPr>
                    <w:szCs w:val="24"/>
                  </w:rPr>
                </w:pPr>
                <w:r>
                  <w:rPr>
                    <w:szCs w:val="24"/>
                  </w:rPr>
                  <w:t></w:t>
                  <w:tab/>
                  <w:t>Materialiojo ir nematerialiojo turto realizavimo pajamos. Ilgalaikio materialiojo turto realizavimo pajamos (žemės ir žemės gelmių išteklių realizavimo pajamos).</w:t>
                </w:r>
              </w:p>
              <w:p>
                <w:pPr>
                  <w:ind w:firstLine="720"/>
                  <w:jc w:val="both"/>
                  <w:rPr>
                    <w:szCs w:val="24"/>
                  </w:rPr>
                </w:pPr>
                <w:r>
                  <w:rPr>
                    <w:szCs w:val="24"/>
                  </w:rPr>
                  <w:t>Didžiausią savivaldybės biudžeto pajamų dalį kasmet sudaro mokesčiai ir dotacijos. Biudžeto pajamos nuo 2010 iki 2012 metų didėjo, 2013 metais pastebimas sumažėjimas, tačiau 2014 metais biudžeto pajamos padidėjo 7,7 proc. lyginat su 2013 metais, kadangi buvo paimta paskola investicinių projektų įgyvendinimui. 2015 metais pastebimas pajamų sumažėjimas 10,3 proc. Lyginant 2017 su 2016 m. pajamų gavimas didesnis 1,8 proc. 2018-2021 m. laikotarpyje pastebimas biudžeto pajamų augimas, kurį labiausiai lėmė gaunama didesnė mokesčių dalis (žr. 17 pav.).</w:t>
                </w:r>
              </w:p>
              <w:p>
                <w:pPr>
                  <w:rPr>
                    <w:sz w:val="10"/>
                    <w:szCs w:val="10"/>
                  </w:rPr>
                </w:pPr>
              </w:p>
              <w:p>
                <w:pPr>
                  <w:jc w:val="center"/>
                  <w:rPr>
                    <w:szCs w:val="24"/>
                  </w:rPr>
                </w:pPr>
                <w:r>
                  <w:rPr>
                    <w:lang w:eastAsia="lt-LT"/>
                  </w:rPr>
                  <w:drawing>
                    <wp:inline distT="0" distB="0" distL="0" distR="0">
                      <wp:extent cx="4572000" cy="2743200"/>
                      <wp:effectExtent l="0" t="0" r="0" b="0"/>
                      <wp:docPr id="164" name="Diagrama 164"/>
                      <wp:cNvGraphicFramePr/>
                      <a:graphic xmlns:a="http://schemas.openxmlformats.org/drawingml/2006/main">
                        <a:graphicData uri="http://schemas.openxmlformats.org/drawingml/2006/chart">
                          <c:chart xmlns:c="http://schemas.openxmlformats.org/drawingml/2006/chart" r:id="rId53"/>
                        </a:graphicData>
                      </a:graphic>
                    </wp:inline>
                  </w:drawing>
                </w:r>
              </w:p>
              <w:p>
                <w:pPr>
                  <w:rPr>
                    <w:sz w:val="10"/>
                    <w:szCs w:val="10"/>
                  </w:rPr>
                </w:pPr>
              </w:p>
              <w:p>
                <w:pPr>
                  <w:ind w:left="-284"/>
                  <w:jc w:val="center"/>
                  <w:rPr>
                    <w:szCs w:val="24"/>
                  </w:rPr>
                </w:pPr>
                <w:r>
                  <w:rPr>
                    <w:b/>
                    <w:i/>
                    <w:szCs w:val="24"/>
                  </w:rPr>
                  <w:t>15 pav</w:t>
                </w:r>
                <w:r>
                  <w:rPr>
                    <w:i/>
                    <w:szCs w:val="24"/>
                  </w:rPr>
                  <w:t>.</w:t>
                </w:r>
                <w:r>
                  <w:rPr>
                    <w:szCs w:val="24"/>
                  </w:rPr>
                  <w:t xml:space="preserve"> Alytaus rajono savivaldybės biudžeto pajamų kitimas 2012–2022 metais, tūkst. Eur</w:t>
                </w:r>
              </w:p>
              <w:p>
                <w:pPr>
                  <w:snapToGrid w:val="0"/>
                  <w:spacing w:line="360" w:lineRule="auto"/>
                  <w:jc w:val="center"/>
                  <w:rPr>
                    <w:sz w:val="20"/>
                    <w:szCs w:val="24"/>
                  </w:rPr>
                </w:pPr>
                <w:r>
                  <w:rPr>
                    <w:sz w:val="20"/>
                    <w:szCs w:val="24"/>
                  </w:rPr>
                  <w:t>Šaltinis: Alytaus rajono savivaldybės administracija, 2022</w:t>
                </w:r>
              </w:p>
              <w:p>
                <w:pPr>
                  <w:ind w:firstLine="567"/>
                  <w:jc w:val="both"/>
                  <w:rPr>
                    <w:bCs/>
                    <w:lang w:val="en-GB"/>
                  </w:rPr>
                </w:pPr>
                <w:r>
                  <w:rPr>
                    <w:bCs/>
                    <w:lang w:val="en-GB"/>
                  </w:rPr>
                  <w:t xml:space="preserve">Alytaus rajono savivaldybės biudžetas 2021 m. gavo 31 mln. 596,4 tūkst. eurų pajamų. Iš jų gyventojų pajamų mokesčio gauta 17 mln. 146,1 tūkst. eurų, turto mokesčių – 1mln. 17 tūkst. eurų, 44,2 tūkst. eurų gauta prekių ir paslaugų mokesčių t. y. mokesčiai už aplinkos teršimą. 11 mln. 734,1 tūkst. eurų gauta tikslinių dotacijų. Iš šių dotacijų 4 mln. 181,1 tūkst. eurų skirta mokinio krepšeliui finansuoti, 3 mln. 71,6 tūkst. eurų valstybinėms (valstybės perduotoms savivaldybėms) funkcijoms atlikti,  88,5 tūkst. eurų savivaldybės vietinės reikšmės keliams  (gatvėms) tiesti, taisyti, prižiūrėti ir saugaus eismo sąlygoms užtikrinti, iš apskrities perimtoms įstaigoms išlaikyti – 210,2 tūkst. eurų.</w:t>
                </w:r>
              </w:p>
              <w:p>
                <w:pPr>
                  <w:ind w:firstLine="720"/>
                  <w:jc w:val="both"/>
                  <w:rPr>
                    <w:bCs/>
                    <w:lang w:val="en-GB"/>
                  </w:rPr>
                </w:pPr>
                <w:r>
                  <w:rPr>
                    <w:bCs/>
                    <w:lang w:val="en-GB"/>
                  </w:rPr>
                  <w:t xml:space="preserve">666,4 tūkst. eurų gauta iš Europos Sąjungos, kitos tarptautinės finansinės paramos  ir bendrojo finansavimo lėšų einamiesiems tikslams. </w:t>
                </w:r>
              </w:p>
              <w:p>
                <w:pPr>
                  <w:ind w:firstLine="567"/>
                  <w:jc w:val="both"/>
                  <w:rPr>
                    <w:bCs/>
                    <w:szCs w:val="26"/>
                    <w:lang w:val="en-GB" w:eastAsia="lt-LT"/>
                  </w:rPr>
                </w:pPr>
                <w:r>
                  <w:rPr>
                    <w:bCs/>
                    <w:lang w:val="en-GB"/>
                  </w:rPr>
                  <w:t>Kitų dotacijų einamiesiems tikslams gauta 1 mln. 161 tūkst. eurų,</w:t>
                </w:r>
                <w:r>
                  <w:rPr>
                    <w:b/>
                    <w:bCs/>
                    <w:lang w:val="en-GB"/>
                  </w:rPr>
                  <w:t xml:space="preserve"> </w:t>
                </w:r>
                <w:r>
                  <w:rPr>
                    <w:bCs/>
                    <w:lang w:val="en-GB"/>
                  </w:rPr>
                  <w:t xml:space="preserve">iš jų: </w:t>
                </w:r>
                <w:r>
                  <w:rPr>
                    <w:b/>
                    <w:bCs/>
                    <w:iCs/>
                    <w:szCs w:val="24"/>
                    <w:lang w:val="en-GB"/>
                  </w:rPr>
                  <w:t>12,1</w:t>
                </w:r>
                <w:r>
                  <w:rPr>
                    <w:iCs/>
                    <w:szCs w:val="24"/>
                    <w:lang w:val="en-GB"/>
                  </w:rPr>
                  <w:t xml:space="preserve"> tūkst. eurų – v</w:t>
                </w:r>
                <w:r>
                  <w:rPr>
                    <w:szCs w:val="24"/>
                    <w:lang w:val="en-GB"/>
                  </w:rPr>
                  <w:t xml:space="preserve">alstybės biudžeto lėšos skirtos išlaidoms susijusioms su pedagoginių darbuotojų skaičiaus optimizavimu, </w:t>
                </w:r>
                <w:r>
                  <w:rPr>
                    <w:b/>
                    <w:bCs/>
                    <w:szCs w:val="24"/>
                    <w:lang w:val="en-GB"/>
                  </w:rPr>
                  <w:t>40,2</w:t>
                </w:r>
                <w:r>
                  <w:rPr>
                    <w:szCs w:val="24"/>
                    <w:lang w:val="en-GB"/>
                  </w:rPr>
                  <w:t xml:space="preserve"> tūkst. eurų – lėšos siekiant šalinti COVID-19 ligos padarinius ir valdyti jos plitimą esant valstybės lygio ekstremaliajai situacijai, </w:t>
                </w:r>
                <w:r>
                  <w:rPr>
                    <w:b/>
                    <w:bCs/>
                    <w:szCs w:val="24"/>
                    <w:lang w:val="en-GB"/>
                  </w:rPr>
                  <w:t>41,1</w:t>
                </w:r>
                <w:r>
                  <w:rPr>
                    <w:szCs w:val="24"/>
                    <w:lang w:val="en-GB"/>
                  </w:rPr>
                  <w:t xml:space="preserve"> tūkst. eurų – </w:t>
                </w:r>
                <w:r>
                  <w:rPr>
                    <w:bCs/>
                    <w:szCs w:val="24"/>
                    <w:lang w:val="en-GB"/>
                  </w:rPr>
                  <w:t xml:space="preserve">mokymo lėšos skaitmeninio ugdymo plėtrai finansuoti, </w:t>
                </w:r>
                <w:r>
                  <w:rPr>
                    <w:b/>
                    <w:szCs w:val="24"/>
                    <w:lang w:val="en-GB"/>
                  </w:rPr>
                  <w:t>34,9</w:t>
                </w:r>
                <w:r>
                  <w:rPr>
                    <w:bCs/>
                    <w:szCs w:val="24"/>
                    <w:lang w:val="en-GB"/>
                  </w:rPr>
                  <w:t xml:space="preserve"> tūkst. eurų – akredituotai vaikų dienos socialinei priežiūrai organizuoti, </w:t>
                </w:r>
                <w:r>
                  <w:rPr>
                    <w:b/>
                    <w:szCs w:val="24"/>
                    <w:lang w:val="en-GB"/>
                  </w:rPr>
                  <w:t>19,0</w:t>
                </w:r>
                <w:r>
                  <w:rPr>
                    <w:bCs/>
                    <w:szCs w:val="24"/>
                    <w:lang w:val="en-GB"/>
                  </w:rPr>
                  <w:t xml:space="preserve"> tūkst. eurų – kultūros ir meno darbuotojų darbo užmokesčiui didinti, </w:t>
                </w:r>
                <w:r>
                  <w:rPr>
                    <w:b/>
                    <w:szCs w:val="24"/>
                    <w:lang w:val="en-GB"/>
                  </w:rPr>
                  <w:t>107,1</w:t>
                </w:r>
                <w:r>
                  <w:rPr>
                    <w:bCs/>
                    <w:szCs w:val="24"/>
                    <w:lang w:val="en-GB"/>
                  </w:rPr>
                  <w:t xml:space="preserve"> tūkst. eurų – </w:t>
                </w:r>
                <w:r>
                  <w:rPr>
                    <w:bCs/>
                    <w:szCs w:val="26"/>
                    <w:lang w:val="en-GB" w:eastAsia="lt-LT"/>
                  </w:rPr>
                  <w:t xml:space="preserve">asmens sveikatos priežiūros įstaigų patirtoms išlaidoms už skiepijimo nuo COVID-19 ligos (koronaviruso infekcijos) paslaugas kompensuoti, </w:t>
                </w:r>
                <w:r>
                  <w:rPr>
                    <w:b/>
                    <w:szCs w:val="26"/>
                    <w:lang w:val="en-GB" w:eastAsia="lt-LT"/>
                  </w:rPr>
                  <w:t>278,0</w:t>
                </w:r>
                <w:r>
                  <w:rPr>
                    <w:bCs/>
                    <w:szCs w:val="26"/>
                    <w:lang w:val="en-GB" w:eastAsia="lt-LT"/>
                  </w:rPr>
                  <w:t xml:space="preserve"> tūkst. eurų – lėšos asmens sveikatos priežiūros įstaigų patirtoms darbo užmokesčio išlaidoms kompensuoti, </w:t>
                </w:r>
                <w:r>
                  <w:rPr>
                    <w:b/>
                    <w:szCs w:val="26"/>
                    <w:lang w:val="en-GB" w:eastAsia="lt-LT"/>
                  </w:rPr>
                  <w:t>26,4</w:t>
                </w:r>
                <w:r>
                  <w:rPr>
                    <w:bCs/>
                    <w:szCs w:val="26"/>
                    <w:lang w:val="en-GB" w:eastAsia="lt-LT"/>
                  </w:rPr>
                  <w:t xml:space="preserve"> tūkst. eurų – asmens sveikatos priežiūros įstaigų patirtoms išlaidoms už ėminių COVID-19 ligos tyrimui ar greitajam testui mobiliuosiuose punktuose paslaugas kompensuoti, </w:t>
                </w:r>
                <w:r>
                  <w:rPr>
                    <w:b/>
                    <w:szCs w:val="26"/>
                    <w:lang w:val="en-GB" w:eastAsia="lt-LT"/>
                  </w:rPr>
                  <w:t>1,2</w:t>
                </w:r>
                <w:r>
                  <w:rPr>
                    <w:bCs/>
                    <w:szCs w:val="26"/>
                    <w:lang w:val="en-GB" w:eastAsia="lt-LT"/>
                  </w:rPr>
                  <w:t xml:space="preserve"> tūkst. eurų lėšos skirtos tiesioginėms konsultacijoms mokiniams, pasirinkusiems laikyti brandos egzaminus 2021 metais ir patyrusiems mokymosi praradimų dėl COVID-19 pandemijos, </w:t>
                </w:r>
                <w:r>
                  <w:rPr>
                    <w:b/>
                    <w:szCs w:val="26"/>
                    <w:lang w:val="en-GB" w:eastAsia="lt-LT"/>
                  </w:rPr>
                  <w:t>26,0</w:t>
                </w:r>
                <w:r>
                  <w:rPr>
                    <w:bCs/>
                    <w:szCs w:val="26"/>
                    <w:lang w:val="en-GB" w:eastAsia="lt-LT"/>
                  </w:rPr>
                  <w:t xml:space="preserve"> tūkst. eurų – konsultacijoms mokiniams, patiriantiems mokymosi sunkumų, </w:t>
                </w:r>
                <w:r>
                  <w:rPr>
                    <w:b/>
                    <w:szCs w:val="26"/>
                    <w:lang w:val="en-GB" w:eastAsia="lt-LT"/>
                  </w:rPr>
                  <w:t>19,4</w:t>
                </w:r>
                <w:r>
                  <w:rPr>
                    <w:bCs/>
                    <w:szCs w:val="26"/>
                    <w:lang w:val="en-GB" w:eastAsia="lt-LT"/>
                  </w:rPr>
                  <w:t xml:space="preserve"> tūkst. eurų – lėšos naujoms mokytojų padėjėjų pareigybėms įsteigti, </w:t>
                </w:r>
                <w:r>
                  <w:rPr>
                    <w:b/>
                    <w:szCs w:val="26"/>
                    <w:lang w:val="en-GB" w:eastAsia="lt-LT"/>
                  </w:rPr>
                  <w:t>78,2</w:t>
                </w:r>
                <w:r>
                  <w:rPr>
                    <w:bCs/>
                    <w:szCs w:val="26"/>
                    <w:lang w:val="en-GB" w:eastAsia="lt-LT"/>
                  </w:rPr>
                  <w:t xml:space="preserve"> tūkst. eurų – neformaliam vaikų švietimui, </w:t>
                </w:r>
                <w:r>
                  <w:rPr>
                    <w:b/>
                    <w:szCs w:val="26"/>
                    <w:lang w:val="en-GB" w:eastAsia="lt-LT"/>
                  </w:rPr>
                  <w:t>152,4</w:t>
                </w:r>
                <w:r>
                  <w:rPr>
                    <w:bCs/>
                    <w:szCs w:val="26"/>
                    <w:lang w:val="en-GB" w:eastAsia="lt-LT"/>
                  </w:rPr>
                  <w:t xml:space="preserve"> tūkst. eurų – savivaldybės biudžeto negautoms pajamoms padengti, </w:t>
                </w:r>
                <w:r>
                  <w:rPr>
                    <w:b/>
                    <w:szCs w:val="26"/>
                    <w:lang w:val="en-GB" w:eastAsia="lt-LT"/>
                  </w:rPr>
                  <w:t>15,9</w:t>
                </w:r>
                <w:r>
                  <w:rPr>
                    <w:bCs/>
                    <w:szCs w:val="26"/>
                    <w:lang w:val="en-GB" w:eastAsia="lt-LT"/>
                  </w:rPr>
                  <w:t xml:space="preserve"> tūkst. eurų – socialinių paslaugų įstaigų ir socialinių paslaugų srities darbuotojų darbo užmokesčiui didinti, </w:t>
                </w:r>
                <w:r>
                  <w:rPr>
                    <w:b/>
                    <w:szCs w:val="26"/>
                    <w:lang w:val="en-GB" w:eastAsia="lt-LT"/>
                  </w:rPr>
                  <w:t>18,8</w:t>
                </w:r>
                <w:r>
                  <w:rPr>
                    <w:bCs/>
                    <w:szCs w:val="26"/>
                    <w:lang w:val="en-GB" w:eastAsia="lt-LT"/>
                  </w:rPr>
                  <w:t xml:space="preserve"> tūkst. eurų – lėšos skirtos bendruomeninei veiklai stiprinti savivaldybėje, </w:t>
                </w:r>
                <w:r>
                  <w:rPr>
                    <w:b/>
                    <w:szCs w:val="26"/>
                    <w:lang w:val="en-GB" w:eastAsia="lt-LT"/>
                  </w:rPr>
                  <w:t>83,1</w:t>
                </w:r>
                <w:r>
                  <w:rPr>
                    <w:bCs/>
                    <w:szCs w:val="26"/>
                    <w:lang w:val="en-GB" w:eastAsia="lt-LT"/>
                  </w:rPr>
                  <w:t xml:space="preserve"> tūkst. eurų – patirtoms išlaidoms vykdant įsipareigojimus vietinio transporto vežėjams ir </w:t>
                </w:r>
                <w:r>
                  <w:rPr>
                    <w:b/>
                    <w:szCs w:val="26"/>
                    <w:lang w:val="en-GB" w:eastAsia="lt-LT"/>
                  </w:rPr>
                  <w:t>207,2</w:t>
                </w:r>
                <w:r>
                  <w:rPr>
                    <w:bCs/>
                    <w:szCs w:val="26"/>
                    <w:lang w:val="en-GB" w:eastAsia="lt-LT"/>
                  </w:rPr>
                  <w:t xml:space="preserve"> tūkst. eurų – išlaidoms esant ekstremaliajai situacijai, paskelbtai visoje šalyje dėl masinio užsieniečių antplūdžio  kompensuoti.</w:t>
                </w:r>
              </w:p>
              <w:p>
                <w:pPr>
                  <w:ind w:firstLine="720"/>
                  <w:jc w:val="both"/>
                  <w:rPr>
                    <w:lang w:val="en-GB"/>
                  </w:rPr>
                </w:pPr>
                <w:r>
                  <w:rPr>
                    <w:szCs w:val="24"/>
                    <w:lang w:val="en-GB"/>
                  </w:rPr>
                  <w:t xml:space="preserve">Speciali tikslinė dotacija savivaldybės turtui įsigyti – 1 670,5 tūkst. eurų, t. y. lėšos vietinės reikšmės keliams tiesti, taisyti bei prižiūrėti. </w:t>
                </w:r>
              </w:p>
              <w:p>
                <w:pPr>
                  <w:ind w:firstLine="720"/>
                  <w:jc w:val="both"/>
                  <w:rPr>
                    <w:szCs w:val="24"/>
                    <w:lang w:val="en-GB"/>
                  </w:rPr>
                </w:pPr>
                <w:r>
                  <w:rPr>
                    <w:szCs w:val="24"/>
                    <w:lang w:val="en-GB"/>
                  </w:rPr>
                  <w:t>Dotacija iš Europos Sąjungos, kitos tarptautinės finansinės paramos ir bendrojo finansavimo lėšų turtui įsigyti – 654,6 tūkst. eurų.</w:t>
                </w:r>
              </w:p>
              <w:p>
                <w:pPr>
                  <w:ind w:firstLine="567"/>
                  <w:jc w:val="both"/>
                  <w:rPr>
                    <w:szCs w:val="24"/>
                    <w:lang w:val="en-GB"/>
                  </w:rPr>
                </w:pPr>
                <w:r>
                  <w:rPr>
                    <w:szCs w:val="24"/>
                    <w:lang w:val="en-GB"/>
                  </w:rPr>
                  <w:t>Kitos dotacijos turtui įsigyti – 30,2 tūkst. eurų – savivaldybių viešosioms bibliotekoms dokumentams įsigyti.</w:t>
                </w:r>
              </w:p>
              <w:p>
                <w:pPr>
                  <w:ind w:firstLine="567"/>
                  <w:jc w:val="both"/>
                  <w:rPr>
                    <w:bCs/>
                    <w:lang w:val="en-GB"/>
                  </w:rPr>
                </w:pPr>
              </w:p>
              <w:p>
                <w:pPr>
                  <w:ind w:firstLine="567"/>
                  <w:jc w:val="both"/>
                  <w:rPr>
                    <w:bCs/>
                    <w:lang w:val="en-GB"/>
                  </w:rPr>
                </w:pPr>
                <w:r>
                  <w:rPr>
                    <w:bCs/>
                    <w:lang w:val="en-GB"/>
                  </w:rPr>
                  <w:t>Kitų pajamų gauta 1 mln. 584,9 tūkst. eurų, iš jų didžiausią dalį</w:t>
                </w:r>
                <w:r>
                  <w:rPr>
                    <w:b/>
                    <w:bCs/>
                    <w:lang w:val="en-GB"/>
                  </w:rPr>
                  <w:t xml:space="preserve"> </w:t>
                </w:r>
                <w:r>
                  <w:rPr>
                    <w:bCs/>
                    <w:lang w:val="en-GB"/>
                  </w:rPr>
                  <w:t xml:space="preserve">1 mln. 434 tūkst. eurų sudaro pajamos už prekes ir paslaugas, iš jų: 791,4 tūkst. eurų vietinė rinkliava už atliekų surinkimą. </w:t>
                </w:r>
                <w:r>
                  <w:rPr>
                    <w:b/>
                    <w:bCs/>
                    <w:lang w:val="en-GB"/>
                  </w:rPr>
                  <w:t xml:space="preserve"> </w:t>
                </w:r>
                <w:r>
                  <w:rPr>
                    <w:bCs/>
                    <w:lang w:val="en-GB"/>
                  </w:rPr>
                  <w:t>Materialiojo ir nematerialiojo turto realizavimo pajamų gauta 70,1 tūkst. eurų, iš jų: 3,9 tūkst. eurų už parduotą valstybinę žemę, 66,2 tūkst. eurų infrastruktūros ir kitų statinių realizavimo pajamos. Savivaldybės biudžeto pajamų planas įvykdytas 107,7 proc., gauta 2 mln. 268,1 tūkst. eurų daugiau nei planuota.</w:t>
                </w:r>
              </w:p>
              <w:p>
                <w:pPr>
                  <w:ind w:firstLine="567"/>
                  <w:jc w:val="center"/>
                  <w:rPr>
                    <w:lang w:val="en-GB"/>
                  </w:rPr>
                </w:pPr>
                <w:r>
                  <w:rPr>
                    <w:lang w:eastAsia="lt-LT"/>
                  </w:rPr>
                  <w:drawing>
                    <wp:inline distT="0" distB="0" distL="0" distR="0">
                      <wp:extent cx="4572000" cy="2743200"/>
                      <wp:effectExtent l="0" t="0" r="0" b="0"/>
                      <wp:docPr id="165" name="Diagrama 165"/>
                      <wp:cNvGraphicFramePr/>
                      <a:graphic xmlns:a="http://schemas.openxmlformats.org/drawingml/2006/main">
                        <a:graphicData uri="http://schemas.openxmlformats.org/drawingml/2006/chart">
                          <c:chart xmlns:c="http://schemas.openxmlformats.org/drawingml/2006/chart" r:id="rId54"/>
                        </a:graphicData>
                      </a:graphic>
                    </wp:inline>
                  </w:drawing>
                </w:r>
              </w:p>
              <w:p>
                <w:pPr>
                  <w:tabs>
                    <w:tab w:val="left" w:pos="851"/>
                  </w:tabs>
                  <w:jc w:val="center"/>
                  <w:rPr>
                    <w:szCs w:val="24"/>
                  </w:rPr>
                </w:pPr>
                <w:r>
                  <w:rPr>
                    <w:b/>
                    <w:i/>
                    <w:szCs w:val="24"/>
                  </w:rPr>
                  <w:t>16 pav.</w:t>
                </w:r>
                <w:r>
                  <w:rPr>
                    <w:szCs w:val="24"/>
                  </w:rPr>
                  <w:t xml:space="preserve"> Alytaus rajono savivaldybės planuotos ir faktinės biudžeto pajamos 2021 m. (tūkst. Eur)</w:t>
                </w:r>
              </w:p>
              <w:p>
                <w:pPr>
                  <w:snapToGrid w:val="0"/>
                  <w:spacing w:line="360" w:lineRule="auto"/>
                  <w:jc w:val="center"/>
                  <w:rPr>
                    <w:sz w:val="20"/>
                    <w:szCs w:val="24"/>
                    <w:lang w:eastAsia="lt-LT"/>
                  </w:rPr>
                </w:pPr>
                <w:r>
                  <w:rPr>
                    <w:sz w:val="20"/>
                    <w:szCs w:val="24"/>
                  </w:rPr>
                  <w:t>Šaltinis: Alytaus rajono savivaldybės administracija, 2022</w:t>
                </w:r>
              </w:p>
              <w:p>
                <w:pPr>
                  <w:ind w:firstLine="682"/>
                  <w:jc w:val="both"/>
                  <w:rPr>
                    <w:bCs/>
                    <w:lang w:val="en-GB"/>
                  </w:rPr>
                </w:pPr>
              </w:p>
              <w:p>
                <w:pPr>
                  <w:ind w:firstLine="709"/>
                  <w:jc w:val="both"/>
                  <w:rPr>
                    <w:lang w:val="en-GB"/>
                  </w:rPr>
                </w:pPr>
                <w:r>
                  <w:rPr>
                    <w:lang w:val="en-GB"/>
                  </w:rPr>
                  <w:t xml:space="preserve">Savivaldybės biudžeto faktinės išlaidos sudarė 31055,1 tūkst. Eur (žr. 16 pav.). 2021 metais daugiausia išlaidų – 27,7 proc. buvo panaudota rajono infrastruktūros objektų ir būsto priežiūrai, modernizavimui ir plėtrai, 24 proc. – švietimui, 17,3 proc. – socialinei apsaugai, 15,3 proc. - savivaldybės veiklos užtikrinimui ir  pagrindinių funkcijų vykdymui, 5,9 proc. – aplinkos ir kraštovaizdžio apsaugai ir žemės ūkio plėtrai bei  5,1 proc. – investcijoms ir sąlųgų verslo plėtrai gerinimui. </w:t>
                </w:r>
              </w:p>
            </w:tc>
          </w:tr>
          <w:tr>
            <w:tc>
              <w:tcPr>
                <w:tcW w:w="4974" w:type="pct"/>
                <w:shd w:val="clear" w:color="auto" w:fill="auto"/>
              </w:tcPr>
              <w:p>
                <w:pPr>
                  <w:jc w:val="both"/>
                  <w:rPr>
                    <w:b/>
                    <w:szCs w:val="24"/>
                  </w:rPr>
                </w:pPr>
                <w:r>
                  <w:rPr>
                    <w:b/>
                    <w:szCs w:val="24"/>
                  </w:rPr>
                  <w:t xml:space="preserve">Apskaitos tinkamumas. </w:t>
                </w:r>
                <w:r>
                  <w:rPr>
                    <w:szCs w:val="24"/>
                  </w:rPr>
                  <w:t>Alytaus rajono savivaldybėje apskaita tvarkoma Lietuvos Respublikos teisės aktų nustatyta tvarka. Nuo 2010 m. sausio 1 d. apskaita Savivaldybėje tvarkoma ir finansinės ataskaitos rengiamos pagal viešojo sektoriaus apskaitos ir finansinės atskaitomybės standartus (VSAFAS).</w:t>
                </w:r>
              </w:p>
            </w:tc>
          </w:tr>
          <w:tr>
            <w:tc>
              <w:tcPr>
                <w:tcW w:w="4974" w:type="pct"/>
                <w:shd w:val="clear" w:color="auto" w:fill="auto"/>
              </w:tcPr>
              <w:p>
                <w:pPr>
                  <w:jc w:val="both"/>
                  <w:rPr>
                    <w:b/>
                    <w:szCs w:val="24"/>
                  </w:rPr>
                </w:pPr>
                <w:r>
                  <w:rPr>
                    <w:b/>
                    <w:szCs w:val="24"/>
                  </w:rPr>
                  <w:t xml:space="preserve">Ryšių sistema, informacinės ir komunikavimo sistemos. </w:t>
                </w:r>
                <w:r>
                  <w:rPr>
                    <w:szCs w:val="24"/>
                  </w:rPr>
                  <w:t xml:space="preserve">Alytaus rajono savivaldybės įvaizdžio formavimui reikšminga savivaldybės </w:t>
                </w:r>
                <w:r>
                  <w:t xml:space="preserve">interneto svetainės </w:t>
                </w:r>
                <w:r>
                  <w:rPr>
                    <w:szCs w:val="24"/>
                    <w:u w:val="single"/>
                  </w:rPr>
                  <w:t>www.arsa.lt</w:t>
                </w:r>
                <w:r>
                  <w:rPr>
                    <w:szCs w:val="24"/>
                  </w:rPr>
                  <w:t xml:space="preserve">, kuri nuolat atnaujinama. </w:t>
                </w:r>
                <w:r>
                  <w:t xml:space="preserve">Interneto svetainės skyriuje „Savivaldybės informacija“ skelbiami savivaldybės informaciniai pranešimai, „Naujienos“ – savivaldybės įmonių, įstaigų ir bendruomenių informaciniai pranešimai, skyriuje „Skelbimai“ – savivaldybės, savivaldybės įmonių ir įstaigų skelbimai.  Savivaldybė kaip komunikacijos kanalą naudoja socialinį tinklą „Facebook“. </w:t>
                </w:r>
              </w:p>
              <w:p>
                <w:pPr>
                  <w:jc w:val="both"/>
                  <w:rPr>
                    <w:szCs w:val="24"/>
                  </w:rPr>
                </w:pPr>
                <w:r>
                  <w:rPr>
                    <w:szCs w:val="24"/>
                  </w:rPr>
                  <w:t>Siekiant gerinti gyventojų aptarnavimą Savivaldybės administracijoje, ir toliau planuojama modernizuoti informacines sistemas ir plėsti e. paslaugų spektrą pasinaudojant ES parama. 2010 m. buvo pradėtas projektų vykdymas: „Savivaldybės finansinių išteklių valdymo tobulinimas diegiant šiuolaikiškas informacines sistemas (VSAFAS)“, „Savivaldybės teikiamų elektroninių paslaugų (e. demokratijos, „vieno langelio“ principo tobulinimas) plėtra“. Įgyvendinus projektus, buvo patobulinta biudžeto planavimo, konsolidavimo ir vykdymo kontrolės informacinė sistema, įdiegti nauji moduliai bei išplėstas esamų modulių funkcionalumas, patobulinta dokumentų paieška su aktualia redakcija. Sudaryta galimybė transliuoti savivaldybės tarybos posėdžius.</w:t>
                </w:r>
              </w:p>
              <w:p>
                <w:pPr>
                  <w:jc w:val="both"/>
                </w:pPr>
                <w:r>
                  <w:t>Atnaujinta savivaldybės administracijos Architekto skyriuje naudojama geografinės informacinės sistemos (GIS) programinė įranga. Įsigyta nauja ArcGIS versija, leisianti vartotojams naudotis bet kokiais geografinės informacinės sistemos šaltiniais, t. y.</w:t>
                </w:r>
                <w:r>
                  <w:rPr>
                    <w:shd w:val="clear" w:color="auto" w:fill="FFFFFF"/>
                  </w:rPr>
                  <w:t xml:space="preserve"> žemėlapiais, geoduomenų bazėmis, vaizdiniais duomenimis, įrankiais ir t. t. bei</w:t>
                </w:r>
                <w:r>
                  <w:t xml:space="preserve"> visa tai panaudoti bendram veiklos koordinavimui, skaidrumo ir sklandaus pasidalijimo informacija užtikrinimui, sąnaudų mažinimui ir kitų uždavinių sprendimui, efektyvesniam  savivaldybės specialistų bendradarbiavimui. ArcGIS suteikia galimybę kurti žemėlapius bei atlikti geoerdvinę analizę didesniam ratui žmonių, suteiks galimybę  rajono gyventojams surasti daugiau aktualios informacijos  viešinamais žemėlapiais. Parengtas interaktyvus rajono savivaldybės trimatis žemėlapis, leidžiantis matyti rajoną trimatėje erdvėje. Atnaujinta programinė įranga leidžia rinkti duomenis rajono teritorijoje ir  tuo pačiu metu juos publikuoti žemėlapiuose.</w:t>
                </w:r>
              </w:p>
            </w:tc>
          </w:tr>
          <w:tr>
            <w:tc>
              <w:tcPr>
                <w:tcW w:w="4974" w:type="pct"/>
                <w:shd w:val="clear" w:color="auto" w:fill="auto"/>
              </w:tcPr>
              <w:p>
                <w:pPr>
                  <w:jc w:val="both"/>
                  <w:rPr>
                    <w:b/>
                    <w:szCs w:val="24"/>
                  </w:rPr>
                </w:pPr>
                <w:r>
                  <w:rPr>
                    <w:b/>
                    <w:szCs w:val="24"/>
                  </w:rPr>
                  <w:t xml:space="preserve">Vidaus darbo kontrolė. </w:t>
                </w:r>
                <w:r>
                  <w:rPr>
                    <w:szCs w:val="24"/>
                  </w:rPr>
                  <w:t xml:space="preserve">Alytaus rajono savivaldybės administracijoje veikia savivaldybės kontrolės ir audito tarnyba. Jų veiklos tikslas – sistemingai ir visapusiškai vertinti rizikos valdymą ir vidaus kontrolę, padėti įgyvendinti viešojo juridinio asmens, jam pavaldžių ir jo valdymo sričiai priskirtų viešųjų juridinių asmenų veiklos tikslus. </w:t>
                </w:r>
              </w:p>
              <w:p>
                <w:pPr>
                  <w:ind w:firstLine="460"/>
                  <w:jc w:val="both"/>
                  <w:rPr>
                    <w:szCs w:val="24"/>
                    <w:lang w:eastAsia="lt-LT"/>
                  </w:rPr>
                </w:pPr>
                <w:r>
                  <w:rPr>
                    <w:szCs w:val="24"/>
                  </w:rPr>
                  <w:t xml:space="preserve">Pagrindiniai uždaviniai – nustatyti, </w:t>
                </w:r>
                <w:r>
                  <w:rPr>
                    <w:szCs w:val="24"/>
                    <w:lang w:eastAsia="lt-LT"/>
                  </w:rPr>
                  <w:t>ar viešasis juridinis asmuo savo veikloje laikosi teisės norminių aktų, patarti viešojo juridinio asmens vadovui, kaip mažinti rizikos veiksnių įtaką viešojo juridinio asmens veiklai bei teikti rekomendacijas dėl viešojo juridinio asmens veiklos ir vidaus kontrolės tobulinimo, vertinti viešojo juridinio asmens strateginių arba kitų veiklos planų, programų vykdymą bei valstybės ir savivaldybės turto naudojimą ekonomiškumo, efektyvumo ir rezultatyvumo požiūriais bei lėšų, gautų iš Europos Sąjungos bei užsienio institucijų ar fondų, administravimą ir panaudojimą.</w:t>
                </w:r>
              </w:p>
              <w:p>
                <w:pPr>
                  <w:ind w:firstLine="601"/>
                  <w:jc w:val="both"/>
                  <w:rPr>
                    <w:szCs w:val="24"/>
                    <w:lang w:eastAsia="lt-LT"/>
                  </w:rPr>
                </w:pPr>
                <w:r>
                  <w:rPr>
                    <w:szCs w:val="24"/>
                    <w:lang w:eastAsia="lt-LT"/>
                  </w:rPr>
                  <w:t>Centralizuota vidaus audito ir kontrolės tarnyba, savo veikloje vadovaujasi Vidaus kontrolės ir vidaus audito įstatymo nuostatomis bei kitais teisės aktais, reglamentuojančiais vidaus auditą.</w:t>
                </w:r>
              </w:p>
              <w:p>
                <w:pPr>
                  <w:ind w:firstLine="601"/>
                  <w:jc w:val="both"/>
                  <w:rPr>
                    <w:szCs w:val="24"/>
                  </w:rPr>
                </w:pPr>
                <w:r>
                  <w:rPr>
                    <w:szCs w:val="24"/>
                    <w:lang w:eastAsia="lt-LT"/>
                  </w:rPr>
                  <w:t xml:space="preserve">Savivaldybėje įdiegta </w:t>
                </w:r>
                <w:r>
                  <w:rPr>
                    <w:szCs w:val="24"/>
                  </w:rPr>
                  <w:t xml:space="preserve">kompiuterinė buhalterinės apskaitos sistema </w:t>
                </w:r>
                <w:r>
                  <w:rPr>
                    <w:szCs w:val="24"/>
                    <w:lang w:eastAsia="lt-LT"/>
                  </w:rPr>
                  <w:t>„Biudžetas“</w:t>
                </w:r>
                <w:r>
                  <w:rPr>
                    <w:szCs w:val="24"/>
                  </w:rPr>
                  <w:t xml:space="preserve">. Ši sistema leidžia vesti atskirą buhalterinę apskaitą pagal kelis finansavimo šaltinius (valstybės, vietinį ar kt. biudžetą), vykdyti kitus tik biudžetinių organizacijų apskaitai būdingus veiksmus – pildyti asignavimų ir išlaidų knygas, spausdinti sąmatas ir jų vykdymo apyskaitas ir dar daugelį kitų funkcijų. Ši programa apima visus Alytaus rajono savivaldybės administracijos struktūrinius padalinius. </w:t>
                </w:r>
              </w:p>
              <w:p>
                <w:pPr>
                  <w:ind w:firstLine="601"/>
                  <w:jc w:val="both"/>
                  <w:rPr>
                    <w:szCs w:val="24"/>
                    <w:lang w:eastAsia="lt-LT"/>
                  </w:rPr>
                </w:pPr>
                <w:r>
                  <w:rPr>
                    <w:szCs w:val="24"/>
                    <w:lang w:eastAsia="lt-LT"/>
                  </w:rPr>
                  <w:t xml:space="preserve">Taip pat savivaldybėje įdiegta kompiuterinė dokumentų valdymo sistema „Doclogix“. Ji </w:t>
                </w:r>
                <w:r>
                  <w:rPr>
                    <w:szCs w:val="24"/>
                  </w:rPr>
                  <w:t xml:space="preserve">užtikrina spartų, patogų automatizuotą savivaldybės veiklos procesų ir dokumentų valdymą. </w:t>
                </w:r>
                <w:r>
                  <w:rPr>
                    <w:szCs w:val="24"/>
                    <w:lang w:eastAsia="lt-LT"/>
                  </w:rPr>
                  <w:t xml:space="preserve">Sistemoje registruojami gaunami ir siunčiami raštai, pavedimai ir jų vykdymo kontrolė, registruojamos sutartys. Tai užtikrina dokumentų saugumą, greitą jų paiešką ir kontrolės sistemą. </w:t>
                </w:r>
              </w:p>
              <w:p>
                <w:pPr>
                  <w:ind w:firstLine="851"/>
                  <w:jc w:val="both"/>
                  <w:rPr>
                    <w:szCs w:val="24"/>
                    <w:lang w:eastAsia="lt-LT"/>
                  </w:rPr>
                </w:pPr>
                <w:r>
                  <w:rPr>
                    <w:szCs w:val="24"/>
                    <w:lang w:eastAsia="lt-LT"/>
                  </w:rPr>
                  <w:t xml:space="preserve">Taip pat nuolat tobulinama ir prižiūrima savivaldybės teisės aktų bazė. Sistema leidžia kaupti teisės aktus, viešai juos publikuoti, vykdyti paiešką. </w:t>
                </w:r>
              </w:p>
            </w:tc>
          </w:tr>
          <w:tr>
            <w:tc>
              <w:tcPr>
                <w:tcW w:w="4974" w:type="pct"/>
                <w:shd w:val="clear" w:color="auto" w:fill="auto"/>
              </w:tcPr>
              <w:p>
                <w:pPr>
                  <w:rPr>
                    <w:b/>
                    <w:szCs w:val="24"/>
                  </w:rPr>
                </w:pPr>
                <w:r>
                  <w:rPr>
                    <w:b/>
                    <w:szCs w:val="24"/>
                  </w:rPr>
                  <w:t xml:space="preserve">SSGG (stiprybių, silpnybių, galimybių ir grėsmių) analizė: </w:t>
                </w:r>
              </w:p>
            </w:tc>
          </w:tr>
          <w:tr>
            <w:tc>
              <w:tcPr>
                <w:tcW w:w="4974" w:type="pct"/>
                <w:shd w:val="clear" w:color="auto" w:fill="auto"/>
              </w:tcPr>
              <w:p>
                <w:pPr>
                  <w:jc w:val="both"/>
                  <w:rPr>
                    <w:b/>
                    <w:i/>
                    <w:szCs w:val="24"/>
                  </w:rPr>
                </w:pPr>
                <w:r>
                  <w:rPr>
                    <w:b/>
                    <w:i/>
                    <w:szCs w:val="24"/>
                  </w:rPr>
                  <w:t>Stiprybės</w:t>
                </w:r>
              </w:p>
              <w:p>
                <w:pPr>
                  <w:ind w:left="720" w:hanging="360"/>
                  <w:jc w:val="both"/>
                </w:pPr>
                <w:r>
                  <w:t></w:t>
                  <w:tab/>
                  <w:t>Nors gyventojų skaičiaus mažėjimo tendencija ilguoju laikotarpiu išlieka aktuali, tačiau gyventojų mažėjimo tempas lėtesnis nei kitose savivaldybėse; jaunos šeimos kuriasi ARS.</w:t>
                </w:r>
              </w:p>
              <w:p>
                <w:pPr>
                  <w:rPr>
                    <w:sz w:val="6"/>
                    <w:szCs w:val="6"/>
                  </w:rPr>
                </w:pPr>
              </w:p>
              <w:p>
                <w:pPr>
                  <w:ind w:left="720" w:hanging="360"/>
                  <w:jc w:val="both"/>
                </w:pPr>
                <w:r>
                  <w:t></w:t>
                  <w:tab/>
                  <w:t xml:space="preserve">ARS plečiamos socialinės paslaugos, gerėja jų kokybė, socialinės paslaugos sistemiškai valdomos pagal išskirtus prioritetus; beveik visų asmenų / šeimų poreikis, jį įvertinus, yra patenkinamas. </w:t>
                </w:r>
              </w:p>
              <w:p>
                <w:pPr>
                  <w:rPr>
                    <w:sz w:val="6"/>
                    <w:szCs w:val="6"/>
                  </w:rPr>
                </w:pPr>
              </w:p>
              <w:p>
                <w:pPr>
                  <w:ind w:left="720" w:hanging="360"/>
                  <w:jc w:val="both"/>
                </w:pPr>
                <w:r>
                  <w:t></w:t>
                  <w:tab/>
                  <w:t>Socialinių paslaugų tiekėjų tinklas ir socialinių paslaugų spektras, išvystytos ilgalaikės socialinės globos paslaugos senyvo amžiaus asmenims ir suaugusiems asmenims su negalia, integralios pagalbos (dienos socialinės globos ir slaugos), šeimos socialinių įgūdžių ugdymas ir palaikymas jos namuose, socialinės priežiūros įstaigoje paslaugos suaugusiems asmenims su negalia.</w:t>
                </w:r>
              </w:p>
              <w:p>
                <w:pPr>
                  <w:rPr>
                    <w:sz w:val="6"/>
                    <w:szCs w:val="6"/>
                  </w:rPr>
                </w:pPr>
              </w:p>
              <w:p>
                <w:pPr>
                  <w:ind w:left="720" w:hanging="360"/>
                  <w:jc w:val="both"/>
                </w:pPr>
                <w:r>
                  <w:t></w:t>
                  <w:tab/>
                  <w:t>Socialinių paslaugų srityje sėkmingai bendradarbiaujama su kitomis savivaldybėmis: ARS perka dienos socialinės globos paslaugas neįgaliesiems, laikino apnakvindinimo ir apgyvendinimo nakvynės namuose paslaugas; teikia – ilgalaikės (trumpalaikės) socialinės globos paslaugas.</w:t>
                </w:r>
              </w:p>
              <w:p>
                <w:pPr>
                  <w:rPr>
                    <w:sz w:val="6"/>
                    <w:szCs w:val="6"/>
                  </w:rPr>
                </w:pPr>
              </w:p>
              <w:p>
                <w:pPr>
                  <w:ind w:left="720" w:hanging="360"/>
                  <w:jc w:val="both"/>
                </w:pPr>
                <w:r>
                  <w:t></w:t>
                  <w:tab/>
                  <w:t>Socialinę riziką patiriančių šeimų ir jose gyvenančių vaikų skaičius nuosekliai mažėja; taip pat mažėja be tėvų globos likusių vaikų skaičius globos institucijose, didėja globojamų šeimose vaikų skaičius.</w:t>
                </w:r>
              </w:p>
              <w:p>
                <w:pPr>
                  <w:rPr>
                    <w:sz w:val="6"/>
                    <w:szCs w:val="6"/>
                  </w:rPr>
                </w:pPr>
              </w:p>
              <w:p>
                <w:pPr>
                  <w:ind w:left="720" w:hanging="360"/>
                  <w:jc w:val="both"/>
                </w:pPr>
                <w:r>
                  <w:t></w:t>
                  <w:tab/>
                  <w:t>Tikslingiau ir veiksmingiau skirstoma piniginė socialinė parama, mažėjantis socialinės paramos gavėjų skaičius ir pašalpoms skiriamos išlaidos; nedidelė gyventojų dalis gauna būsto šildymo išlaidų kompensacijas.</w:t>
                </w:r>
              </w:p>
              <w:p>
                <w:pPr>
                  <w:rPr>
                    <w:sz w:val="6"/>
                    <w:szCs w:val="6"/>
                  </w:rPr>
                </w:pPr>
              </w:p>
              <w:p>
                <w:pPr>
                  <w:ind w:left="720" w:hanging="360"/>
                  <w:jc w:val="both"/>
                </w:pPr>
                <w:r>
                  <w:t></w:t>
                  <w:tab/>
                  <w:t>Vykdomos visuomenės sveikatos stiprinimo ir stebėsenos programos, didžiausią dėmesį skiriant prioritetinėms sveikatos sritims, tikslinga ir toliau skatinti įvairių amžiaus grupių gyventojų dalyvavimą sveikatos prevencinėse programose, prevencinių programų dėl įvairių priklausomybių vykdymą ir plėtrą.</w:t>
                </w:r>
              </w:p>
              <w:p>
                <w:pPr>
                  <w:rPr>
                    <w:sz w:val="6"/>
                    <w:szCs w:val="6"/>
                  </w:rPr>
                </w:pPr>
              </w:p>
              <w:p>
                <w:pPr>
                  <w:ind w:left="720" w:hanging="360"/>
                  <w:jc w:val="both"/>
                </w:pPr>
                <w:r>
                  <w:t></w:t>
                  <w:tab/>
                  <w:t>Daugiau sveikatos priežiūros paslaugų pradėta teikti namuose, t. y. kuo arčiau gyventojų, atliepiant jų poreikius bei esamus susisiekimo iššūkius, svarbu ir toliau vystyti šią kryptį, užtikrinant teikiamų paslaugų kompleksiškumą ir sąsajas su kitų poreikių tenkinimu.</w:t>
                </w:r>
              </w:p>
              <w:p>
                <w:pPr>
                  <w:rPr>
                    <w:sz w:val="6"/>
                    <w:szCs w:val="6"/>
                  </w:rPr>
                </w:pPr>
              </w:p>
              <w:p>
                <w:pPr>
                  <w:ind w:left="720" w:hanging="360"/>
                  <w:jc w:val="both"/>
                </w:pPr>
                <w:r>
                  <w:t></w:t>
                  <w:tab/>
                  <w:t>Sumažėjo mirčių skaičius dėl išorinių priežasčių, esama situacija ARS atitinka bendrą šalies tendenciją, tačiau prevencinės programos, nukreiptos į mirčių dėl išorinių priežasčių mažinimą išlieka ir toliau aktualios dėl gana aukštų Lietuvos rodiklio reikšmių.</w:t>
                </w:r>
              </w:p>
              <w:p>
                <w:pPr>
                  <w:rPr>
                    <w:sz w:val="6"/>
                    <w:szCs w:val="6"/>
                  </w:rPr>
                </w:pPr>
              </w:p>
              <w:p>
                <w:pPr>
                  <w:ind w:left="720" w:hanging="360"/>
                  <w:jc w:val="both"/>
                </w:pPr>
                <w:r>
                  <w:t></w:t>
                  <w:tab/>
                  <w:t>Sėkmingai vykdomos gyventojų priklausomybių mažinimo programos, kurias aktualu ir toliau tęsti toliau didinant jų aprėptį, rezultatyvumą, taikant inovatyvius darbo su priklausomybėmis metodus, kadangi socialinės problemos, susijusios su priklausomybėmis išlieka aktualios.</w:t>
                </w:r>
              </w:p>
              <w:p>
                <w:pPr>
                  <w:rPr>
                    <w:sz w:val="6"/>
                    <w:szCs w:val="6"/>
                  </w:rPr>
                </w:pPr>
              </w:p>
              <w:p>
                <w:pPr>
                  <w:ind w:left="720" w:hanging="360"/>
                  <w:jc w:val="both"/>
                </w:pPr>
                <w:r>
                  <w:t></w:t>
                  <w:tab/>
                  <w:t>Ugdymo įstaigų tinklas yra reorganizuotas ir šiuo metu atitinka ARS gyventojų poreikius, įstaigos yra renovuotos, gerinama edukacinė aplinka, didelei daliai vaikų užtikrinama pavėžėjimo iš / į ugdymo įstaigą paslauga.</w:t>
                </w:r>
              </w:p>
              <w:p>
                <w:pPr>
                  <w:rPr>
                    <w:sz w:val="6"/>
                    <w:szCs w:val="6"/>
                  </w:rPr>
                </w:pPr>
              </w:p>
              <w:p>
                <w:pPr>
                  <w:ind w:left="720" w:hanging="360"/>
                  <w:jc w:val="both"/>
                </w:pPr>
                <w:r>
                  <w:t></w:t>
                  <w:tab/>
                  <w:t xml:space="preserve">Labai geri bibliotekų veiklos rezultatai ir apimtys (skaitytojų skaičius, išduotų dokumentų apimtys, apsilankymų skaičius, dalyvavimas įvairiuose projektuose), gyventojai noriai naudojasi bibliotekų teikiamomis paslaugomis. </w:t>
                </w:r>
              </w:p>
              <w:p>
                <w:pPr>
                  <w:rPr>
                    <w:sz w:val="6"/>
                    <w:szCs w:val="6"/>
                  </w:rPr>
                </w:pPr>
              </w:p>
              <w:p>
                <w:pPr>
                  <w:ind w:left="720" w:hanging="360"/>
                  <w:jc w:val="both"/>
                  <w:rPr>
                    <w:szCs w:val="24"/>
                  </w:rPr>
                </w:pPr>
                <w:r>
                  <w:rPr>
                    <w:szCs w:val="24"/>
                  </w:rPr>
                  <w:t></w:t>
                  <w:tab/>
                </w:r>
                <w:r>
                  <w:t>Sudarytos sąlygos gyventojų fiziniam aktyvumui ir sportui (įrengtos bendruomenėms skirtos daugiafunkcinės lauko aikštelės, gyventojai turi galimybę sportuoti mokyklų sporto salėse), kas yra būtina sėkmės prielaida didesniam gyventojų įtraukimui į sveikatinimo (fizinis aktyvumas, sveika gyvensena ir kt.) ir sportines veiklas.</w:t>
                </w:r>
              </w:p>
              <w:p>
                <w:pPr>
                  <w:ind w:left="720" w:hanging="360"/>
                  <w:jc w:val="both"/>
                  <w:rPr>
                    <w:szCs w:val="24"/>
                  </w:rPr>
                </w:pPr>
                <w:r>
                  <w:rPr>
                    <w:szCs w:val="24"/>
                  </w:rPr>
                  <w:t></w:t>
                  <w:tab/>
                </w:r>
                <w:r>
                  <w:t>Gana daug NVO, veikia vietos veiklos grupė, yra atviros jaunimo erdvės, kas sudaro prielaidas toliau vystyti NVO įsitraukimą teikiant socialines, sveikatos priežiūros, vaikų ir suaugusiųjų neformaliojo švietimo ir kt. paslaugas gyventojams.</w:t>
                </w:r>
              </w:p>
              <w:p>
                <w:pPr>
                  <w:ind w:left="720" w:hanging="360"/>
                  <w:jc w:val="both"/>
                  <w:rPr>
                    <w:szCs w:val="24"/>
                  </w:rPr>
                </w:pPr>
                <w:r>
                  <w:rPr>
                    <w:szCs w:val="24"/>
                  </w:rPr>
                  <w:t></w:t>
                  <w:tab/>
                </w:r>
                <w:r>
                  <w:t>Santykinai nedidelis nusikalstamumo lygis, nuosekliai mažėjantis nusikalstamų veikų skaičius, aktualu ir toliau išlaikyti saugios aplinkos formavimo rajone kryptį, užtikrinant jai reikalingos infrastruktūros plėtotę.</w:t>
                </w:r>
              </w:p>
              <w:p>
                <w:pPr>
                  <w:ind w:left="720" w:hanging="360"/>
                  <w:jc w:val="both"/>
                </w:pPr>
                <w:r>
                  <w:t></w:t>
                  <w:tab/>
                  <w:t>Ilguoju laikotarpiu stebimos teigiamos gyventojų užimtumo, vidutinio darbo užmokesčio augimo tendencijos (nors bendras lygis vis dar atsilieka nuo rodiklių Lietuvoje). Vidutinis darbo užmokestis ARS yra didesnis už Alytaus aps. vidurkį ir augo sparčiau, nei kitur regione.</w:t>
                </w:r>
              </w:p>
              <w:p>
                <w:pPr>
                  <w:rPr>
                    <w:sz w:val="6"/>
                    <w:szCs w:val="6"/>
                  </w:rPr>
                </w:pPr>
              </w:p>
              <w:p>
                <w:pPr>
                  <w:ind w:left="720" w:hanging="360"/>
                  <w:jc w:val="both"/>
                </w:pPr>
                <w:r>
                  <w:t></w:t>
                  <w:tab/>
                  <w:t>Sparčiai mažėjęs nedarbo, taip pat ilgalaikio nedarbo lygis, sėkmingai ARSA taikytos priemonės, padedančios bedarbiams įsidarbinti ir įsitvirtinti darbo rinkoje.</w:t>
                </w:r>
              </w:p>
              <w:p>
                <w:pPr>
                  <w:rPr>
                    <w:sz w:val="6"/>
                    <w:szCs w:val="6"/>
                  </w:rPr>
                </w:pPr>
              </w:p>
              <w:p>
                <w:pPr>
                  <w:ind w:left="720" w:hanging="360"/>
                  <w:jc w:val="both"/>
                </w:pPr>
                <w:r>
                  <w:t></w:t>
                  <w:tab/>
                  <w:t>Nuosaikiai augantis verslo subjektų skaičius ARS, didelė smulkaus ir vidutinio verslo dalis.</w:t>
                </w:r>
              </w:p>
              <w:p>
                <w:pPr>
                  <w:rPr>
                    <w:sz w:val="6"/>
                    <w:szCs w:val="6"/>
                  </w:rPr>
                </w:pPr>
              </w:p>
              <w:p>
                <w:pPr>
                  <w:ind w:left="720" w:hanging="360"/>
                  <w:jc w:val="both"/>
                </w:pPr>
                <w:r>
                  <w:t></w:t>
                  <w:tab/>
                  <w:t xml:space="preserve">ARS gana daug aktyvių bendruomenių, kurių potencialas galėtų būti nukreipiamas turizmo plėtrai (pavyzdžiui, teikiant turizmo paslaugas, prižiūrint lankytinus objektus ir vietas, kt.). Esamas išskirtinumas amatų, gyvosios kultūros, etnokultūros srityse sudaro prielaidas išskirtinių, unikalių turizmo produktų ir paslaugų kūrimui ir teikimui bendruomenėse. </w:t>
                </w:r>
              </w:p>
              <w:p>
                <w:pPr>
                  <w:rPr>
                    <w:sz w:val="6"/>
                    <w:szCs w:val="6"/>
                  </w:rPr>
                </w:pPr>
              </w:p>
              <w:p>
                <w:pPr>
                  <w:ind w:left="720" w:hanging="360"/>
                  <w:jc w:val="both"/>
                </w:pPr>
                <w:r>
                  <w:t></w:t>
                  <w:tab/>
                  <w:t>Augantis turistų skaičius, turizmo vystymas bendradarbiaujant su Alytaus m. sav., organizuojant Alytaus turizmo informacijos centro veiklą, kuriant ir viešinant turizmo paslaugas ir kt.</w:t>
                </w:r>
              </w:p>
              <w:p>
                <w:pPr>
                  <w:rPr>
                    <w:sz w:val="6"/>
                    <w:szCs w:val="6"/>
                  </w:rPr>
                </w:pPr>
              </w:p>
              <w:p>
                <w:pPr>
                  <w:ind w:left="720" w:hanging="360"/>
                  <w:jc w:val="both"/>
                </w:pPr>
                <w:r>
                  <w:t></w:t>
                  <w:tab/>
                  <w:t>Žemės ūkio srityje ir toliau išlieka aktualu skatinti orientaciją į didesnės pridėtinės vertės produkcijos kūrimą ir kooperacijos potencialo išnaudojimą.</w:t>
                </w:r>
              </w:p>
              <w:p>
                <w:pPr>
                  <w:rPr>
                    <w:sz w:val="6"/>
                    <w:szCs w:val="6"/>
                  </w:rPr>
                </w:pPr>
              </w:p>
              <w:p>
                <w:pPr>
                  <w:ind w:left="720" w:hanging="360"/>
                  <w:jc w:val="both"/>
                </w:pPr>
                <w:r>
                  <w:t></w:t>
                  <w:tab/>
                  <w:t>Sėkmingai plečiamos ir vystomos nišinės žemės ūkio kryptys: bitininkystė, uogininkystė, plečiasi riešutmedžių, pluoštinių kanapių pasėlių plotai ir pan., kas sudaro prielaidas ateityje vystyti aukštesnės pridėtinės vertės produktų gamybą bei tiesioginį jų pardavimą galutiniam vartotojui.</w:t>
                </w:r>
              </w:p>
              <w:p>
                <w:pPr>
                  <w:rPr>
                    <w:sz w:val="6"/>
                    <w:szCs w:val="6"/>
                  </w:rPr>
                </w:pPr>
              </w:p>
              <w:p>
                <w:pPr>
                  <w:ind w:left="720" w:hanging="360"/>
                  <w:jc w:val="both"/>
                  <w:rPr>
                    <w:szCs w:val="24"/>
                  </w:rPr>
                </w:pPr>
                <w:r>
                  <w:rPr>
                    <w:szCs w:val="24"/>
                  </w:rPr>
                  <w:t></w:t>
                  <w:tab/>
                </w:r>
                <w:r>
                  <w:t>Palankios sąlygos vystyti miškininkystę bei medienos pramonės sektoriaus veiklas, didesnis medynų produktyvumas nei bendrai Lietuvoje (nors stebima medynų produktyvumo mažėjimo tendencija), esamas potencialas didinti miškingumą mažiau derlingose teritorijose.</w:t>
                </w:r>
              </w:p>
              <w:p>
                <w:pPr>
                  <w:ind w:left="720" w:hanging="360"/>
                  <w:jc w:val="both"/>
                </w:pPr>
                <w:r>
                  <w:t></w:t>
                  <w:tab/>
                  <w:t>Į ARS teritoriją patenka gamtiniu požiūriu išskirtinės teritorijos, kurių reikšmingiausia – Žuvinto biosferos rezervatas.</w:t>
                </w:r>
              </w:p>
              <w:p>
                <w:pPr>
                  <w:rPr>
                    <w:sz w:val="6"/>
                    <w:szCs w:val="6"/>
                  </w:rPr>
                </w:pPr>
              </w:p>
              <w:p>
                <w:pPr>
                  <w:ind w:left="720" w:hanging="360"/>
                  <w:jc w:val="both"/>
                </w:pPr>
                <w:r>
                  <w:t></w:t>
                  <w:tab/>
                  <w:t>ARS aplinkos oras švarus, santykinai nedidelis iš stacionarių šaltinių išmetamų teršalų kiekis.</w:t>
                </w:r>
              </w:p>
              <w:p>
                <w:pPr>
                  <w:rPr>
                    <w:sz w:val="6"/>
                    <w:szCs w:val="6"/>
                  </w:rPr>
                </w:pPr>
              </w:p>
              <w:p>
                <w:pPr>
                  <w:ind w:left="720" w:hanging="360"/>
                  <w:jc w:val="both"/>
                </w:pPr>
                <w:r>
                  <w:t></w:t>
                  <w:tab/>
                  <w:t>Suformuota aiški ARS teritorijos vystymo kryptis, sudaranti prielaidas tinkamai aplinkos apsaugai ir ekonominei ARS raidai, orientuojantis į miškų ūkio raiškos intensyvumo didinimą, kraštovaizdžio horizontalios sąskaidos didinimą esamų miškų masyvų pakraščiuose, agrarinių plotų mozaikiškumo didinimą, įveisiant apsauginius želdinius, gamtos išteklių naudojimo plėtra ramaus pobūdžio rekreaciniam turistiniam naudojimui.</w:t>
                </w:r>
              </w:p>
              <w:p>
                <w:pPr>
                  <w:rPr>
                    <w:sz w:val="6"/>
                    <w:szCs w:val="6"/>
                  </w:rPr>
                </w:pPr>
              </w:p>
              <w:p>
                <w:pPr>
                  <w:ind w:left="720" w:hanging="360"/>
                  <w:jc w:val="both"/>
                </w:pPr>
                <w:r>
                  <w:t></w:t>
                  <w:tab/>
                  <w:t>Pasiektas teigiamas pokytis atliekų tvarkymo srityje, mažesnės nei kitose savivaldybėse susidarančių atliekų apimtys; postūmis rūšiavime, konteinerinės sistemos veikime, atliekų panaudojime; tenkinami visų ARS gyventojų ir subjektų atliekų surinkimo poreikiai, veikia atliekų tvarkymą papildančios sistemos, vykdomas aplinkos monitoringas.</w:t>
                </w:r>
              </w:p>
              <w:p>
                <w:pPr>
                  <w:rPr>
                    <w:sz w:val="6"/>
                    <w:szCs w:val="6"/>
                  </w:rPr>
                </w:pPr>
              </w:p>
              <w:p>
                <w:pPr>
                  <w:ind w:left="720" w:hanging="360"/>
                  <w:jc w:val="both"/>
                </w:pPr>
                <w:r>
                  <w:t></w:t>
                  <w:tab/>
                  <w:t>ARS sėkmingai įgyvendinamos atsinaujinančių išteklių panaudojimo viešuosiuose ir visuomeniniuose pastatuose iniciatyvos, finansiškai prisidedant ir savivaldybei. Taikant finansines priemones namų ūkiai skatinami naudoti aplinkai draugiškesnius šildymo sprendimus.</w:t>
                </w:r>
              </w:p>
              <w:p>
                <w:pPr>
                  <w:rPr>
                    <w:sz w:val="6"/>
                    <w:szCs w:val="6"/>
                  </w:rPr>
                </w:pPr>
              </w:p>
              <w:p>
                <w:pPr>
                  <w:ind w:left="720" w:hanging="360"/>
                  <w:jc w:val="both"/>
                </w:pPr>
                <w:r>
                  <w:t></w:t>
                  <w:tab/>
                </w:r>
                <w:r>
                  <w:rPr>
                    <w:bCs/>
                    <w:szCs w:val="24"/>
                  </w:rPr>
                  <w:t>ARS skatina gyventojus prisijungti prie centralizuotų nuotekų valymo įrenginių, tam taikant finansines priemones. Gyventojų skatinimas prisijungti prie centralizuotų šilumos, vandens tiekimo ir nuotekų tvarkymo sistemų ir toliau išlieka aktualus.</w:t>
                </w:r>
              </w:p>
              <w:p>
                <w:pPr>
                  <w:rPr>
                    <w:sz w:val="6"/>
                    <w:szCs w:val="6"/>
                  </w:rPr>
                </w:pPr>
              </w:p>
              <w:p>
                <w:pPr>
                  <w:ind w:left="720" w:hanging="360"/>
                  <w:jc w:val="both"/>
                </w:pPr>
                <w:r>
                  <w:t></w:t>
                  <w:tab/>
                  <w:t>Naujai urbanizuojamose teritorijose numatomas centralizuotas vandens tiekimas ir nuotekų tvarkymas, taip pat numatomas pramoninių teritorijų dujofikavimas, atsiradus potencialiems vartotojams.</w:t>
                </w:r>
              </w:p>
              <w:p>
                <w:pPr>
                  <w:rPr>
                    <w:sz w:val="6"/>
                    <w:szCs w:val="6"/>
                  </w:rPr>
                </w:pPr>
              </w:p>
              <w:p>
                <w:pPr>
                  <w:ind w:left="720" w:hanging="360"/>
                  <w:jc w:val="both"/>
                </w:pPr>
                <w:r>
                  <w:t></w:t>
                  <w:tab/>
                  <w:t>ARS gana išvystytas kelių tinklas, beveik nėra grunto kelių, daugiau kelių su patobulinta kelio danga; kelių susisiekimo infrastruktūra gana intensyviai naudojama, todėl svarbu užtikrinti nuolatinę tinkamą kelių priežiūrą bei eksploataciją, atnaujinimą.</w:t>
                </w:r>
              </w:p>
              <w:p>
                <w:pPr>
                  <w:rPr>
                    <w:sz w:val="6"/>
                    <w:szCs w:val="6"/>
                  </w:rPr>
                </w:pPr>
              </w:p>
              <w:p>
                <w:pPr>
                  <w:ind w:left="720" w:hanging="360"/>
                  <w:jc w:val="both"/>
                </w:pPr>
                <w:r>
                  <w:t></w:t>
                  <w:tab/>
                  <w:t>Pastaruoju metu buvo intensyviai vystoma dviračių infrastruktūra, kuri aktuali tiek vietos gyventojams, tiek turizmo vystymui.</w:t>
                </w:r>
              </w:p>
              <w:p>
                <w:pPr>
                  <w:rPr>
                    <w:sz w:val="6"/>
                    <w:szCs w:val="6"/>
                  </w:rPr>
                </w:pPr>
              </w:p>
              <w:p>
                <w:pPr>
                  <w:ind w:left="720" w:hanging="360"/>
                  <w:jc w:val="both"/>
                </w:pPr>
                <w:r>
                  <w:t></w:t>
                  <w:tab/>
                  <w:t>ARS 1 000 gyv. tenka daugiau automobilių nei vidutiniškai šalyje, tai leidžia patenkinti judumo poreikį, viešojo transporto sistemai esant gana ribotai.</w:t>
                </w:r>
              </w:p>
              <w:p>
                <w:pPr>
                  <w:rPr>
                    <w:sz w:val="6"/>
                    <w:szCs w:val="6"/>
                  </w:rPr>
                </w:pPr>
              </w:p>
              <w:p>
                <w:pPr>
                  <w:ind w:left="720" w:hanging="360"/>
                  <w:jc w:val="both"/>
                </w:pPr>
                <w:r>
                  <w:t></w:t>
                  <w:tab/>
                  <w:t>Nors viešojo susisiekimo sistema ARS nėra labai išplėtota, tačiau gyventojų poreikiai yra tenkinami kitomis priemonėmis: išplėtota išvežiojamoji prekyba, viešosios paslaugos taip pat „atvyksta“ pas gyventojus (pvz., sveikatos priežiūros paslaugos), vaikai į ugdymo įstaigas vežami geltonaisiais autobusais, naujai įsidarbinusiems kompensuojamos transporto išlaidos nuvykimui iš ir į darbą vykstant ir nuosavu transportu ir kt.</w:t>
                </w:r>
              </w:p>
              <w:p>
                <w:pPr>
                  <w:rPr>
                    <w:sz w:val="6"/>
                    <w:szCs w:val="6"/>
                  </w:rPr>
                </w:pPr>
              </w:p>
              <w:p>
                <w:pPr>
                  <w:ind w:left="720" w:hanging="360"/>
                  <w:jc w:val="both"/>
                </w:pPr>
                <w:r>
                  <w:t></w:t>
                  <w:tab/>
                  <w:t>Stebima teigiama viešosios infrastruktūros tvarkymo, atnaujinimo ir modernizavimo kryptis, kuri turėtų būti išlaikoma ir ateityje plečiant viešosios paskirties infrastruktūrą ir tvarkant viešąsias erdves, ją pritaikant bendruomeniniams, visuomeniniams, verslo poreikiams, rekreacijai.</w:t>
                </w:r>
              </w:p>
              <w:p>
                <w:pPr>
                  <w:rPr>
                    <w:sz w:val="6"/>
                    <w:szCs w:val="6"/>
                  </w:rPr>
                </w:pPr>
              </w:p>
              <w:p>
                <w:pPr>
                  <w:ind w:left="720" w:hanging="360"/>
                  <w:jc w:val="both"/>
                </w:pPr>
                <w:r>
                  <w:t></w:t>
                  <w:tab/>
                </w:r>
                <w:r>
                  <w:rPr>
                    <w:lang w:eastAsia="lt-LT"/>
                  </w:rPr>
                  <w:t xml:space="preserve">ARS gyventojai vis daugiau naudojasi savivaldybės teikiamomis elektroninėmis paslaugomis: </w:t>
                </w:r>
                <w:r>
                  <w:t>daugėja paslaugų ir prašymų pateiktų per elektroninius valdžios vartus, toliau diegiamos ir plėtojamos e. paslaugos bei vidiniuose ARSA procesuose naudojamos informacinės sistemos.</w:t>
                </w:r>
              </w:p>
              <w:p>
                <w:pPr>
                  <w:rPr>
                    <w:sz w:val="6"/>
                    <w:szCs w:val="6"/>
                  </w:rPr>
                </w:pPr>
              </w:p>
              <w:p>
                <w:pPr>
                  <w:ind w:left="720" w:hanging="360"/>
                  <w:jc w:val="both"/>
                  <w:rPr>
                    <w:szCs w:val="24"/>
                  </w:rPr>
                </w:pPr>
                <w:r>
                  <w:rPr>
                    <w:szCs w:val="24"/>
                  </w:rPr>
                  <w:t></w:t>
                  <w:tab/>
                </w:r>
                <w:r>
                  <w:rPr>
                    <w:lang w:eastAsia="lt-LT"/>
                  </w:rPr>
                  <w:t>ARSA veikla vertinama kaip efektyvi: nors turi santykinai mažai darbuotojų, gyventojų prašymai nagrinėjami laiku, siekiama atliepti aktualius gyventojų poreikius.</w:t>
                </w:r>
              </w:p>
            </w:tc>
          </w:tr>
          <w:tr>
            <w:tc>
              <w:tcPr>
                <w:tcW w:w="4974" w:type="pct"/>
                <w:shd w:val="clear" w:color="auto" w:fill="auto"/>
              </w:tcPr>
              <w:p>
                <w:pPr>
                  <w:jc w:val="both"/>
                  <w:rPr>
                    <w:b/>
                    <w:i/>
                    <w:szCs w:val="24"/>
                  </w:rPr>
                </w:pPr>
                <w:r>
                  <w:rPr>
                    <w:b/>
                    <w:i/>
                    <w:szCs w:val="24"/>
                  </w:rPr>
                  <w:t>Silpnybės</w:t>
                </w:r>
              </w:p>
              <w:p>
                <w:pPr>
                  <w:ind w:left="720" w:hanging="360"/>
                  <w:jc w:val="both"/>
                </w:pPr>
                <w:r>
                  <w:t></w:t>
                  <w:tab/>
                  <w:t>Lyginant su kitomis savivaldybėmis mažesnė darbingo amžiaus asmenų dalis, atitinkamai santykinai daugiau nei vidutiniškai Lietuvoje vyresnio amžiaus asmenų. Dėl esamos demografinės visuomenės struktūros pagal amžių, gimstamumo lygis ARS yra mažas, mirtingumo – didelis, atitinkamai natūrali gyventojų kaita yra neigiama.</w:t>
                </w:r>
              </w:p>
              <w:p>
                <w:pPr>
                  <w:rPr>
                    <w:sz w:val="6"/>
                    <w:szCs w:val="6"/>
                  </w:rPr>
                </w:pPr>
              </w:p>
              <w:p>
                <w:pPr>
                  <w:ind w:left="720" w:hanging="360"/>
                  <w:jc w:val="both"/>
                </w:pPr>
                <w:r>
                  <w:t></w:t>
                  <w:tab/>
                  <w:t>Vertinant ARS teikiamų socialinių paslaugų pasiūlą LR normatyvų atžvilgiu, ARS socialinių paslaugų infrastruktūra yra plėtojama, tačiau vis dar nėra pakankamai išvystyta, teikiamų paslaugų apimtys turi plėtros potencialo (pvz., nestacionarios paslaugos, pagalba į namus, asmens globa asmens namuose).</w:t>
                </w:r>
              </w:p>
              <w:p>
                <w:pPr>
                  <w:rPr>
                    <w:sz w:val="6"/>
                    <w:szCs w:val="6"/>
                  </w:rPr>
                </w:pPr>
              </w:p>
              <w:p>
                <w:pPr>
                  <w:ind w:left="720" w:hanging="360"/>
                  <w:jc w:val="both"/>
                </w:pPr>
                <w:r>
                  <w:t></w:t>
                  <w:tab/>
                  <w:t>Nors bendrąja prasme ARS socialinių paslaugų sistema yra sėkmingai plėtojama, palaipsniui pereinant nuo institucinių prie bendruomenėje teikiamų paslaugų, esamas NVO ir BO aktyvumas ir įsitraukimas į paslaugų teikimą gyventojams vis dar turi potencialo, tam reikalinga užtikrinti patrauklią NVO ir BO įsitraukimui aplinką, jų lyderių ir narių motyvaciją bei aktualią pagalbą iš viešojo sektoriaus pusės.</w:t>
                </w:r>
              </w:p>
              <w:p>
                <w:pPr>
                  <w:rPr>
                    <w:sz w:val="6"/>
                    <w:szCs w:val="6"/>
                  </w:rPr>
                </w:pPr>
              </w:p>
              <w:p>
                <w:pPr>
                  <w:ind w:left="720" w:hanging="360"/>
                  <w:jc w:val="both"/>
                </w:pPr>
                <w:r>
                  <w:t></w:t>
                  <w:tab/>
                  <w:t>Pagal sveikatos priežiūros rezultatus, ARS aktualu išlieka ir toliau tobulinti sveikatos priežiūros sistemą ir paslaugų kokybę.</w:t>
                </w:r>
              </w:p>
              <w:p>
                <w:pPr>
                  <w:rPr>
                    <w:sz w:val="6"/>
                    <w:szCs w:val="6"/>
                  </w:rPr>
                </w:pPr>
              </w:p>
              <w:p>
                <w:pPr>
                  <w:ind w:left="720" w:hanging="360"/>
                  <w:jc w:val="both"/>
                </w:pPr>
                <w:r>
                  <w:t></w:t>
                  <w:tab/>
                  <w:t>Vienam mokiniui tenka santykinai didesnis ugdymo įstaigos plotas nei kitose savivaldybėse, galimai nėra išnaudotas švietimo įstaigų infrastruktūros ir jos išlaikymui skiriamų lėšų optimizavimo potencialas.</w:t>
                </w:r>
              </w:p>
              <w:p>
                <w:pPr>
                  <w:rPr>
                    <w:sz w:val="6"/>
                    <w:szCs w:val="6"/>
                  </w:rPr>
                </w:pPr>
              </w:p>
              <w:p>
                <w:pPr>
                  <w:ind w:left="720" w:hanging="360"/>
                  <w:jc w:val="both"/>
                </w:pPr>
                <w:r>
                  <w:t></w:t>
                  <w:tab/>
                  <w:t>Santykinai nedidelė aktyvių gyventojų, kurie dalyvauja įvairiose kultūrinėse ir sportinėse kt. veiklose, dalis, mažėjęs mėgėjų meno ir kultūros užsiėmimo dalyvių skaičius. Didelė dalis gyventojų yra pasyvūs, todėl aktualus proaktyvus gyventojų informavimas ir įtraukimas, kultūros ir sporto infrastruktūros priežiūra ir vystymas, lankstus sporto ir kultūros veiklų pasiūlos priderinimas prie gyventojų preferencijų.</w:t>
                </w:r>
              </w:p>
              <w:p>
                <w:pPr>
                  <w:rPr>
                    <w:sz w:val="6"/>
                    <w:szCs w:val="6"/>
                  </w:rPr>
                </w:pPr>
              </w:p>
              <w:p>
                <w:pPr>
                  <w:ind w:left="720" w:hanging="360"/>
                  <w:jc w:val="both"/>
                </w:pPr>
                <w:r>
                  <w:t></w:t>
                  <w:tab/>
                  <w:t>Nors ARS veikia 2 atvirosios jaunimo erdvės, vis dar trūksta atviro jaunimo centro, daugiau atvirų jaunimui skirtų erdvių, intensyvesnio darbo su jaunimu (ypač darbo gatvėje ir mobilaus darbo su jaunimu), kitų jaunimo poreikių tenkinimo.</w:t>
                </w:r>
              </w:p>
              <w:p>
                <w:pPr>
                  <w:rPr>
                    <w:sz w:val="6"/>
                    <w:szCs w:val="6"/>
                  </w:rPr>
                </w:pPr>
              </w:p>
              <w:p>
                <w:pPr>
                  <w:ind w:left="720" w:hanging="360"/>
                  <w:jc w:val="both"/>
                </w:pPr>
                <w:r>
                  <w:t></w:t>
                  <w:tab/>
                  <w:t>Nepakankamai išvystyta ir užsienio bei vietos investuotojų poreikiams pritaikyta ekonominiam proveržiui reikalinga infrastruktūra (kaip pvz., verslo centrai, inkubatoriai, mokslo ir technologijų parkai, kūrybinės dirbtuvės, kultūros ir kūrybines industrijos ir kt.), yra poreikis skatinti ir toliau plėtoti mokslo, verslo bei savivaldos bendradarbiavimą, pritaikyti ir skatinti „jauno verslo“, laisvųjų profesijų, nuotolinių būdu dirbančių gyventojų ekosistemų kūrimąsi bei plėtrą.</w:t>
                </w:r>
              </w:p>
              <w:p>
                <w:pPr>
                  <w:rPr>
                    <w:sz w:val="6"/>
                    <w:szCs w:val="6"/>
                  </w:rPr>
                </w:pPr>
              </w:p>
              <w:p>
                <w:pPr>
                  <w:ind w:left="720" w:hanging="360"/>
                  <w:jc w:val="both"/>
                  <w:rPr>
                    <w:szCs w:val="24"/>
                  </w:rPr>
                </w:pPr>
                <w:r>
                  <w:rPr>
                    <w:szCs w:val="24"/>
                  </w:rPr>
                  <w:t></w:t>
                  <w:tab/>
                </w:r>
                <w:r>
                  <w:t>Santykinai didesnė nei kitur Lietuvoje nepilnamečių padaromų nusikalstamų veikų dalis; santykinai daug smurto artimoje aplinkoje atvejų.</w:t>
                </w:r>
              </w:p>
              <w:p>
                <w:pPr>
                  <w:ind w:left="720" w:hanging="360"/>
                  <w:jc w:val="both"/>
                </w:pPr>
                <w:r>
                  <w:t></w:t>
                  <w:tab/>
                  <w:t>Nuo Lietuvos vidurkio atsiliekantis 1 gyv. tenkančio BVP dydis, mažos pritraukiamų materialinių ir tiesioginių užsienio investicijų apimtys, didelė priklausomybė nuo ES finansuojamų investicijų.</w:t>
                </w:r>
              </w:p>
              <w:p>
                <w:pPr>
                  <w:rPr>
                    <w:sz w:val="6"/>
                    <w:szCs w:val="6"/>
                  </w:rPr>
                </w:pPr>
              </w:p>
              <w:p>
                <w:pPr>
                  <w:ind w:left="720" w:hanging="360"/>
                  <w:jc w:val="both"/>
                </w:pPr>
                <w:r>
                  <w:t></w:t>
                  <w:tab/>
                  <w:t>Mažas gyventojų verslumo lygis atsižvelgiant į verslumo rodiklį.</w:t>
                </w:r>
              </w:p>
              <w:p>
                <w:pPr>
                  <w:rPr>
                    <w:sz w:val="6"/>
                    <w:szCs w:val="6"/>
                  </w:rPr>
                </w:pPr>
              </w:p>
              <w:p>
                <w:pPr>
                  <w:ind w:left="720" w:hanging="360"/>
                  <w:jc w:val="both"/>
                </w:pPr>
                <w:r>
                  <w:t></w:t>
                  <w:tab/>
                  <w:t>Struktūrinio nedarbo problemos, kai darbo ieškančių asmenų kvalifikacija ir kompetencija neatitinka esamos paklausos ir darbo rinkos poreikio, asmenims trūksta motyvacijos įsilieti į darbo rinką.</w:t>
                </w:r>
              </w:p>
              <w:p>
                <w:pPr>
                  <w:rPr>
                    <w:sz w:val="6"/>
                    <w:szCs w:val="6"/>
                  </w:rPr>
                </w:pPr>
              </w:p>
              <w:p>
                <w:pPr>
                  <w:ind w:left="720" w:hanging="360"/>
                  <w:jc w:val="both"/>
                </w:pPr>
                <w:r>
                  <w:t></w:t>
                  <w:tab/>
                  <w:t>Susisiekimo problemos išlieka aktualios gyventojams grįžtant į darbo rinką, nors stebimos sėkmingos ARS įgyvendinamos iniciatyvos šioje srityje.</w:t>
                </w:r>
              </w:p>
              <w:p>
                <w:pPr>
                  <w:rPr>
                    <w:sz w:val="6"/>
                    <w:szCs w:val="6"/>
                  </w:rPr>
                </w:pPr>
              </w:p>
              <w:p>
                <w:pPr>
                  <w:ind w:left="720" w:hanging="360"/>
                  <w:jc w:val="both"/>
                </w:pPr>
                <w:r>
                  <w:t></w:t>
                  <w:tab/>
                  <w:t xml:space="preserve">Ribotas apgyvendinimo ir maitinimo paslaugų tinklas, šias paslaugas daugiausiai teikiant kaimo turizmo sodyboms (mažai pritaikyta užsienio turistams, individualiai keliaujantiems), riboja turizmo plėtrą. </w:t>
                </w:r>
              </w:p>
              <w:p>
                <w:pPr>
                  <w:rPr>
                    <w:sz w:val="6"/>
                    <w:szCs w:val="6"/>
                  </w:rPr>
                </w:pPr>
              </w:p>
              <w:p>
                <w:pPr>
                  <w:ind w:left="720" w:hanging="360"/>
                  <w:jc w:val="both"/>
                  <w:rPr>
                    <w:szCs w:val="24"/>
                  </w:rPr>
                </w:pPr>
                <w:r>
                  <w:rPr>
                    <w:szCs w:val="24"/>
                  </w:rPr>
                  <w:t></w:t>
                  <w:tab/>
                </w:r>
                <w:r>
                  <w:t>Žemės ūkio našumo balas nėra aukštas; inovacijų diegimas ir skaitmeninimas žemės ūkio srityje nėra paplitęs, tai riboja žemės ūkio kuriamos pridėtinės vertės augimą.</w:t>
                </w:r>
              </w:p>
              <w:p>
                <w:pPr>
                  <w:ind w:left="720" w:hanging="360"/>
                  <w:jc w:val="both"/>
                </w:pPr>
                <w:r>
                  <w:t></w:t>
                  <w:tab/>
                  <w:t>ARS, palyginti su kitomis žiedinėmis savivaldybėmis, daug potencialių taršos židinių, kurių didelę dalį sudaro sugriauti ir neveikiantys potencialūs taršos šaltiniai.</w:t>
                </w:r>
              </w:p>
              <w:p>
                <w:pPr>
                  <w:rPr>
                    <w:sz w:val="6"/>
                    <w:szCs w:val="6"/>
                  </w:rPr>
                </w:pPr>
              </w:p>
              <w:p>
                <w:pPr>
                  <w:ind w:left="720" w:hanging="360"/>
                  <w:jc w:val="both"/>
                </w:pPr>
                <w:r>
                  <w:t></w:t>
                  <w:tab/>
                  <w:t>Vis dar nepakankamai išpildomi atliekų tvarkymo tikslai, prioritetais ateityje išlieka: šalinamų susidariusių komunalinių atliekų kiekio mažinimas, pakuočių atliekų ir kitų antrinių žaliavų atskiro surinkimo (pirminio rūšiavimo) ir perdirbimo apimčių plėtra, biodegraduojančių (žaliųjų) atliekų atskyrimas nuo bendro komunalinių atliekų srauto, konteinerinių atliekų surinkimo aikštelių tinklo plėtra, sąlygų apdoroti (kompostuoti / anaerobiškai pūdyti) komunalines biologiškai skaidžias atliekas sudarymas, visuomenės švietimas ir informavimas apie buityje susidarančių atliekų tvarkymo galimybes, tinkamas statybos ir griovimo atliekų surinkimas ir išvežimas perdirbimui.</w:t>
                </w:r>
              </w:p>
              <w:p>
                <w:pPr>
                  <w:rPr>
                    <w:sz w:val="6"/>
                    <w:szCs w:val="6"/>
                  </w:rPr>
                </w:pPr>
              </w:p>
              <w:p>
                <w:pPr>
                  <w:ind w:left="720" w:hanging="360"/>
                  <w:jc w:val="both"/>
                </w:pPr>
                <w:r>
                  <w:t></w:t>
                  <w:tab/>
                  <w:t>Nepakankamas kelių pravažiuojamumas, kuris trukdo operatyviai ir efektyviai surinkti atliekas.</w:t>
                </w:r>
              </w:p>
              <w:p>
                <w:pPr>
                  <w:rPr>
                    <w:sz w:val="6"/>
                    <w:szCs w:val="6"/>
                  </w:rPr>
                </w:pPr>
              </w:p>
              <w:p>
                <w:pPr>
                  <w:ind w:left="720" w:hanging="360"/>
                  <w:jc w:val="both"/>
                </w:pPr>
                <w:r>
                  <w:t></w:t>
                  <w:tab/>
                  <w:t>Iš lėto vykstanti daugiabučių renovacija, mažai išvystytas vietinių atsinaujinančių gamtinių išteklių naudojimas, nors stebimas pavienių iniciatyvų įgyvendinimas šiose srityse.</w:t>
                </w:r>
              </w:p>
              <w:p>
                <w:pPr>
                  <w:rPr>
                    <w:sz w:val="6"/>
                    <w:szCs w:val="6"/>
                  </w:rPr>
                </w:pPr>
              </w:p>
              <w:p>
                <w:pPr>
                  <w:ind w:left="720" w:hanging="360"/>
                  <w:jc w:val="both"/>
                </w:pPr>
                <w:r>
                  <w:t></w:t>
                  <w:tab/>
                  <w:t>Siekiant tenkinti geriamajam vandeniui ir nuotekoms taikomus reikalavimus, aktualus ARS vandens tiekimo sistemos modernizavimas ir plėtra, nuotekų ir lietaus nuotekų tvarkymas.</w:t>
                </w:r>
              </w:p>
              <w:p>
                <w:pPr>
                  <w:rPr>
                    <w:sz w:val="6"/>
                    <w:szCs w:val="6"/>
                  </w:rPr>
                </w:pPr>
              </w:p>
              <w:p>
                <w:pPr>
                  <w:ind w:left="720" w:hanging="360"/>
                  <w:jc w:val="both"/>
                  <w:rPr>
                    <w:szCs w:val="24"/>
                  </w:rPr>
                </w:pPr>
                <w:r>
                  <w:rPr>
                    <w:szCs w:val="24"/>
                  </w:rPr>
                  <w:t></w:t>
                  <w:tab/>
                </w:r>
                <w:r>
                  <w:t>Viešuoju transportu naudojasi nedideli keleivių srautai, didėja spaudimas viešojo transporto sistemai (finansinis spaudimas, didėjantys savivaldybės nuostoliai siekiant užtikrinti susisiekimo paslaugas gyventojams), iš to kyla subalansuoto infrastruktūros tinklo ir sistemos kūrimui, gyventojų poreikių tenkinimui naujais būdais, paslaugas artinant prie gyventojų.</w:t>
                </w:r>
              </w:p>
            </w:tc>
          </w:tr>
          <w:tr>
            <w:tc>
              <w:tcPr>
                <w:tcW w:w="4974" w:type="pct"/>
                <w:shd w:val="clear" w:color="auto" w:fill="auto"/>
              </w:tcPr>
              <w:p>
                <w:pPr>
                  <w:jc w:val="both"/>
                  <w:rPr>
                    <w:b/>
                    <w:i/>
                    <w:szCs w:val="24"/>
                  </w:rPr>
                </w:pPr>
                <w:r>
                  <w:rPr>
                    <w:b/>
                    <w:i/>
                    <w:szCs w:val="24"/>
                  </w:rPr>
                  <w:t>Galimybės</w:t>
                </w:r>
              </w:p>
              <w:p>
                <w:pPr>
                  <w:ind w:left="1287" w:hanging="360"/>
                  <w:jc w:val="both"/>
                </w:pPr>
                <w:r>
                  <w:t></w:t>
                  <w:tab/>
                  <w:t>Įvykusi Užimtumo tarnybos reorganizacija, išaugusi orientacija į rezultatų siekimą ir iniciatyvų įgyvendinimą bendradarbiaujant su savivaldybėmis, didesnis dėmesys individualioms paslaugoms darbdaviams ir darbo ieškantiesiems, sudaro prielaidas socialines problemas ARS spręsti efektyviau.</w:t>
                </w:r>
              </w:p>
              <w:p>
                <w:pPr>
                  <w:rPr>
                    <w:sz w:val="6"/>
                    <w:szCs w:val="6"/>
                  </w:rPr>
                </w:pPr>
              </w:p>
              <w:p>
                <w:pPr>
                  <w:ind w:left="1287" w:hanging="360"/>
                  <w:jc w:val="both"/>
                </w:pPr>
                <w:r>
                  <w:t></w:t>
                  <w:tab/>
                  <w:t>Esamos palankios sąlygos vystyti bendradarbiavimą su kitomis institucijomis, leidžia toliau orientuotis į teikiamų socialinių paslaugų kompleksiškumą bei komandinį darbą, jų derinimą su kitomis, pavyzdžiui sveikatos priežiūros, paslaugomis.</w:t>
                </w:r>
              </w:p>
              <w:p>
                <w:pPr>
                  <w:rPr>
                    <w:sz w:val="6"/>
                    <w:szCs w:val="6"/>
                  </w:rPr>
                </w:pPr>
              </w:p>
              <w:p>
                <w:pPr>
                  <w:ind w:left="1287" w:hanging="360"/>
                  <w:jc w:val="both"/>
                </w:pPr>
                <w:r>
                  <w:t></w:t>
                  <w:tab/>
                  <w:t>Esamos galimybės gerinti socialinę infrastruktūrą, pasinaudojant išoriniais ES finansavimo šaltiniais.</w:t>
                </w:r>
              </w:p>
              <w:p>
                <w:pPr>
                  <w:rPr>
                    <w:sz w:val="6"/>
                    <w:szCs w:val="6"/>
                  </w:rPr>
                </w:pPr>
              </w:p>
              <w:p>
                <w:pPr>
                  <w:ind w:left="1287" w:hanging="360"/>
                  <w:jc w:val="both"/>
                </w:pPr>
                <w:r>
                  <w:t></w:t>
                  <w:tab/>
                  <w:t>Vietos veiklos grupės vykdomi projektai prisideda prie rajono plėtros.</w:t>
                </w:r>
              </w:p>
              <w:p>
                <w:pPr>
                  <w:rPr>
                    <w:sz w:val="6"/>
                    <w:szCs w:val="6"/>
                  </w:rPr>
                </w:pPr>
              </w:p>
              <w:p>
                <w:pPr>
                  <w:ind w:left="1287" w:hanging="360"/>
                  <w:jc w:val="both"/>
                </w:pPr>
                <w:r>
                  <w:t></w:t>
                  <w:tab/>
                  <w:t>Gyvosios kultūros, tradicijų ir etnokultūros puoselėjimo temų bei motyvacijų populiarėjimas turistų (ypač vietos) tarpe sudaro prielaidas geriau išnaudoti ARS Kultūros centro, seniūnijų ir bendruomenių organizuojamus renginius, į juos pritraukiant daugiau ARS svečių, turistų.</w:t>
                </w:r>
              </w:p>
              <w:p>
                <w:pPr>
                  <w:rPr>
                    <w:sz w:val="6"/>
                    <w:szCs w:val="6"/>
                  </w:rPr>
                </w:pPr>
              </w:p>
              <w:p>
                <w:pPr>
                  <w:ind w:left="1287" w:hanging="360"/>
                  <w:jc w:val="both"/>
                </w:pPr>
                <w:r>
                  <w:t></w:t>
                  <w:tab/>
                  <w:t>SVV skatinimo politika, paramos SVV subjektams galimybės sudaro palankias prielaidas ekonominiam vystymuisi.</w:t>
                </w:r>
              </w:p>
              <w:p>
                <w:pPr>
                  <w:rPr>
                    <w:sz w:val="6"/>
                    <w:szCs w:val="6"/>
                  </w:rPr>
                </w:pPr>
              </w:p>
              <w:p>
                <w:pPr>
                  <w:ind w:left="1287" w:hanging="360"/>
                  <w:jc w:val="both"/>
                </w:pPr>
                <w:r>
                  <w:t></w:t>
                  <w:tab/>
                  <w:t>Darbo jėgos kaina Lietuvos kontekste ARS vertintina kaip konkurencinga, vis dėlto darbo jėgos kokybės atžvilgiu, darbo jėga ARS tik iš dalies atitinka potencialių investuotojų / verslo poreikius.</w:t>
                </w:r>
              </w:p>
              <w:p>
                <w:pPr>
                  <w:rPr>
                    <w:sz w:val="6"/>
                    <w:szCs w:val="6"/>
                  </w:rPr>
                </w:pPr>
              </w:p>
              <w:p>
                <w:pPr>
                  <w:ind w:left="1287" w:hanging="360"/>
                  <w:jc w:val="both"/>
                </w:pPr>
                <w:r>
                  <w:t></w:t>
                  <w:tab/>
                  <w:t>Populiarėjant vietos turizmui ir formuojantis Lietuvos gyventojų nuostatai, kad Lietuvoje keliauti madinga, formuojasi palankios sąlygos vystyti turizmą ARS, tam stiprinant viešinimo ir turizmo rinkodaros veiklas, vystant pagalbinę turizmo infrastruktūrą.</w:t>
                </w:r>
              </w:p>
              <w:p>
                <w:pPr>
                  <w:rPr>
                    <w:sz w:val="6"/>
                    <w:szCs w:val="6"/>
                  </w:rPr>
                </w:pPr>
              </w:p>
              <w:p>
                <w:pPr>
                  <w:ind w:left="1287" w:hanging="360"/>
                  <w:jc w:val="both"/>
                </w:pPr>
                <w:r>
                  <w:t></w:t>
                  <w:tab/>
                  <w:t>Palankios sąlygos bendradarbiaujant su kitomis savivaldybėmis bei šalimis toliau vystyti autoturizmą plėtojant aktualią infrastruktūrą, bendrus turizmo produktus ir maršrutus bei turizmo rinkodarą.</w:t>
                </w:r>
              </w:p>
              <w:p>
                <w:pPr>
                  <w:rPr>
                    <w:sz w:val="6"/>
                    <w:szCs w:val="6"/>
                  </w:rPr>
                </w:pPr>
              </w:p>
              <w:p>
                <w:pPr>
                  <w:ind w:left="1287" w:hanging="360"/>
                  <w:jc w:val="both"/>
                </w:pPr>
                <w:r>
                  <w:t></w:t>
                  <w:tab/>
                  <w:t>Stebimi sėkmingi žemės ūkio ir turizmo sektorių integracijos pavyzdžiai ir agro turizmo populiarėjimas pasaulyje, turi potencialo pritaikymui ir ARS, plėtojant agrarinį turizmą, poilsį ūkiuose ir ūkininkų teikiamas kultūrinio turizmo paslaugas, sudarant sąlygas turistams susipažinti ir patirti kaimo gyvenimo kultūrą, papročius, istoriją, paveldą, o taip pat ir esamus įpročius, praktikas, technologijas, įsilieti ar prisiliesti prie tikro kaimo žmonių gyvenimo ir taip didinant ARS, kaip turizmo krypties, išskirtinumą Lietuvos kontekste.</w:t>
                </w:r>
              </w:p>
              <w:p>
                <w:pPr>
                  <w:rPr>
                    <w:sz w:val="6"/>
                    <w:szCs w:val="6"/>
                  </w:rPr>
                </w:pPr>
              </w:p>
              <w:p>
                <w:pPr>
                  <w:ind w:left="1287" w:hanging="360"/>
                  <w:jc w:val="both"/>
                </w:pPr>
                <w:r>
                  <w:t></w:t>
                  <w:tab/>
                  <w:t>Bendras Lietuvos siekis tiesiogines žemės ūkio išmokas suvienodinti su ES ūkininkais.</w:t>
                </w:r>
              </w:p>
              <w:p>
                <w:pPr>
                  <w:rPr>
                    <w:sz w:val="6"/>
                    <w:szCs w:val="6"/>
                  </w:rPr>
                </w:pPr>
              </w:p>
              <w:p>
                <w:pPr>
                  <w:ind w:left="1287" w:hanging="360"/>
                  <w:jc w:val="both"/>
                </w:pPr>
                <w:r>
                  <w:t></w:t>
                  <w:tab/>
                  <w:t>Esamas palankus teisinis reglamentavimas, kuris leidžia derinti smulkių ir vidutinių ūkių žemės ūkio veiklą su kita apmokama veikla, taip užtikrinant didesnį šiomis veiklos užsiimančių gyventojų pajamų stabilumą.</w:t>
                </w:r>
              </w:p>
              <w:p>
                <w:pPr>
                  <w:rPr>
                    <w:sz w:val="6"/>
                    <w:szCs w:val="6"/>
                  </w:rPr>
                </w:pPr>
              </w:p>
              <w:p>
                <w:pPr>
                  <w:ind w:left="1287" w:hanging="360"/>
                  <w:jc w:val="both"/>
                </w:pPr>
                <w:r>
                  <w:t></w:t>
                  <w:tab/>
                  <w:t>Esamos mokslo ir mokymo institucijos, gebančios kurti ir diegti inovacijas skirtinguose ekonomikos sektoriuose, santykinai didelė technologijų ir inovacijų pasiūla.</w:t>
                </w:r>
              </w:p>
              <w:p>
                <w:pPr>
                  <w:rPr>
                    <w:sz w:val="6"/>
                    <w:szCs w:val="6"/>
                  </w:rPr>
                </w:pPr>
              </w:p>
              <w:p>
                <w:pPr>
                  <w:ind w:left="1287" w:hanging="360"/>
                  <w:jc w:val="both"/>
                </w:pPr>
                <w:r>
                  <w:t></w:t>
                  <w:tab/>
                  <w:t>Esama bendra ES gamtos ir aplinkos apsaugos politikos stiprinimo kryptis, sudaro palankias prielaidas gamtos buveinių ir rūšių išsaugojimui.</w:t>
                </w:r>
              </w:p>
              <w:p>
                <w:pPr>
                  <w:rPr>
                    <w:sz w:val="6"/>
                    <w:szCs w:val="6"/>
                  </w:rPr>
                </w:pPr>
              </w:p>
              <w:p>
                <w:pPr>
                  <w:ind w:left="1287" w:hanging="360"/>
                  <w:jc w:val="both"/>
                </w:pPr>
                <w:r>
                  <w:t></w:t>
                  <w:tab/>
                  <w:t>Dalis ARS teritorijos yra Alytaus m. urbanizacijos poveikio arealas, kas sudaro teigiamas prielaidas priemiestinių rajonų urbanizavimui ir vystymui.</w:t>
                </w:r>
              </w:p>
              <w:p>
                <w:pPr>
                  <w:rPr>
                    <w:sz w:val="6"/>
                    <w:szCs w:val="6"/>
                  </w:rPr>
                </w:pPr>
              </w:p>
              <w:p>
                <w:pPr>
                  <w:ind w:left="1287" w:hanging="360"/>
                  <w:jc w:val="both"/>
                </w:pPr>
                <w:r>
                  <w:t></w:t>
                  <w:tab/>
                  <w:t>Stebimas potencialas bendradarbiaujant su Alytaus m. sav. kartu organizuoti viešąjį transportą iš / į priemiestines teritorijas, taip geriau patenkinant tiek ARS, tiek Alytaus m. sav. gyventojų poreikius.</w:t>
                </w:r>
              </w:p>
              <w:p>
                <w:pPr>
                  <w:rPr>
                    <w:sz w:val="6"/>
                    <w:szCs w:val="6"/>
                  </w:rPr>
                </w:pPr>
              </w:p>
              <w:p>
                <w:pPr>
                  <w:ind w:left="1287" w:hanging="360"/>
                  <w:jc w:val="both"/>
                </w:pPr>
                <w:r>
                  <w:t></w:t>
                  <w:tab/>
                  <w:t>Geografinės vietos sąlygotas palankus susisiekimas su užsienio šalimis: Lenkija ir Baltarusija, yra teigiamas veiksnys ekonominei ARS plėtrai.</w:t>
                </w:r>
              </w:p>
              <w:p>
                <w:pPr>
                  <w:rPr>
                    <w:sz w:val="6"/>
                    <w:szCs w:val="6"/>
                  </w:rPr>
                </w:pPr>
              </w:p>
              <w:p>
                <w:pPr>
                  <w:ind w:left="1287" w:hanging="360"/>
                  <w:jc w:val="both"/>
                </w:pPr>
                <w:r>
                  <w:t></w:t>
                  <w:tab/>
                  <w:t>Visoje šalyje įgyvendinama pėsčiųjų ir dviračių takų plėtra, esamų būklės gerinimas, integracija į bendrą šalies ir apskrities dviračių takų tinklą.</w:t>
                </w:r>
              </w:p>
              <w:p>
                <w:pPr>
                  <w:rPr>
                    <w:sz w:val="6"/>
                    <w:szCs w:val="6"/>
                  </w:rPr>
                </w:pPr>
              </w:p>
              <w:p>
                <w:pPr>
                  <w:ind w:left="1287" w:hanging="360"/>
                  <w:jc w:val="both"/>
                </w:pPr>
                <w:r>
                  <w:t></w:t>
                  <w:tab/>
                  <w:t>Pagal Europos Parlamento ir Tarybos direktyvą 2009/28/EB dėl skatinimo naudoti atsinaujinančių energijos išteklių energiją, Lietuva yra įsipareigojusi iki 2020 m. atsinaujinančių energijos išteklių dalį padidinti iki 23% ir atsinaujinančių energijos išteklių dalį transporto sektoriaus galutiniame energijos suvartojime visų rūšių transporte padidinti ne mažiau kaip iki 10%.</w:t>
                </w:r>
              </w:p>
              <w:p>
                <w:pPr>
                  <w:rPr>
                    <w:sz w:val="6"/>
                    <w:szCs w:val="6"/>
                  </w:rPr>
                </w:pPr>
              </w:p>
              <w:p>
                <w:pPr>
                  <w:ind w:left="1287" w:hanging="360"/>
                  <w:jc w:val="both"/>
                </w:pPr>
                <w:r>
                  <w:t></w:t>
                  <w:tab/>
                  <w:t>Didelė dalis gyventojų namuose turi kompiuterį ir prieigą prie interneto, kas sudaro teigiamas prielaidas elektroninių paslaugų plėtrai ir inovacijų diegimui.</w:t>
                </w:r>
              </w:p>
              <w:p>
                <w:pPr>
                  <w:rPr>
                    <w:sz w:val="6"/>
                    <w:szCs w:val="6"/>
                  </w:rPr>
                </w:pPr>
              </w:p>
              <w:p>
                <w:pPr>
                  <w:ind w:left="1287" w:hanging="360"/>
                  <w:jc w:val="both"/>
                </w:pPr>
                <w:r>
                  <w:t></w:t>
                  <w:tab/>
                  <w:t>Stebima bendra viešojo sektoriaus atvirumo augimo ir didesnio visuomenės bei gyventojų įsitraukimo į sprendimų priėmimą tendencija, padeda priimti visuomenei geriausius sprendimus, skatina pilietiškumą ir visuomenės motyvaciją būti aktyviais; vis dėlto visuomenės įtraukimas į strateginius sprendimus savivaldos institucijoms yra didelis iššūkis, kuris reikalauja didesnių pastangų, laiko sąnaudų, skaidrumo siekiant užtikrinti įvairių požiūrių integralumą.</w:t>
                </w:r>
              </w:p>
            </w:tc>
          </w:tr>
          <w:tr>
            <w:tc>
              <w:tcPr>
                <w:tcW w:w="4974" w:type="pct"/>
                <w:shd w:val="clear" w:color="auto" w:fill="auto"/>
              </w:tcPr>
              <w:p>
                <w:pPr>
                  <w:jc w:val="both"/>
                  <w:rPr>
                    <w:b/>
                    <w:i/>
                    <w:szCs w:val="24"/>
                  </w:rPr>
                </w:pPr>
                <w:r>
                  <w:rPr>
                    <w:b/>
                    <w:i/>
                    <w:szCs w:val="24"/>
                  </w:rPr>
                  <w:t>Grėsmės</w:t>
                </w:r>
              </w:p>
              <w:p>
                <w:pPr>
                  <w:ind w:left="1287" w:hanging="360"/>
                  <w:jc w:val="both"/>
                </w:pPr>
                <w:r>
                  <w:t></w:t>
                  <w:tab/>
                  <w:t>Bendra Lietuvai ir ARS demografinio senatvės koeficiento blogėjimo ir augančio gyventojų sergamumo rodiklio tendencija gali daryti įtaką socialinių paslaugų bei sveikatos priežiūros paslaugų poreikio augimui ir atitinkamai didesniam finansavimo poreikiui ateityje; tikėtinas sveikatos ir socialinių paslaugų teikimo poreikio kuo arčiau gyvenamosios vietos padidėjimas.</w:t>
                </w:r>
              </w:p>
              <w:p>
                <w:pPr>
                  <w:rPr>
                    <w:sz w:val="6"/>
                    <w:szCs w:val="6"/>
                  </w:rPr>
                </w:pPr>
              </w:p>
              <w:p>
                <w:pPr>
                  <w:ind w:left="1287" w:hanging="360"/>
                  <w:jc w:val="both"/>
                </w:pPr>
                <w:r>
                  <w:t></w:t>
                  <w:tab/>
                  <w:t>Materialinių, žmogiškųjų resursų trūkumas bei nepakankamai išvystytas NVO tinklas sąlygoja, kad kai kurios gyventojams aktualios socialinės paslaugos nėra teikiamos arba teikiamos tik iš dalies, taip didinant gyventojų socialinės atskirties augimo riziką, poreikį didesniam finansavimui ateityje.</w:t>
                </w:r>
              </w:p>
              <w:p>
                <w:pPr>
                  <w:rPr>
                    <w:sz w:val="6"/>
                    <w:szCs w:val="6"/>
                  </w:rPr>
                </w:pPr>
              </w:p>
              <w:p>
                <w:pPr>
                  <w:ind w:left="1287" w:hanging="360"/>
                  <w:jc w:val="both"/>
                </w:pPr>
                <w:r>
                  <w:t></w:t>
                  <w:tab/>
                  <w:t>Neaiški ir dažnai besikeičianti sveikatos priežiūros nacionalinė politika, sveikatos priežiūros specialistų trūkumas, jų amžiaus vidurkio augimas, poreikis didinti ARS konkurencingumą pritraukiant jaunus specialistus darbui ARS tampa dar svarbesnis.</w:t>
                </w:r>
              </w:p>
              <w:p>
                <w:pPr>
                  <w:rPr>
                    <w:sz w:val="6"/>
                    <w:szCs w:val="6"/>
                  </w:rPr>
                </w:pPr>
              </w:p>
              <w:p>
                <w:pPr>
                  <w:ind w:left="1287" w:hanging="360"/>
                  <w:jc w:val="both"/>
                </w:pPr>
                <w:r>
                  <w:t></w:t>
                  <w:tab/>
                  <w:t>Blogėjanti gyventojų sveikata dėl mažo fizinio aktyvumo, žalingų įpročių ir kt.</w:t>
                </w:r>
              </w:p>
              <w:p>
                <w:pPr>
                  <w:rPr>
                    <w:sz w:val="6"/>
                    <w:szCs w:val="6"/>
                  </w:rPr>
                </w:pPr>
              </w:p>
              <w:p>
                <w:pPr>
                  <w:ind w:left="1287" w:hanging="360"/>
                  <w:jc w:val="both"/>
                </w:pPr>
                <w:r>
                  <w:t></w:t>
                  <w:tab/>
                  <w:t>Dalis gyventojų sveikatos priežiūros, švietimo paslaugas renkasi gauti Alytaus m. sav., kas gali turėti neigiamos įtakos ARS įstaigų klientų srautui ir, atitinkamai, šių įstaigų finansavimui, ateityje keliant iššūkį paslaugų prieinamumo ir kokybės užtikrinimui.</w:t>
                </w:r>
              </w:p>
              <w:p>
                <w:pPr>
                  <w:rPr>
                    <w:sz w:val="6"/>
                    <w:szCs w:val="6"/>
                  </w:rPr>
                </w:pPr>
              </w:p>
              <w:p>
                <w:pPr>
                  <w:ind w:left="1287" w:hanging="360"/>
                  <w:jc w:val="both"/>
                </w:pPr>
                <w:r>
                  <w:t></w:t>
                  <w:tab/>
                  <w:t>Švietimo sistemos iššūkiai: mažėjantis mokinių skaičius bendrojo ugdymo mokyklose, mažas vienam mokytojui tenkančių BU mokinių skaičius, lėtai atsinaujinantis pedagoginis personalas, didėjantis vidutinis mokytojų amžius, mažėjantys esami mokytojų darbo krūviai, iššūkiai pritraukiant kandidatus užimti mokyklų vadovų pareigas – kelia nuolatinį spaudimą nuolat įgyvendinti pertvarkas, gali apsunkinti sklandų tęstinį švietimo sistemos funkcionavimą.</w:t>
                </w:r>
              </w:p>
              <w:p>
                <w:pPr>
                  <w:rPr>
                    <w:sz w:val="6"/>
                    <w:szCs w:val="6"/>
                  </w:rPr>
                </w:pPr>
              </w:p>
              <w:p>
                <w:pPr>
                  <w:ind w:left="1287" w:hanging="360"/>
                  <w:jc w:val="both"/>
                </w:pPr>
                <w:r>
                  <w:t></w:t>
                  <w:tab/>
                  <w:t>Maži mokytojų atlyginimai, neaiški, daug diskusijų kelianti mokytojų etatinio apmokėjimo sistema, riboja galimybes pritraukti jaunus, kvalifikuotus švietimo specialistus, kelia grėsmę mokinių išsilavinimo kokybės užtikrinimui.</w:t>
                </w:r>
              </w:p>
              <w:p>
                <w:pPr>
                  <w:rPr>
                    <w:sz w:val="6"/>
                    <w:szCs w:val="6"/>
                  </w:rPr>
                </w:pPr>
              </w:p>
              <w:p>
                <w:pPr>
                  <w:ind w:left="1287" w:hanging="360"/>
                  <w:jc w:val="both"/>
                </w:pPr>
                <w:r>
                  <w:t></w:t>
                  <w:tab/>
                  <w:t>Aiškios ir stiprios nacionalinės politikos nebuvimas dirbant su jaunimu, žmogiškųjų išteklių stoka dirbant su NVO, bendruomenėmis ir jaunimu.</w:t>
                </w:r>
              </w:p>
              <w:p>
                <w:pPr>
                  <w:rPr>
                    <w:sz w:val="6"/>
                    <w:szCs w:val="6"/>
                  </w:rPr>
                </w:pPr>
              </w:p>
              <w:p>
                <w:pPr>
                  <w:ind w:left="1287" w:hanging="360"/>
                  <w:jc w:val="both"/>
                  <w:rPr>
                    <w:szCs w:val="24"/>
                  </w:rPr>
                </w:pPr>
                <w:r>
                  <w:rPr>
                    <w:szCs w:val="24"/>
                  </w:rPr>
                  <w:t></w:t>
                  <w:tab/>
                </w:r>
                <w:r>
                  <w:t>Bendras gyventojų motyvacijos sportuoti ir dalyvauti kultūrinėse veiklose mažėjimas. Gyventojų pilietinio ir socialinio aktyvumo stoka prisijungiant prie NVO, BO, JO veiklos, savanorystės iniciatyvų; bendradarbiavimo stoka tarp NVO, BO, JO ir jų atstovų.</w:t>
                </w:r>
              </w:p>
              <w:p>
                <w:pPr>
                  <w:ind w:left="1287" w:hanging="360"/>
                  <w:jc w:val="both"/>
                </w:pPr>
                <w:r>
                  <w:t></w:t>
                  <w:tab/>
                  <w:t>COVID-19 sąlygota situacija ir jos padariniai gali turėti neigiamos įtakos bendrai ekonominei ir socialinei situacijai ir raidai. 2020 m. reikšmingą įtaką darbo rinkai ir nedarbo lygio išaugimui turėjo COVID-19 valdymo priemonės bei apribojimai ekonominei ir socialinei veiklai.</w:t>
                </w:r>
              </w:p>
              <w:p>
                <w:pPr>
                  <w:rPr>
                    <w:sz w:val="6"/>
                    <w:szCs w:val="6"/>
                  </w:rPr>
                </w:pPr>
              </w:p>
              <w:p>
                <w:pPr>
                  <w:ind w:left="1287" w:hanging="360"/>
                  <w:jc w:val="both"/>
                </w:pPr>
                <w:r>
                  <w:t></w:t>
                  <w:tab/>
                  <w:t>Tikėtinas lyčių nelygybės problemos darbo rinkoje paaštrėjimas dėl COVID-19, kadangi moterys dažniau netenka darbo, prisiima nedarbingumą vaikų priežiūrai, taip padidinant darbo netekimo riziką ateityje.</w:t>
                </w:r>
              </w:p>
              <w:p>
                <w:pPr>
                  <w:rPr>
                    <w:sz w:val="6"/>
                    <w:szCs w:val="6"/>
                  </w:rPr>
                </w:pPr>
              </w:p>
              <w:p>
                <w:pPr>
                  <w:ind w:left="1287" w:hanging="360"/>
                  <w:jc w:val="both"/>
                </w:pPr>
                <w:r>
                  <w:t></w:t>
                  <w:tab/>
                  <w:t>Jauni žmonės labiau linkę savo ateitį sieti su gyvenimu didesniuose miestuose, todėl siekiant išlaikyti jaunus žmones ARS labai svarbu sukurti palankias sąlygas verslui, investicijoms, skatinti vietos gyventojų (ypač jaunimo) verslumą, didesnę darbo vietų pasiūlą.</w:t>
                </w:r>
              </w:p>
              <w:p>
                <w:pPr>
                  <w:rPr>
                    <w:sz w:val="6"/>
                    <w:szCs w:val="6"/>
                  </w:rPr>
                </w:pPr>
              </w:p>
              <w:p>
                <w:pPr>
                  <w:ind w:left="1287" w:hanging="360"/>
                  <w:jc w:val="both"/>
                </w:pPr>
                <w:r>
                  <w:t></w:t>
                  <w:tab/>
                  <w:t>Valstybės lygiu trūksta savalaikių, vieningų ir tikslių duomenų apie turizmo sektorių ir jo rezultatus, kurie leistų priimti įrodymais grįstus sprendimus.</w:t>
                </w:r>
              </w:p>
              <w:p>
                <w:pPr>
                  <w:rPr>
                    <w:sz w:val="6"/>
                    <w:szCs w:val="6"/>
                  </w:rPr>
                </w:pPr>
              </w:p>
              <w:p>
                <w:pPr>
                  <w:ind w:left="1287" w:hanging="360"/>
                  <w:jc w:val="both"/>
                </w:pPr>
                <w:r>
                  <w:t></w:t>
                  <w:tab/>
                  <w:t>Didėjantys turizmo srautai paprastai turi neigiamos įtakos gamtiniams ir kultūriniams ištekliams, todėl labai svarbu tinkamai subalansuoti aplinkos ir vertybių apsaugos (tvarumas, vertybių apsauga) bei ekonominius (darbo vietų kūrimas, kuriamos pridėtinės vertės augimas) interesus.</w:t>
                </w:r>
              </w:p>
              <w:p>
                <w:pPr>
                  <w:rPr>
                    <w:sz w:val="6"/>
                    <w:szCs w:val="6"/>
                  </w:rPr>
                </w:pPr>
              </w:p>
              <w:p>
                <w:pPr>
                  <w:ind w:left="1287" w:hanging="360"/>
                  <w:jc w:val="both"/>
                </w:pPr>
                <w:r>
                  <w:t></w:t>
                  <w:tab/>
                  <w:t>Aiškios, stiprios ir įgalintos regioninės žemės ūkio politikos trūkumas. Nepakankamas dėmesys ekologinių ūkių bei šeimos ūkių plėtrai ir skatinimui.</w:t>
                </w:r>
              </w:p>
              <w:p>
                <w:pPr>
                  <w:rPr>
                    <w:sz w:val="6"/>
                    <w:szCs w:val="6"/>
                  </w:rPr>
                </w:pPr>
              </w:p>
              <w:p>
                <w:pPr>
                  <w:ind w:left="1287" w:hanging="360"/>
                  <w:jc w:val="both"/>
                  <w:rPr>
                    <w:szCs w:val="24"/>
                  </w:rPr>
                </w:pPr>
                <w:r>
                  <w:rPr>
                    <w:szCs w:val="24"/>
                  </w:rPr>
                  <w:t></w:t>
                  <w:tab/>
                </w:r>
                <w:r>
                  <w:t>Žemės ūkio veiklos patrauklumas mažėja dėl spartesnio darbo užmokesčio augimo kituose ekonomikos sektoriuose, santykinai didelių žemės ūkio produkcijos kainų svyravimų pasaulinėse rinkose. Hidrometeorologinės sąlygos ir klimato kaitos problema prisideda prie žemės ūkio sektoriaus rizikų išaugimo, produkcijos kiekio ir kokybės svyravimų, pajamų nestabilumo ir kt.</w:t>
                </w:r>
              </w:p>
              <w:p>
                <w:pPr>
                  <w:ind w:left="1287" w:hanging="360"/>
                  <w:jc w:val="both"/>
                </w:pPr>
                <w:r>
                  <w:t></w:t>
                  <w:tab/>
                  <w:t>Kintančios hidrometeorologinės sąlygos, dažnėjantys ir stiprėjantys nepalankūs gamtos reiškiniai dėl klimato kaitos stiprina poreikį ypatingą dėmesį skirti susikertančių gamtos ir aplinkos apsaugos bei ūkinės veiklos vykdymo ir vystymo interesų suderinimui.</w:t>
                </w:r>
              </w:p>
              <w:p>
                <w:pPr>
                  <w:rPr>
                    <w:sz w:val="6"/>
                    <w:szCs w:val="6"/>
                  </w:rPr>
                </w:pPr>
              </w:p>
              <w:p>
                <w:pPr>
                  <w:ind w:left="1287" w:hanging="360"/>
                  <w:jc w:val="both"/>
                </w:pPr>
                <w:r>
                  <w:t></w:t>
                  <w:tab/>
                  <w:t>Neigiamas žmogaus ūkinės veiklos poveikis gamtai ir aplinkai, gyventojų sąmoningumas ir išprusimas aplinkosaugos, ekologijos, rūšiavimo srityse yra nepakankamas, todėl labai svarbu užtikrinti tinkamą visuomenės informavimą ir ugdymą, siekiant suvaldyti potencialią žalą gamtai ir aplinkai.</w:t>
                </w:r>
              </w:p>
              <w:p>
                <w:pPr>
                  <w:rPr>
                    <w:sz w:val="6"/>
                    <w:szCs w:val="6"/>
                  </w:rPr>
                </w:pPr>
              </w:p>
              <w:p>
                <w:pPr>
                  <w:ind w:left="1287" w:hanging="360"/>
                  <w:jc w:val="both"/>
                </w:pPr>
                <w:r>
                  <w:t></w:t>
                  <w:tab/>
                  <w:t>Remiantis EK teisiniu reglamentavimu, ARS gyventojams nėra prievolės jungtis prie centralizuotų komunalinio ūkio tinklų, gyventojai gana pasyviai jungiasi prie centralizuotų tinklų.</w:t>
                </w:r>
              </w:p>
              <w:p>
                <w:pPr>
                  <w:rPr>
                    <w:sz w:val="6"/>
                    <w:szCs w:val="6"/>
                  </w:rPr>
                </w:pPr>
              </w:p>
              <w:p>
                <w:pPr>
                  <w:ind w:left="1287" w:hanging="360"/>
                  <w:jc w:val="both"/>
                  <w:rPr>
                    <w:szCs w:val="24"/>
                  </w:rPr>
                </w:pPr>
                <w:r>
                  <w:rPr>
                    <w:szCs w:val="24"/>
                  </w:rPr>
                  <w:t></w:t>
                  <w:tab/>
                </w:r>
                <w:r>
                  <w:t>Aiškios ir nuoseklios nacionalinės politikos dėl šalies IT ūkio valdymo, IT optimizavimo viešajame sektoriuje, konsolidavimo ir pan. trūkumas.</w:t>
                </w:r>
              </w:p>
            </w:tc>
          </w:tr>
        </w:tbl>
        <w:p>
          <w:pP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8"/>
            <w:gridCol w:w="7541"/>
          </w:tblGrid>
          <w:tr>
            <w:tc>
              <w:tcPr>
                <w:tcW w:w="1076" w:type="pct"/>
                <w:tcBorders>
                  <w:top w:val="single" w:sz="12" w:space="0" w:color="auto"/>
                  <w:left w:val="single" w:sz="12" w:space="0" w:color="auto"/>
                  <w:bottom w:val="single" w:sz="12" w:space="0" w:color="auto"/>
                </w:tcBorders>
              </w:tcPr>
              <w:p>
                <w:pPr>
                  <w:tabs>
                    <w:tab w:val="center" w:pos="4819"/>
                    <w:tab w:val="right" w:pos="9638"/>
                  </w:tabs>
                  <w:rPr>
                    <w:bCs/>
                    <w:szCs w:val="24"/>
                  </w:rPr>
                </w:pPr>
                <w:r>
                  <w:rPr>
                    <w:bCs/>
                    <w:szCs w:val="24"/>
                  </w:rPr>
                  <w:t>Misija</w:t>
                </w:r>
              </w:p>
            </w:tc>
            <w:tc>
              <w:tcPr>
                <w:tcW w:w="3924" w:type="pct"/>
                <w:tcBorders>
                  <w:top w:val="single" w:sz="12" w:space="0" w:color="auto"/>
                  <w:bottom w:val="single" w:sz="12" w:space="0" w:color="auto"/>
                  <w:right w:val="single" w:sz="12" w:space="0" w:color="auto"/>
                </w:tcBorders>
              </w:tcPr>
              <w:p>
                <w:pPr>
                  <w:tabs>
                    <w:tab w:val="center" w:pos="4819"/>
                    <w:tab w:val="right" w:pos="9638"/>
                  </w:tabs>
                  <w:rPr>
                    <w:bCs/>
                    <w:szCs w:val="24"/>
                  </w:rPr>
                </w:pPr>
                <w:r>
                  <w:rPr>
                    <w:bCs/>
                    <w:szCs w:val="24"/>
                  </w:rPr>
                  <w:t>Užtikrinti teikiamų viešojo administravimo ir viešųjų paslaugų lygį, atitinkantį gyventojų poreikius ir tenkinti gyventojų lūkesčius, gerinant jų gyvenimo kokybę.</w:t>
                </w:r>
              </w:p>
            </w:tc>
          </w:tr>
          <w:tr>
            <w:tc>
              <w:tcPr>
                <w:tcW w:w="1076" w:type="pct"/>
                <w:tcBorders>
                  <w:top w:val="single" w:sz="12" w:space="0" w:color="auto"/>
                  <w:left w:val="single" w:sz="12" w:space="0" w:color="auto"/>
                  <w:bottom w:val="single" w:sz="12" w:space="0" w:color="auto"/>
                </w:tcBorders>
              </w:tcPr>
              <w:p>
                <w:pPr>
                  <w:tabs>
                    <w:tab w:val="center" w:pos="4819"/>
                    <w:tab w:val="right" w:pos="9638"/>
                  </w:tabs>
                  <w:rPr>
                    <w:bCs/>
                  </w:rPr>
                </w:pPr>
                <w:r>
                  <w:rPr>
                    <w:bCs/>
                  </w:rPr>
                  <w:t xml:space="preserve">Strateginiai </w:t>
                </w:r>
              </w:p>
              <w:p>
                <w:pPr>
                  <w:tabs>
                    <w:tab w:val="center" w:pos="4819"/>
                    <w:tab w:val="right" w:pos="9638"/>
                  </w:tabs>
                  <w:rPr>
                    <w:bCs/>
                  </w:rPr>
                </w:pPr>
                <w:r>
                  <w:rPr>
                    <w:bCs/>
                  </w:rPr>
                  <w:t>pokyčiai</w:t>
                </w:r>
              </w:p>
            </w:tc>
            <w:tc>
              <w:tcPr>
                <w:tcW w:w="3924" w:type="pct"/>
                <w:tcBorders>
                  <w:top w:val="single" w:sz="12" w:space="0" w:color="auto"/>
                  <w:bottom w:val="single" w:sz="12" w:space="0" w:color="auto"/>
                  <w:right w:val="single" w:sz="12" w:space="0" w:color="auto"/>
                </w:tcBorders>
                <w:shd w:val="clear" w:color="auto" w:fill="FFFFFF"/>
              </w:tcPr>
              <w:p>
                <w:pPr>
                  <w:tabs>
                    <w:tab w:val="center" w:pos="4819"/>
                    <w:tab w:val="right" w:pos="9638"/>
                  </w:tabs>
                  <w:jc w:val="both"/>
                  <w:rPr>
                    <w:bCs/>
                  </w:rPr>
                </w:pPr>
                <w:r>
                  <w:rPr>
                    <w:bCs/>
                  </w:rPr>
                  <w:t>Modernizuojamas rajonas, plėtojant inžinerinę ir susiekimo infrastruktūrą, saugant teritorijų savitumą. Gerinama gyventojų gyvenimo kokybė, siekiant žmogaus ir aplinkos santarvės, skatinant darbo vietų kūrimą, sudarant sąlygas verslo plėtrai.</w:t>
                </w:r>
              </w:p>
            </w:tc>
          </w:tr>
        </w:tbl>
        <w:p>
          <w:pPr>
            <w:rPr>
              <w:b/>
              <w:bCs/>
              <w:szCs w:val="24"/>
            </w:rPr>
          </w:pPr>
        </w:p>
        <w:tbl>
          <w:tblPr>
            <w:tblW w:w="5000" w:type="pct"/>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firstRow="1" w:lastRow="0" w:firstColumn="1" w:lastColumn="0" w:noHBand="0" w:noVBand="0"/>
          </w:tblPr>
          <w:tblGrid>
            <w:gridCol w:w="2070"/>
            <w:gridCol w:w="7539"/>
          </w:tblGrid>
          <w:tr>
            <w:trPr>
              <w:cantSplit/>
            </w:trPr>
            <w:tc>
              <w:tcPr>
                <w:tcW w:w="5000" w:type="pct"/>
                <w:gridSpan w:val="2"/>
                <w:tcBorders>
                  <w:top w:val="single" w:sz="12" w:space="0" w:color="auto"/>
                  <w:bottom w:val="single" w:sz="2" w:space="0" w:color="auto"/>
                </w:tcBorders>
              </w:tcPr>
              <w:p>
                <w:pPr>
                  <w:jc w:val="both"/>
                  <w:rPr>
                    <w:b/>
                    <w:bCs/>
                    <w:szCs w:val="24"/>
                  </w:rPr>
                </w:pPr>
                <w:r>
                  <w:rPr>
                    <w:szCs w:val="24"/>
                  </w:rPr>
                  <w:t xml:space="preserve">Institucijos strateginiai tikslai </w:t>
                </w:r>
                <w:r>
                  <w:rPr>
                    <w:bCs/>
                    <w:szCs w:val="24"/>
                  </w:rPr>
                  <w:t>ir efekto kriterijai:</w:t>
                </w:r>
              </w:p>
            </w:tc>
          </w:tr>
          <w:tr>
            <w:trPr>
              <w:cantSplit/>
            </w:trPr>
            <w:tc>
              <w:tcPr>
                <w:tcW w:w="1077" w:type="pct"/>
                <w:tcBorders>
                  <w:top w:val="single" w:sz="2" w:space="0" w:color="auto"/>
                  <w:right w:val="single" w:sz="2" w:space="0" w:color="auto"/>
                </w:tcBorders>
              </w:tcPr>
              <w:p>
                <w:pPr>
                  <w:jc w:val="both"/>
                  <w:rPr>
                    <w:b/>
                    <w:bCs/>
                    <w:szCs w:val="24"/>
                  </w:rPr>
                </w:pPr>
                <w:r>
                  <w:rPr>
                    <w:szCs w:val="24"/>
                  </w:rPr>
                  <w:t>Kodas</w:t>
                </w:r>
              </w:p>
            </w:tc>
            <w:tc>
              <w:tcPr>
                <w:tcW w:w="3923" w:type="pct"/>
                <w:tcBorders>
                  <w:top w:val="single" w:sz="2" w:space="0" w:color="auto"/>
                  <w:left w:val="single" w:sz="2" w:space="0" w:color="auto"/>
                </w:tcBorders>
              </w:tcPr>
              <w:p>
                <w:pPr>
                  <w:jc w:val="both"/>
                  <w:rPr>
                    <w:szCs w:val="24"/>
                  </w:rPr>
                </w:pPr>
                <w:r>
                  <w:rPr>
                    <w:szCs w:val="24"/>
                  </w:rPr>
                  <w:t>INSTITUCIJOS STRATEGINIO TIKSLO PAVADINIMAS</w:t>
                </w:r>
              </w:p>
            </w:tc>
          </w:tr>
          <w:tr>
            <w:trPr>
              <w:cantSplit/>
            </w:trPr>
            <w:tc>
              <w:tcPr>
                <w:tcW w:w="1077" w:type="pct"/>
                <w:tcBorders>
                  <w:bottom w:val="single" w:sz="2" w:space="0" w:color="auto"/>
                  <w:right w:val="single" w:sz="2" w:space="0" w:color="auto"/>
                </w:tcBorders>
              </w:tcPr>
              <w:p>
                <w:pPr>
                  <w:jc w:val="both"/>
                  <w:rPr>
                    <w:bCs/>
                    <w:szCs w:val="24"/>
                  </w:rPr>
                </w:pPr>
                <w:r>
                  <w:rPr>
                    <w:bCs/>
                    <w:szCs w:val="24"/>
                  </w:rPr>
                  <w:t>01</w:t>
                </w:r>
              </w:p>
            </w:tc>
            <w:tc>
              <w:tcPr>
                <w:tcW w:w="3923" w:type="pct"/>
                <w:tcBorders>
                  <w:left w:val="single" w:sz="2" w:space="0" w:color="auto"/>
                  <w:bottom w:val="single" w:sz="2" w:space="0" w:color="auto"/>
                </w:tcBorders>
              </w:tcPr>
              <w:p>
                <w:pPr>
                  <w:rPr>
                    <w:b/>
                    <w:bCs/>
                    <w:caps/>
                    <w:szCs w:val="24"/>
                  </w:rPr>
                </w:pPr>
                <w:r>
                  <w:rPr>
                    <w:b/>
                    <w:bCs/>
                    <w:caps/>
                    <w:szCs w:val="24"/>
                  </w:rPr>
                  <w:t>Kurti pilietišką, išsilavinusią, kūrybišką, sveikai ir saugiai gyvenančią bendruomenę</w:t>
                </w:r>
              </w:p>
            </w:tc>
          </w:tr>
          <w:tr>
            <w:trPr>
              <w:cantSplit/>
              <w:trHeight w:val="1223"/>
            </w:trPr>
            <w:tc>
              <w:tcPr>
                <w:tcW w:w="5000" w:type="pct"/>
                <w:gridSpan w:val="2"/>
                <w:tcBorders>
                  <w:top w:val="single" w:sz="2" w:space="0" w:color="auto"/>
                </w:tcBorders>
              </w:tcPr>
              <w:p>
                <w:pPr>
                  <w:jc w:val="both"/>
                  <w:rPr>
                    <w:b/>
                    <w:bCs/>
                    <w:szCs w:val="24"/>
                  </w:rPr>
                </w:pPr>
                <w:r>
                  <w:rPr>
                    <w:szCs w:val="24"/>
                  </w:rPr>
                  <w:t xml:space="preserve">Strateginio tikslo aprašymas: </w:t>
                </w:r>
                <w:r>
                  <w:rPr>
                    <w:szCs w:val="18"/>
                  </w:rPr>
                  <w:t>ugdymo siekiamybės – pilietiškos, savarankiškai, kūrybiškai ir konstruktyviai mąstančios, gebančios remtis įvairių kultūrų vertybėmis asmenybės. Siekiama skurde gyvenantiems, ties skurdo riba atsidūrusiems ir socialinę atskirtį patiriantiems asmenims suteikti įgūdžių ir galimybių patiems pasirūpinti savimi, savo gyvenimo kokybe ir likimu.</w:t>
                </w:r>
              </w:p>
            </w:tc>
          </w:tr>
          <w:tr>
            <w:trPr>
              <w:cantSplit/>
            </w:trPr>
            <w:tc>
              <w:tcPr>
                <w:tcW w:w="5000" w:type="pct"/>
                <w:gridSpan w:val="2"/>
              </w:tcPr>
              <w:p>
                <w:pPr>
                  <w:jc w:val="both"/>
                  <w:rPr>
                    <w:b/>
                    <w:bCs/>
                    <w:szCs w:val="24"/>
                  </w:rPr>
                </w:pPr>
                <w:r>
                  <w:rPr>
                    <w:szCs w:val="24"/>
                  </w:rPr>
                  <w:t>Įgyvendinant šį strateginį tikslą vykdoma programa (-os):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Kodas</w:t>
                </w:r>
              </w:p>
            </w:tc>
            <w:tc>
              <w:tcPr>
                <w:tcW w:w="3923" w:type="pct"/>
                <w:tcBorders>
                  <w:left w:val="single" w:sz="4" w:space="0" w:color="auto"/>
                  <w:bottom w:val="single" w:sz="4" w:space="0" w:color="auto"/>
                </w:tcBorders>
              </w:tcPr>
              <w:p>
                <w:pPr>
                  <w:jc w:val="both"/>
                  <w:rPr>
                    <w:szCs w:val="24"/>
                  </w:rPr>
                </w:pPr>
                <w:r>
                  <w:rPr>
                    <w:szCs w:val="24"/>
                  </w:rPr>
                  <w:t>Vykdomos programos pavadinimas: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01</w:t>
                </w:r>
              </w:p>
              <w:p>
                <w:pPr>
                  <w:jc w:val="both"/>
                  <w:rPr>
                    <w:szCs w:val="24"/>
                  </w:rPr>
                </w:pPr>
                <w:r>
                  <w:rPr>
                    <w:szCs w:val="24"/>
                  </w:rPr>
                  <w:t>08</w:t>
                </w:r>
              </w:p>
              <w:p>
                <w:pPr>
                  <w:jc w:val="both"/>
                  <w:rPr>
                    <w:szCs w:val="24"/>
                  </w:rPr>
                </w:pPr>
                <w:r>
                  <w:rPr>
                    <w:szCs w:val="24"/>
                  </w:rPr>
                  <w:t>09</w:t>
                </w:r>
              </w:p>
              <w:p>
                <w:pPr>
                  <w:jc w:val="both"/>
                  <w:rPr>
                    <w:szCs w:val="24"/>
                  </w:rPr>
                </w:pPr>
                <w:r>
                  <w:rPr>
                    <w:szCs w:val="24"/>
                  </w:rPr>
                  <w:t>10</w:t>
                </w:r>
              </w:p>
            </w:tc>
            <w:tc>
              <w:tcPr>
                <w:tcW w:w="3923" w:type="pct"/>
                <w:tcBorders>
                  <w:left w:val="single" w:sz="4" w:space="0" w:color="auto"/>
                  <w:bottom w:val="single" w:sz="4" w:space="0" w:color="auto"/>
                </w:tcBorders>
              </w:tcPr>
              <w:p>
                <w:pPr>
                  <w:ind w:left="96"/>
                  <w:jc w:val="both"/>
                  <w:rPr>
                    <w:bCs/>
                  </w:rPr>
                </w:pPr>
                <w:r>
                  <w:rPr>
                    <w:bCs/>
                  </w:rPr>
                  <w:t>Jaunimo politikos įgyvendinimas;</w:t>
                </w:r>
              </w:p>
              <w:p>
                <w:pPr>
                  <w:ind w:left="96"/>
                  <w:jc w:val="both"/>
                  <w:rPr>
                    <w:bCs/>
                  </w:rPr>
                </w:pPr>
                <w:r>
                  <w:rPr>
                    <w:bCs/>
                  </w:rPr>
                  <w:t>Kultūros veiklos plėtra ir jos vaidmens bendruomenės gyvenime stiprinimas;</w:t>
                </w:r>
              </w:p>
              <w:p>
                <w:pPr>
                  <w:ind w:left="96"/>
                  <w:jc w:val="both"/>
                  <w:rPr>
                    <w:bCs/>
                  </w:rPr>
                </w:pPr>
                <w:r>
                  <w:rPr>
                    <w:bCs/>
                  </w:rPr>
                  <w:t>Švietimo, sporto paslaugų tiekimas ir plėtra savivaldybės teritorijoje;</w:t>
                </w:r>
              </w:p>
              <w:p>
                <w:pPr>
                  <w:ind w:left="96"/>
                  <w:jc w:val="both"/>
                  <w:rPr>
                    <w:bCs/>
                  </w:rPr>
                </w:pPr>
                <w:r>
                  <w:rPr>
                    <w:bCs/>
                  </w:rPr>
                  <w:t>Socialinės apsaugos plėtojimas, skurdo ir socialinės atskirties mažinimas ir sveikatos apsauga</w:t>
                </w:r>
              </w:p>
            </w:tc>
          </w:tr>
          <w:tr>
            <w:trPr>
              <w:cantSplit/>
              <w:trHeight w:val="263"/>
            </w:trPr>
            <w:tc>
              <w:tcPr>
                <w:tcW w:w="5000" w:type="pct"/>
                <w:gridSpan w:val="2"/>
                <w:tcBorders>
                  <w:bottom w:val="single" w:sz="12" w:space="0" w:color="auto"/>
                </w:tcBorders>
              </w:tcPr>
              <w:p>
                <w:pPr>
                  <w:jc w:val="both"/>
                  <w:rPr>
                    <w:b/>
                    <w:szCs w:val="24"/>
                  </w:rPr>
                </w:pPr>
                <w:r>
                  <w:rPr>
                    <w:b/>
                    <w:szCs w:val="24"/>
                  </w:rPr>
                  <w:t>Efekto kriterijai:</w:t>
                </w:r>
              </w:p>
              <w:p>
                <w:pPr>
                  <w:jc w:val="both"/>
                  <w:rPr>
                    <w:szCs w:val="24"/>
                  </w:rPr>
                </w:pPr>
                <w:r>
                  <w:rPr>
                    <w:b/>
                    <w:szCs w:val="24"/>
                  </w:rPr>
                  <w:t>E-01-01-01</w:t>
                </w:r>
                <w:r>
                  <w:rPr>
                    <w:szCs w:val="24"/>
                  </w:rPr>
                  <w:t xml:space="preserve"> </w:t>
                </w:r>
                <w:r>
                  <w:rPr>
                    <w:szCs w:val="22"/>
                  </w:rPr>
                  <w:t>Jaunimo ir su jaunimu dirbančių organizacijų institucinės paramos ir organizacijų potencialo plėtojimo skaičiaus kitimas, vnt.</w:t>
                </w:r>
              </w:p>
              <w:p>
                <w:pPr>
                  <w:jc w:val="both"/>
                  <w:rPr>
                    <w:szCs w:val="24"/>
                  </w:rPr>
                </w:pPr>
                <w:r>
                  <w:rPr>
                    <w:b/>
                    <w:szCs w:val="24"/>
                  </w:rPr>
                  <w:t>E-01-08-01</w:t>
                </w:r>
                <w:r>
                  <w:rPr>
                    <w:szCs w:val="24"/>
                  </w:rPr>
                  <w:t xml:space="preserve"> Renginių skaičiaus Alytaus rajone didėjimas, proc.</w:t>
                </w:r>
              </w:p>
              <w:p>
                <w:pPr>
                  <w:jc w:val="both"/>
                  <w:rPr>
                    <w:szCs w:val="24"/>
                  </w:rPr>
                </w:pPr>
                <w:r>
                  <w:rPr>
                    <w:b/>
                    <w:szCs w:val="24"/>
                  </w:rPr>
                  <w:t xml:space="preserve">E-01-08-02 </w:t>
                </w:r>
                <w:r>
                  <w:rPr>
                    <w:szCs w:val="24"/>
                  </w:rPr>
                  <w:t>Sutvarkyti pastatai ir pastatai pritaikyti bendruomenės poreikiams, skatinamas etnokultūros puoselėjimas, apsaugotos nekilnojamų ir kilnojamųjų kultūros vertybės</w:t>
                </w:r>
              </w:p>
              <w:p>
                <w:pPr>
                  <w:jc w:val="both"/>
                </w:pPr>
                <w:r>
                  <w:rPr>
                    <w:b/>
                    <w:szCs w:val="24"/>
                  </w:rPr>
                  <w:t>E-01-09-01</w:t>
                </w:r>
                <w:r>
                  <w:rPr>
                    <w:szCs w:val="24"/>
                  </w:rPr>
                  <w:t xml:space="preserve"> </w:t>
                </w:r>
                <w:r>
                  <w:t xml:space="preserve">Mokinių, gavusių Brandos atestatus, dalis nuo visų baigusių  IV gimnazijos klasę  mokinių skaičiaus, proc.</w:t>
                </w:r>
              </w:p>
              <w:p>
                <w:pPr>
                  <w:jc w:val="both"/>
                </w:pPr>
                <w:r>
                  <w:rPr>
                    <w:b/>
                    <w:szCs w:val="24"/>
                  </w:rPr>
                  <w:t>E-01-09-02</w:t>
                </w:r>
                <w:r>
                  <w:rPr>
                    <w:szCs w:val="24"/>
                  </w:rPr>
                  <w:t xml:space="preserve"> </w:t>
                </w:r>
                <w:r>
                  <w:t>Mokinių, gavusių Pagrindinio išsilavinimo pažymėjimus, dalis nuo visų baigusių 10 klasę (II gimnazijos klasę) mokinių skaičiaus, proc.</w:t>
                </w:r>
              </w:p>
              <w:p>
                <w:pPr>
                  <w:jc w:val="both"/>
                </w:pPr>
                <w:r>
                  <w:rPr>
                    <w:b/>
                    <w:szCs w:val="24"/>
                  </w:rPr>
                  <w:t xml:space="preserve">E-01-09-03 </w:t>
                </w:r>
                <w:r>
                  <w:t>Mokinių, gavusių Pradinio išsilavinimo pažymėjimus, dalis nuo visų baigusių 4 klasę mokinių skaičiaus, proc.</w:t>
                </w:r>
              </w:p>
              <w:p>
                <w:pPr>
                  <w:jc w:val="both"/>
                  <w:rPr>
                    <w:szCs w:val="24"/>
                  </w:rPr>
                </w:pPr>
                <w:r>
                  <w:rPr>
                    <w:b/>
                    <w:szCs w:val="24"/>
                  </w:rPr>
                  <w:t>E-01-10-01</w:t>
                </w:r>
                <w:r>
                  <w:rPr>
                    <w:szCs w:val="24"/>
                  </w:rPr>
                  <w:t xml:space="preserve"> Asmenų (šeimų), kurių gebėjimai ir galimybės spręsti savo socialines problemas, palaikyti socialinius ryšius su visuomene bei įveikti socialinę atskirtį, buvo sustiprinti, skaičius</w:t>
                </w:r>
              </w:p>
              <w:p>
                <w:pPr>
                  <w:jc w:val="both"/>
                  <w:rPr>
                    <w:szCs w:val="22"/>
                    <w:lang w:val="en-GB"/>
                  </w:rPr>
                </w:pPr>
                <w:r>
                  <w:rPr>
                    <w:b/>
                    <w:szCs w:val="24"/>
                  </w:rPr>
                  <w:t>E-01-10-02</w:t>
                </w:r>
                <w:r>
                  <w:rPr>
                    <w:szCs w:val="24"/>
                  </w:rPr>
                  <w:t xml:space="preserve"> </w:t>
                </w:r>
                <w:r>
                  <w:rPr>
                    <w:szCs w:val="22"/>
                    <w:lang w:val="en-GB"/>
                  </w:rPr>
                  <w:t>Teikiamų socialinių paslaugų skaičius, Miroslovo globos namuose, vnt.</w:t>
                </w:r>
              </w:p>
              <w:p>
                <w:pPr>
                  <w:jc w:val="both"/>
                  <w:rPr>
                    <w:szCs w:val="22"/>
                    <w:lang w:val="en-GB"/>
                  </w:rPr>
                </w:pPr>
                <w:r>
                  <w:rPr>
                    <w:b/>
                    <w:szCs w:val="24"/>
                  </w:rPr>
                  <w:t xml:space="preserve">E-01-10-03 </w:t>
                </w:r>
                <w:r>
                  <w:rPr>
                    <w:szCs w:val="22"/>
                    <w:lang w:val="en-GB"/>
                  </w:rPr>
                  <w:t>Teikiamų socialinių paslaugų skaičius, Pivašiūnų globos namuose, vnt.</w:t>
                </w:r>
              </w:p>
              <w:p>
                <w:pPr>
                  <w:jc w:val="both"/>
                  <w:rPr>
                    <w:szCs w:val="24"/>
                  </w:rPr>
                </w:pPr>
                <w:r>
                  <w:rPr>
                    <w:b/>
                    <w:szCs w:val="24"/>
                  </w:rPr>
                  <w:t xml:space="preserve">E-01-10-04 </w:t>
                </w:r>
                <w:r>
                  <w:rPr>
                    <w:szCs w:val="22"/>
                    <w:lang w:val="en-GB"/>
                  </w:rPr>
                  <w:t>Sveikatos biurio veiklos vykdymui skiriamos lėšos, (tūkst. Eur)</w:t>
                </w:r>
              </w:p>
            </w:tc>
          </w:tr>
          <w:tr>
            <w:trPr>
              <w:cantSplit/>
            </w:trPr>
            <w:tc>
              <w:tcPr>
                <w:tcW w:w="1077" w:type="pct"/>
                <w:tcBorders>
                  <w:top w:val="single" w:sz="12" w:space="0" w:color="auto"/>
                  <w:bottom w:val="single" w:sz="2" w:space="0" w:color="auto"/>
                  <w:right w:val="single" w:sz="2" w:space="0" w:color="auto"/>
                </w:tcBorders>
              </w:tcPr>
              <w:p>
                <w:pPr>
                  <w:jc w:val="both"/>
                  <w:rPr>
                    <w:b/>
                    <w:bCs/>
                    <w:szCs w:val="24"/>
                  </w:rPr>
                </w:pPr>
                <w:r>
                  <w:rPr>
                    <w:szCs w:val="24"/>
                  </w:rPr>
                  <w:t>Kodas</w:t>
                </w:r>
              </w:p>
            </w:tc>
            <w:tc>
              <w:tcPr>
                <w:tcW w:w="3923" w:type="pct"/>
                <w:vMerge w:val="restart"/>
                <w:tcBorders>
                  <w:top w:val="single" w:sz="12" w:space="0" w:color="auto"/>
                  <w:left w:val="single" w:sz="2" w:space="0" w:color="auto"/>
                </w:tcBorders>
              </w:tcPr>
              <w:p>
                <w:pPr>
                  <w:ind w:left="96"/>
                  <w:jc w:val="both"/>
                  <w:rPr>
                    <w:b/>
                    <w:bCs/>
                    <w:caps/>
                  </w:rPr>
                </w:pPr>
                <w:r>
                  <w:rPr>
                    <w:b/>
                    <w:bCs/>
                    <w:caps/>
                  </w:rPr>
                  <w:t>Sudaryti palankią aplinką investicijų pritraukimui ir verslo plėtrai, turizmo vystymui, rajono infrastruktūros objektų ir būsto priežiūrai, užimtumo didinimui</w:t>
                </w:r>
              </w:p>
            </w:tc>
          </w:tr>
          <w:tr>
            <w:trPr>
              <w:cantSplit/>
            </w:trPr>
            <w:tc>
              <w:tcPr>
                <w:tcW w:w="1077" w:type="pct"/>
                <w:tcBorders>
                  <w:top w:val="single" w:sz="2" w:space="0" w:color="auto"/>
                  <w:right w:val="single" w:sz="2" w:space="0" w:color="auto"/>
                </w:tcBorders>
              </w:tcPr>
              <w:p>
                <w:pPr>
                  <w:jc w:val="both"/>
                  <w:rPr>
                    <w:bCs/>
                    <w:szCs w:val="24"/>
                  </w:rPr>
                </w:pPr>
                <w:r>
                  <w:rPr>
                    <w:bCs/>
                    <w:szCs w:val="24"/>
                  </w:rPr>
                  <w:t>02</w:t>
                </w:r>
              </w:p>
            </w:tc>
            <w:tc>
              <w:tcPr>
                <w:tcW w:w="3923" w:type="pct"/>
                <w:vMerge/>
                <w:tcBorders>
                  <w:top w:val="single" w:sz="12" w:space="0" w:color="auto"/>
                  <w:left w:val="single" w:sz="2" w:space="0" w:color="auto"/>
                </w:tcBorders>
                <w:vAlign w:val="center"/>
              </w:tcPr>
              <w:p>
                <w:pPr>
                  <w:rPr>
                    <w:szCs w:val="24"/>
                  </w:rPr>
                </w:pPr>
              </w:p>
            </w:tc>
          </w:tr>
          <w:tr>
            <w:trPr>
              <w:cantSplit/>
            </w:trPr>
            <w:tc>
              <w:tcPr>
                <w:tcW w:w="5000" w:type="pct"/>
                <w:gridSpan w:val="2"/>
              </w:tcPr>
              <w:p>
                <w:pPr>
                  <w:jc w:val="both"/>
                  <w:rPr>
                    <w:b/>
                    <w:bCs/>
                    <w:szCs w:val="24"/>
                  </w:rPr>
                </w:pPr>
                <w:r>
                  <w:rPr>
                    <w:szCs w:val="24"/>
                  </w:rPr>
                  <w:t xml:space="preserve">Strateginio tikslo aprašymas: </w:t>
                </w:r>
                <w:r>
                  <w:rPr>
                    <w:rFonts w:eastAsia="SimSun"/>
                    <w:szCs w:val="24"/>
                  </w:rPr>
                  <w:t>pasiekti, kad aplinka Alytaus rajone būtų sveika, švari ir saugi, darniai tenkinanti visuomenės, aplinkosaugos ir ekonomikos poreikius</w:t>
                </w:r>
              </w:p>
            </w:tc>
          </w:tr>
          <w:tr>
            <w:trPr>
              <w:cantSplit/>
            </w:trPr>
            <w:tc>
              <w:tcPr>
                <w:tcW w:w="5000" w:type="pct"/>
                <w:gridSpan w:val="2"/>
              </w:tcPr>
              <w:p>
                <w:pPr>
                  <w:jc w:val="both"/>
                  <w:rPr>
                    <w:b/>
                    <w:bCs/>
                    <w:szCs w:val="24"/>
                  </w:rPr>
                </w:pPr>
                <w:r>
                  <w:rPr>
                    <w:szCs w:val="24"/>
                  </w:rPr>
                  <w:t>Įgyvendinant šį strateginį tikslą vykdoma programa(-os):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Kodas</w:t>
                </w:r>
              </w:p>
              <w:p>
                <w:pPr>
                  <w:jc w:val="both"/>
                  <w:rPr>
                    <w:szCs w:val="24"/>
                  </w:rPr>
                </w:pPr>
                <w:r>
                  <w:rPr>
                    <w:szCs w:val="24"/>
                  </w:rPr>
                  <w:t>05</w:t>
                </w:r>
              </w:p>
              <w:p>
                <w:pPr>
                  <w:jc w:val="both"/>
                  <w:rPr>
                    <w:szCs w:val="24"/>
                  </w:rPr>
                </w:pPr>
              </w:p>
              <w:p>
                <w:pPr>
                  <w:jc w:val="both"/>
                  <w:rPr>
                    <w:szCs w:val="24"/>
                  </w:rPr>
                </w:pPr>
                <w:r>
                  <w:rPr>
                    <w:szCs w:val="24"/>
                  </w:rPr>
                  <w:t>06</w:t>
                </w:r>
              </w:p>
            </w:tc>
            <w:tc>
              <w:tcPr>
                <w:tcW w:w="3923" w:type="pct"/>
                <w:tcBorders>
                  <w:left w:val="single" w:sz="4" w:space="0" w:color="auto"/>
                  <w:bottom w:val="single" w:sz="4" w:space="0" w:color="auto"/>
                </w:tcBorders>
              </w:tcPr>
              <w:p>
                <w:pPr>
                  <w:jc w:val="both"/>
                  <w:rPr>
                    <w:szCs w:val="24"/>
                  </w:rPr>
                </w:pPr>
                <w:r>
                  <w:rPr>
                    <w:szCs w:val="24"/>
                  </w:rPr>
                  <w:t>Vykdomos programos pavadinimas:</w:t>
                </w:r>
              </w:p>
              <w:p>
                <w:pPr>
                  <w:ind w:left="96"/>
                  <w:rPr>
                    <w:bCs/>
                  </w:rPr>
                </w:pPr>
                <w:r>
                  <w:rPr>
                    <w:bCs/>
                  </w:rPr>
                  <w:t>Sąlygų verslo plėtrai sudarymas, patrauklios investicijoms aplinkos formavimas ir turizmo vystymas;</w:t>
                </w:r>
              </w:p>
              <w:p>
                <w:pPr>
                  <w:ind w:left="96"/>
                  <w:rPr>
                    <w:bCs/>
                  </w:rPr>
                </w:pPr>
                <w:r>
                  <w:rPr>
                    <w:bCs/>
                  </w:rPr>
                  <w:t>Rajono infrastruktūros objektų ir būsto priežiūra, modernizavimas ir plėtra</w:t>
                </w:r>
              </w:p>
            </w:tc>
          </w:tr>
          <w:tr>
            <w:trPr>
              <w:cantSplit/>
              <w:trHeight w:val="263"/>
            </w:trPr>
            <w:tc>
              <w:tcPr>
                <w:tcW w:w="5000" w:type="pct"/>
                <w:gridSpan w:val="2"/>
                <w:tcBorders>
                  <w:bottom w:val="single" w:sz="12" w:space="0" w:color="auto"/>
                </w:tcBorders>
              </w:tcPr>
              <w:p>
                <w:pPr>
                  <w:jc w:val="both"/>
                  <w:rPr>
                    <w:b/>
                    <w:szCs w:val="24"/>
                  </w:rPr>
                </w:pPr>
                <w:r>
                  <w:rPr>
                    <w:b/>
                    <w:szCs w:val="24"/>
                  </w:rPr>
                  <w:t>Efekto kriterijai:</w:t>
                </w:r>
              </w:p>
              <w:p>
                <w:pPr>
                  <w:rPr>
                    <w:szCs w:val="24"/>
                  </w:rPr>
                </w:pPr>
                <w:r>
                  <w:rPr>
                    <w:b/>
                    <w:szCs w:val="24"/>
                  </w:rPr>
                  <w:t xml:space="preserve">E-02-05-01 </w:t>
                </w:r>
                <w:r>
                  <w:rPr>
                    <w:szCs w:val="24"/>
                  </w:rPr>
                  <w:t>Ūkio subjektų skaičius Alytaus rajone, vnt.</w:t>
                </w:r>
              </w:p>
              <w:p>
                <w:pPr>
                  <w:rPr>
                    <w:szCs w:val="24"/>
                  </w:rPr>
                </w:pPr>
                <w:r>
                  <w:rPr>
                    <w:b/>
                    <w:szCs w:val="24"/>
                  </w:rPr>
                  <w:t xml:space="preserve">E-02-05-02 </w:t>
                </w:r>
                <w:r>
                  <w:rPr>
                    <w:lang w:val="en-GB"/>
                  </w:rPr>
                  <w:t>Bedarbių procentas nuo darbingo amžiaus gyventojų (DAG), proc.</w:t>
                </w:r>
              </w:p>
              <w:p>
                <w:pPr>
                  <w:rPr>
                    <w:szCs w:val="24"/>
                  </w:rPr>
                </w:pPr>
                <w:r>
                  <w:rPr>
                    <w:b/>
                    <w:szCs w:val="24"/>
                  </w:rPr>
                  <w:t xml:space="preserve">E-02-06-01 </w:t>
                </w:r>
                <w:r>
                  <w:rPr>
                    <w:szCs w:val="24"/>
                  </w:rPr>
                  <w:t>Kelių (gatvių) su asfaltbetonio danga santykis su visu kelių ir gatvių ilgiu, proc.</w:t>
                </w:r>
              </w:p>
              <w:p>
                <w:pPr>
                  <w:rPr>
                    <w:szCs w:val="24"/>
                  </w:rPr>
                </w:pPr>
                <w:r>
                  <w:rPr>
                    <w:b/>
                    <w:szCs w:val="24"/>
                  </w:rPr>
                  <w:t xml:space="preserve">E-02-06-02 </w:t>
                </w:r>
                <w:r>
                  <w:rPr>
                    <w:szCs w:val="24"/>
                  </w:rPr>
                  <w:t>Asmenų apgyvendintų socialiniame būste skaičius, asmenimis</w:t>
                </w:r>
              </w:p>
            </w:tc>
          </w:tr>
          <w:tr>
            <w:trPr>
              <w:cantSplit/>
            </w:trPr>
            <w:tc>
              <w:tcPr>
                <w:tcW w:w="1077" w:type="pct"/>
                <w:tcBorders>
                  <w:top w:val="single" w:sz="12" w:space="0" w:color="auto"/>
                  <w:bottom w:val="single" w:sz="2" w:space="0" w:color="auto"/>
                  <w:right w:val="single" w:sz="2" w:space="0" w:color="auto"/>
                </w:tcBorders>
              </w:tcPr>
              <w:p>
                <w:pPr>
                  <w:jc w:val="both"/>
                  <w:rPr>
                    <w:b/>
                    <w:bCs/>
                    <w:szCs w:val="24"/>
                  </w:rPr>
                </w:pPr>
                <w:r>
                  <w:rPr>
                    <w:szCs w:val="24"/>
                  </w:rPr>
                  <w:t>Kodas</w:t>
                </w:r>
              </w:p>
            </w:tc>
            <w:tc>
              <w:tcPr>
                <w:tcW w:w="3923" w:type="pct"/>
                <w:vMerge w:val="restart"/>
                <w:tcBorders>
                  <w:top w:val="single" w:sz="12" w:space="0" w:color="auto"/>
                  <w:left w:val="single" w:sz="2" w:space="0" w:color="auto"/>
                </w:tcBorders>
              </w:tcPr>
              <w:p>
                <w:pPr>
                  <w:rPr>
                    <w:b/>
                    <w:bCs/>
                    <w:caps/>
                  </w:rPr>
                </w:pPr>
                <w:r>
                  <w:rPr>
                    <w:b/>
                    <w:bCs/>
                    <w:caps/>
                  </w:rPr>
                  <w:t>Užtikrinti kompleksišką žemės sklypų formavimą ir aplinkos apsaugą bei žemės ūkio plėtrą</w:t>
                </w:r>
              </w:p>
            </w:tc>
          </w:tr>
          <w:tr>
            <w:trPr>
              <w:cantSplit/>
            </w:trPr>
            <w:tc>
              <w:tcPr>
                <w:tcW w:w="1077" w:type="pct"/>
                <w:tcBorders>
                  <w:top w:val="single" w:sz="2" w:space="0" w:color="auto"/>
                  <w:right w:val="single" w:sz="2" w:space="0" w:color="auto"/>
                </w:tcBorders>
              </w:tcPr>
              <w:p>
                <w:pPr>
                  <w:jc w:val="both"/>
                  <w:rPr>
                    <w:bCs/>
                    <w:szCs w:val="24"/>
                  </w:rPr>
                </w:pPr>
                <w:r>
                  <w:rPr>
                    <w:bCs/>
                    <w:szCs w:val="24"/>
                  </w:rPr>
                  <w:t>03</w:t>
                </w:r>
              </w:p>
            </w:tc>
            <w:tc>
              <w:tcPr>
                <w:tcW w:w="3923" w:type="pct"/>
                <w:vMerge/>
                <w:tcBorders>
                  <w:top w:val="single" w:sz="12" w:space="0" w:color="auto"/>
                  <w:left w:val="single" w:sz="2" w:space="0" w:color="auto"/>
                </w:tcBorders>
                <w:vAlign w:val="center"/>
              </w:tcPr>
              <w:p>
                <w:pPr>
                  <w:rPr>
                    <w:szCs w:val="24"/>
                  </w:rPr>
                </w:pPr>
              </w:p>
            </w:tc>
          </w:tr>
          <w:tr>
            <w:trPr>
              <w:cantSplit/>
            </w:trPr>
            <w:tc>
              <w:tcPr>
                <w:tcW w:w="5000" w:type="pct"/>
                <w:gridSpan w:val="2"/>
              </w:tcPr>
              <w:p>
                <w:pPr>
                  <w:rPr>
                    <w:rFonts w:eastAsia="Calibri"/>
                    <w:szCs w:val="24"/>
                    <w:lang w:eastAsia="lt-LT"/>
                  </w:rPr>
                </w:pPr>
                <w:r>
                  <w:rPr>
                    <w:szCs w:val="24"/>
                  </w:rPr>
                  <w:t xml:space="preserve">Strateginio tikslo aprašymas: </w:t>
                </w:r>
                <w:r>
                  <w:rPr>
                    <w:rFonts w:eastAsia="Calibri"/>
                    <w:szCs w:val="24"/>
                    <w:lang w:eastAsia="lt-LT"/>
                  </w:rPr>
                  <w:t>žemės ūkio konkurencingumas, tausus gamtos išteklių valdymas,</w:t>
                </w:r>
              </w:p>
              <w:p>
                <w:pPr>
                  <w:rPr>
                    <w:b/>
                    <w:bCs/>
                    <w:szCs w:val="24"/>
                  </w:rPr>
                </w:pPr>
                <w:r>
                  <w:rPr>
                    <w:rFonts w:eastAsia="Calibri"/>
                    <w:szCs w:val="24"/>
                    <w:lang w:eastAsia="lt-LT"/>
                  </w:rPr>
                  <w:t>darnus teritorinis vystymasis.</w:t>
                </w:r>
              </w:p>
            </w:tc>
          </w:tr>
          <w:tr>
            <w:trPr>
              <w:cantSplit/>
            </w:trPr>
            <w:tc>
              <w:tcPr>
                <w:tcW w:w="5000" w:type="pct"/>
                <w:gridSpan w:val="2"/>
              </w:tcPr>
              <w:p>
                <w:pPr>
                  <w:jc w:val="both"/>
                  <w:rPr>
                    <w:b/>
                    <w:bCs/>
                    <w:szCs w:val="24"/>
                  </w:rPr>
                </w:pPr>
                <w:r>
                  <w:rPr>
                    <w:szCs w:val="24"/>
                  </w:rPr>
                  <w:t>Įgyvendinant šį strateginį tikslą vykdoma programa(-os):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Kodas</w:t>
                </w:r>
              </w:p>
              <w:p>
                <w:pPr>
                  <w:jc w:val="both"/>
                  <w:rPr>
                    <w:szCs w:val="24"/>
                  </w:rPr>
                </w:pPr>
                <w:r>
                  <w:rPr>
                    <w:szCs w:val="24"/>
                  </w:rPr>
                  <w:t>03</w:t>
                </w:r>
              </w:p>
              <w:p>
                <w:pPr>
                  <w:jc w:val="both"/>
                  <w:rPr>
                    <w:szCs w:val="24"/>
                  </w:rPr>
                </w:pPr>
                <w:r>
                  <w:rPr>
                    <w:szCs w:val="24"/>
                  </w:rPr>
                  <w:t>07</w:t>
                </w:r>
              </w:p>
            </w:tc>
            <w:tc>
              <w:tcPr>
                <w:tcW w:w="3923" w:type="pct"/>
                <w:tcBorders>
                  <w:left w:val="single" w:sz="4" w:space="0" w:color="auto"/>
                  <w:bottom w:val="single" w:sz="4" w:space="0" w:color="auto"/>
                </w:tcBorders>
              </w:tcPr>
              <w:p>
                <w:pPr>
                  <w:jc w:val="both"/>
                  <w:rPr>
                    <w:szCs w:val="24"/>
                  </w:rPr>
                </w:pPr>
                <w:r>
                  <w:rPr>
                    <w:szCs w:val="24"/>
                  </w:rPr>
                  <w:t>Vykdomos programos pavadinimas:</w:t>
                </w:r>
              </w:p>
              <w:p>
                <w:pPr>
                  <w:jc w:val="both"/>
                  <w:rPr>
                    <w:bCs/>
                    <w:szCs w:val="24"/>
                  </w:rPr>
                </w:pPr>
                <w:r>
                  <w:rPr>
                    <w:bCs/>
                    <w:szCs w:val="24"/>
                  </w:rPr>
                  <w:t>Urbanistinės plėtros ir strategijos formavimas;</w:t>
                </w:r>
              </w:p>
              <w:p>
                <w:pPr>
                  <w:jc w:val="both"/>
                  <w:rPr>
                    <w:b/>
                    <w:szCs w:val="24"/>
                  </w:rPr>
                </w:pPr>
                <w:r>
                  <w:rPr>
                    <w:bCs/>
                    <w:szCs w:val="24"/>
                  </w:rPr>
                  <w:t>Aplinkos ir kraštovaizdžio apsauga ir žemės ūkio plėtra</w:t>
                </w:r>
              </w:p>
            </w:tc>
          </w:tr>
          <w:tr>
            <w:trPr>
              <w:cantSplit/>
              <w:trHeight w:val="263"/>
            </w:trPr>
            <w:tc>
              <w:tcPr>
                <w:tcW w:w="5000" w:type="pct"/>
                <w:gridSpan w:val="2"/>
              </w:tcPr>
              <w:p>
                <w:pPr>
                  <w:jc w:val="both"/>
                  <w:rPr>
                    <w:b/>
                    <w:szCs w:val="24"/>
                  </w:rPr>
                </w:pPr>
                <w:r>
                  <w:rPr>
                    <w:b/>
                    <w:szCs w:val="24"/>
                  </w:rPr>
                  <w:t xml:space="preserve">Efekto kriterijai: </w:t>
                </w:r>
              </w:p>
              <w:p>
                <w:pPr>
                  <w:jc w:val="both"/>
                  <w:rPr>
                    <w:szCs w:val="24"/>
                  </w:rPr>
                </w:pPr>
                <w:r>
                  <w:rPr>
                    <w:b/>
                    <w:szCs w:val="24"/>
                  </w:rPr>
                  <w:t xml:space="preserve">E-03-03-01 </w:t>
                </w:r>
                <w:r>
                  <w:rPr>
                    <w:szCs w:val="24"/>
                  </w:rPr>
                  <w:t>Programai skiriamas finansavimas, tūkst. Eur</w:t>
                </w:r>
              </w:p>
              <w:p>
                <w:pPr>
                  <w:jc w:val="both"/>
                  <w:rPr>
                    <w:szCs w:val="24"/>
                  </w:rPr>
                </w:pPr>
                <w:r>
                  <w:rPr>
                    <w:b/>
                    <w:szCs w:val="24"/>
                  </w:rPr>
                  <w:t xml:space="preserve">E-03-07-01 </w:t>
                </w:r>
                <w:r>
                  <w:rPr>
                    <w:szCs w:val="24"/>
                  </w:rPr>
                  <w:t>Kokybiškai atlikti darbai, suteiktos paslaugos, paruošti dokumentai, priimti sprendimai, proc.</w:t>
                </w:r>
              </w:p>
              <w:p>
                <w:pPr>
                  <w:jc w:val="both"/>
                  <w:rPr>
                    <w:b/>
                    <w:szCs w:val="24"/>
                  </w:rPr>
                </w:pPr>
                <w:r>
                  <w:rPr>
                    <w:b/>
                    <w:szCs w:val="24"/>
                  </w:rPr>
                  <w:t xml:space="preserve">E-03-07-02 </w:t>
                </w:r>
                <w:r>
                  <w:t>Surenkamų komunalinių atliekų kiekis, t</w:t>
                </w:r>
              </w:p>
            </w:tc>
          </w:tr>
          <w:tr>
            <w:trPr>
              <w:cantSplit/>
            </w:trPr>
            <w:tc>
              <w:tcPr>
                <w:tcW w:w="1077" w:type="pct"/>
                <w:tcBorders>
                  <w:top w:val="single" w:sz="12" w:space="0" w:color="auto"/>
                  <w:bottom w:val="single" w:sz="2" w:space="0" w:color="auto"/>
                  <w:right w:val="single" w:sz="2" w:space="0" w:color="auto"/>
                </w:tcBorders>
              </w:tcPr>
              <w:p>
                <w:pPr>
                  <w:jc w:val="both"/>
                  <w:rPr>
                    <w:b/>
                    <w:bCs/>
                    <w:szCs w:val="24"/>
                  </w:rPr>
                </w:pPr>
                <w:r>
                  <w:rPr>
                    <w:szCs w:val="24"/>
                  </w:rPr>
                  <w:t>Kodas</w:t>
                </w:r>
              </w:p>
            </w:tc>
            <w:tc>
              <w:tcPr>
                <w:tcW w:w="3923" w:type="pct"/>
                <w:vMerge w:val="restart"/>
                <w:tcBorders>
                  <w:top w:val="single" w:sz="12" w:space="0" w:color="auto"/>
                  <w:left w:val="single" w:sz="2" w:space="0" w:color="auto"/>
                </w:tcBorders>
              </w:tcPr>
              <w:p>
                <w:pPr>
                  <w:rPr>
                    <w:b/>
                    <w:bCs/>
                    <w:caps/>
                  </w:rPr>
                </w:pPr>
                <w:r>
                  <w:rPr>
                    <w:b/>
                    <w:bCs/>
                    <w:caps/>
                  </w:rPr>
                  <w:t>Gerinti savivaldos valdymo kokybę</w:t>
                </w:r>
              </w:p>
            </w:tc>
          </w:tr>
          <w:tr>
            <w:trPr>
              <w:cantSplit/>
            </w:trPr>
            <w:tc>
              <w:tcPr>
                <w:tcW w:w="1077" w:type="pct"/>
                <w:tcBorders>
                  <w:top w:val="single" w:sz="2" w:space="0" w:color="auto"/>
                  <w:right w:val="single" w:sz="2" w:space="0" w:color="auto"/>
                </w:tcBorders>
              </w:tcPr>
              <w:p>
                <w:pPr>
                  <w:jc w:val="both"/>
                  <w:rPr>
                    <w:bCs/>
                    <w:szCs w:val="24"/>
                  </w:rPr>
                </w:pPr>
                <w:r>
                  <w:rPr>
                    <w:bCs/>
                    <w:szCs w:val="24"/>
                  </w:rPr>
                  <w:t>04</w:t>
                </w:r>
              </w:p>
            </w:tc>
            <w:tc>
              <w:tcPr>
                <w:tcW w:w="3923" w:type="pct"/>
                <w:vMerge/>
                <w:tcBorders>
                  <w:top w:val="single" w:sz="12" w:space="0" w:color="auto"/>
                  <w:left w:val="single" w:sz="2" w:space="0" w:color="auto"/>
                </w:tcBorders>
                <w:vAlign w:val="center"/>
              </w:tcPr>
              <w:p>
                <w:pPr>
                  <w:rPr>
                    <w:szCs w:val="24"/>
                  </w:rPr>
                </w:pPr>
              </w:p>
            </w:tc>
          </w:tr>
          <w:tr>
            <w:trPr>
              <w:cantSplit/>
            </w:trPr>
            <w:tc>
              <w:tcPr>
                <w:tcW w:w="5000" w:type="pct"/>
                <w:gridSpan w:val="2"/>
                <w:shd w:val="clear" w:color="auto" w:fill="auto"/>
              </w:tcPr>
              <w:p>
                <w:pPr>
                  <w:jc w:val="both"/>
                  <w:rPr>
                    <w:bCs/>
                    <w:szCs w:val="24"/>
                  </w:rPr>
                </w:pPr>
                <w:r>
                  <w:rPr>
                    <w:szCs w:val="24"/>
                  </w:rPr>
                  <w:t xml:space="preserve">Strateginio tikslo aprašymas: </w:t>
                </w:r>
                <w:r>
                  <w:t xml:space="preserve">visuomenės lūkesčių tenkinimas ir viešųjų paslaugų </w:t>
                </w:r>
                <w:r>
                  <w:rPr>
                    <w:bCs/>
                  </w:rPr>
                  <w:t>kokybės užtikrinimas.</w:t>
                </w:r>
              </w:p>
            </w:tc>
          </w:tr>
          <w:tr>
            <w:trPr>
              <w:cantSplit/>
            </w:trPr>
            <w:tc>
              <w:tcPr>
                <w:tcW w:w="5000" w:type="pct"/>
                <w:gridSpan w:val="2"/>
              </w:tcPr>
              <w:p>
                <w:pPr>
                  <w:jc w:val="both"/>
                  <w:rPr>
                    <w:b/>
                    <w:bCs/>
                    <w:szCs w:val="24"/>
                  </w:rPr>
                </w:pPr>
                <w:r>
                  <w:rPr>
                    <w:szCs w:val="24"/>
                  </w:rPr>
                  <w:t>Įgyvendinant šį strateginį tikslą vykdoma programa(-os):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Kodas</w:t>
                </w:r>
              </w:p>
              <w:p>
                <w:pPr>
                  <w:jc w:val="both"/>
                  <w:rPr>
                    <w:szCs w:val="24"/>
                  </w:rPr>
                </w:pPr>
                <w:r>
                  <w:rPr>
                    <w:szCs w:val="24"/>
                  </w:rPr>
                  <w:t>02</w:t>
                </w:r>
              </w:p>
              <w:p>
                <w:pPr>
                  <w:jc w:val="both"/>
                  <w:rPr>
                    <w:szCs w:val="24"/>
                  </w:rPr>
                </w:pPr>
              </w:p>
              <w:p>
                <w:pPr>
                  <w:jc w:val="both"/>
                  <w:rPr>
                    <w:szCs w:val="24"/>
                  </w:rPr>
                </w:pPr>
                <w:r>
                  <w:rPr>
                    <w:szCs w:val="24"/>
                  </w:rPr>
                  <w:t>04</w:t>
                </w:r>
              </w:p>
            </w:tc>
            <w:tc>
              <w:tcPr>
                <w:tcW w:w="3923" w:type="pct"/>
                <w:tcBorders>
                  <w:left w:val="single" w:sz="4" w:space="0" w:color="auto"/>
                  <w:bottom w:val="single" w:sz="4" w:space="0" w:color="auto"/>
                </w:tcBorders>
              </w:tcPr>
              <w:p>
                <w:pPr>
                  <w:jc w:val="both"/>
                  <w:rPr>
                    <w:szCs w:val="24"/>
                  </w:rPr>
                </w:pPr>
                <w:r>
                  <w:rPr>
                    <w:szCs w:val="24"/>
                  </w:rPr>
                  <w:t>Vykdomos programos pavadinimas:</w:t>
                </w:r>
              </w:p>
              <w:p>
                <w:pPr>
                  <w:jc w:val="both"/>
                  <w:rPr>
                    <w:bCs/>
                    <w:szCs w:val="24"/>
                  </w:rPr>
                </w:pPr>
                <w:r>
                  <w:rPr>
                    <w:bCs/>
                    <w:szCs w:val="24"/>
                  </w:rPr>
                  <w:t>Savivaldybės veiklos, pagrindinių funkcijų vykdymas, strategijos formavimas ir jos įgyvendinimas</w:t>
                </w:r>
              </w:p>
              <w:p>
                <w:pPr>
                  <w:jc w:val="both"/>
                  <w:rPr>
                    <w:b/>
                    <w:szCs w:val="24"/>
                  </w:rPr>
                </w:pPr>
                <w:r>
                  <w:rPr>
                    <w:bCs/>
                  </w:rPr>
                  <w:t>Informacinės visuomenės plėtra</w:t>
                </w:r>
              </w:p>
            </w:tc>
          </w:tr>
          <w:tr>
            <w:trPr>
              <w:cantSplit/>
              <w:trHeight w:val="263"/>
            </w:trPr>
            <w:tc>
              <w:tcPr>
                <w:tcW w:w="5000" w:type="pct"/>
                <w:gridSpan w:val="2"/>
                <w:tcBorders>
                  <w:bottom w:val="single" w:sz="12" w:space="0" w:color="auto"/>
                </w:tcBorders>
              </w:tcPr>
              <w:p>
                <w:pPr>
                  <w:jc w:val="both"/>
                  <w:rPr>
                    <w:b/>
                    <w:szCs w:val="24"/>
                  </w:rPr>
                </w:pPr>
                <w:r>
                  <w:rPr>
                    <w:b/>
                    <w:szCs w:val="24"/>
                  </w:rPr>
                  <w:t xml:space="preserve">Efekto kriterijai: </w:t>
                </w:r>
              </w:p>
              <w:p>
                <w:pPr>
                  <w:rPr>
                    <w:szCs w:val="24"/>
                  </w:rPr>
                </w:pPr>
                <w:r>
                  <w:rPr>
                    <w:b/>
                    <w:szCs w:val="24"/>
                  </w:rPr>
                  <w:t xml:space="preserve">E-04-02-01 </w:t>
                </w:r>
                <w:r>
                  <w:rPr>
                    <w:szCs w:val="24"/>
                  </w:rPr>
                  <w:t>Gyventojų skaičius Alytaus rajono savivaldybėje metų pradžioje, asmenimis</w:t>
                </w:r>
              </w:p>
              <w:p>
                <w:pPr>
                  <w:jc w:val="both"/>
                  <w:rPr>
                    <w:szCs w:val="24"/>
                  </w:rPr>
                </w:pPr>
                <w:r>
                  <w:rPr>
                    <w:b/>
                    <w:szCs w:val="24"/>
                  </w:rPr>
                  <w:t xml:space="preserve">E-04-02-02 </w:t>
                </w:r>
                <w:r>
                  <w:rPr>
                    <w:szCs w:val="24"/>
                  </w:rPr>
                  <w:t>Galiojančių licencijų verstis mažmenine prekyba alkoholiniais gėrimais ir tabako gaminiais skaičius Alytaus rajone, vnt.</w:t>
                </w:r>
              </w:p>
              <w:p>
                <w:pPr>
                  <w:rPr>
                    <w:szCs w:val="24"/>
                  </w:rPr>
                </w:pPr>
                <w:r>
                  <w:rPr>
                    <w:b/>
                    <w:szCs w:val="24"/>
                  </w:rPr>
                  <w:t xml:space="preserve">E-04-04-01 </w:t>
                </w:r>
                <w:r>
                  <w:rPr>
                    <w:szCs w:val="24"/>
                  </w:rPr>
                  <w:t>Paskelbtų informacinių pranešimų skaičius, vnt.</w:t>
                </w:r>
              </w:p>
            </w:tc>
          </w:tr>
        </w:tbl>
        <w:sdt>
          <w:sdtPr>
            <w:alias w:val="Pavadinimas"/>
            <w:tag w:val="title_da43e705ed8a451e9d28fdcca7f9cd8f"/>
            <w:lock w:val="sdtLocked"/>
            <w:richText/>
          </w:sdtPr>
          <w:sdtContent>
            <w:p>
              <w:pPr>
                <w:jc w:val="center"/>
                <w:rPr>
                  <w:b/>
                  <w:bCs/>
                  <w:szCs w:val="24"/>
                  <w:lang w:eastAsia="lt-LT"/>
                </w:rPr>
              </w:pPr>
              <w:r>
                <w:t xml:space="preserve">     </w:t>
              </w:r>
            </w:p>
          </w:sdtContent>
        </w:sdt>
        <w:p>
          <w:pPr>
            <w:jc w:val="center"/>
          </w:pPr>
        </w:p>
        <w:sdt>
          <w:sdtPr>
            <w:alias w:val="Pavadinimas"/>
            <w:tag w:val="title_da43e705ed8a451e9d28fdcca7f9cd8f"/>
            <w:lock w:val="sdtLocked"/>
            <w:richText/>
          </w:sdtPr>
          <w:sdtContent>
            <w:p>
              <w:pPr>
                <w:jc w:val="center"/>
                <w:rPr>
                  <w:szCs w:val="24"/>
                  <w:lang w:eastAsia="lt-LT"/>
                </w:rPr>
              </w:pPr>
              <w:r>
                <w:rPr>
                  <w:b/>
                  <w:bCs/>
                  <w:szCs w:val="24"/>
                  <w:lang w:eastAsia="lt-LT"/>
                </w:rPr>
                <w:t>Bendras lėšų poreikis ir numatomi finansavimo šaltiniai</w:t>
              </w:r>
            </w:p>
            <w:p>
              <w:pPr>
                <w:jc w:val="right"/>
                <w:rPr>
                  <w:b/>
                  <w:bCs/>
                  <w:szCs w:val="24"/>
                  <w:lang w:eastAsia="lt-LT"/>
                </w:rPr>
              </w:pPr>
              <w:r>
                <w:rPr>
                  <w:b/>
                  <w:bCs/>
                  <w:szCs w:val="24"/>
                  <w:lang w:eastAsia="lt-LT"/>
                </w:rPr>
                <w:t>tūkst. Eur</w:t>
              </w:r>
            </w:p>
          </w:sdtContent>
        </w:sdt>
        <w:tbl>
          <w:tblPr>
            <w:tblW w:w="9629" w:type="dxa"/>
            <w:tblLayout w:type="fixed"/>
            <w:tblLook w:val="04A0" w:firstRow="1" w:lastRow="0" w:firstColumn="1" w:lastColumn="0" w:noHBand="0" w:noVBand="1"/>
          </w:tblPr>
          <w:tblGrid>
            <w:gridCol w:w="3251"/>
            <w:gridCol w:w="1559"/>
            <w:gridCol w:w="1559"/>
            <w:gridCol w:w="1559"/>
            <w:gridCol w:w="1701"/>
          </w:tblGrid>
          <w:tr>
            <w:trPr>
              <w:trHeight w:val="230"/>
            </w:trPr>
            <w:tc>
              <w:tcPr>
                <w:tcW w:w="3251" w:type="dxa"/>
                <w:vMerge w:val="restart"/>
                <w:tcBorders>
                  <w:top w:val="single" w:sz="8" w:space="0" w:color="auto"/>
                  <w:left w:val="single" w:sz="8" w:space="0" w:color="auto"/>
                  <w:bottom w:val="single" w:sz="4" w:space="0" w:color="000000"/>
                  <w:right w:val="single" w:sz="4" w:space="0" w:color="000000"/>
                </w:tcBorders>
                <w:shd w:val="clear" w:color="000000" w:fill="FFFFFF"/>
                <w:vAlign w:val="center"/>
                <w:hideMark/>
              </w:tcPr>
              <w:p>
                <w:pPr>
                  <w:jc w:val="center"/>
                  <w:rPr>
                    <w:b/>
                    <w:bCs/>
                    <w:sz w:val="20"/>
                    <w:lang w:eastAsia="lt-LT"/>
                  </w:rPr>
                </w:pPr>
                <w:r>
                  <w:rPr>
                    <w:rFonts w:ascii="TimesLT" w:hAnsi="TimesLT"/>
                    <w:b/>
                    <w:bCs/>
                    <w:sz w:val="20"/>
                    <w:lang w:val="en-GB"/>
                  </w:rPr>
                  <w:t>Ekonominės klasifikacijos grupės</w:t>
                </w:r>
              </w:p>
            </w:tc>
            <w:tc>
              <w:tcPr>
                <w:tcW w:w="1559"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pPr>
                  <w:jc w:val="center"/>
                  <w:rPr>
                    <w:b/>
                    <w:bCs/>
                    <w:sz w:val="20"/>
                    <w:lang w:eastAsia="lt-LT"/>
                  </w:rPr>
                </w:pPr>
                <w:r>
                  <w:rPr>
                    <w:rFonts w:ascii="TimesLT" w:hAnsi="TimesLT"/>
                    <w:b/>
                    <w:bCs/>
                    <w:sz w:val="20"/>
                    <w:lang w:val="en-GB"/>
                  </w:rPr>
                  <w:t>2021-ųjų metų asignavimai</w:t>
                </w:r>
              </w:p>
            </w:tc>
            <w:tc>
              <w:tcPr>
                <w:tcW w:w="1559"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pPr>
                  <w:jc w:val="center"/>
                  <w:rPr>
                    <w:b/>
                    <w:bCs/>
                    <w:sz w:val="20"/>
                    <w:lang w:eastAsia="lt-LT"/>
                  </w:rPr>
                </w:pPr>
                <w:r>
                  <w:rPr>
                    <w:rFonts w:ascii="TimesLT" w:hAnsi="TimesLT"/>
                    <w:b/>
                    <w:bCs/>
                    <w:sz w:val="20"/>
                    <w:lang w:val="en-GB"/>
                  </w:rPr>
                  <w:t xml:space="preserve">2022-ųjų metų </w:t>
                  <w:br/>
                  <w:t>asignavimų planas</w:t>
                </w:r>
              </w:p>
            </w:tc>
            <w:tc>
              <w:tcPr>
                <w:tcW w:w="1559"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pPr>
                  <w:jc w:val="center"/>
                  <w:rPr>
                    <w:b/>
                    <w:bCs/>
                    <w:sz w:val="20"/>
                    <w:lang w:eastAsia="lt-LT"/>
                  </w:rPr>
                </w:pPr>
                <w:r>
                  <w:rPr>
                    <w:rFonts w:ascii="TimesLT" w:hAnsi="TimesLT"/>
                    <w:b/>
                    <w:bCs/>
                    <w:sz w:val="20"/>
                    <w:lang w:val="en-GB"/>
                  </w:rPr>
                  <w:t>2023-ųjų lėšų projektas</w:t>
                </w:r>
              </w:p>
            </w:tc>
            <w:tc>
              <w:tcPr>
                <w:tcW w:w="1701" w:type="dxa"/>
                <w:vMerge w:val="restart"/>
                <w:tcBorders>
                  <w:top w:val="single" w:sz="8" w:space="0" w:color="auto"/>
                  <w:left w:val="single" w:sz="4" w:space="0" w:color="auto"/>
                  <w:bottom w:val="single" w:sz="4" w:space="0" w:color="000000"/>
                  <w:right w:val="single" w:sz="8" w:space="0" w:color="auto"/>
                </w:tcBorders>
                <w:shd w:val="clear" w:color="000000" w:fill="FFFFFF"/>
                <w:vAlign w:val="center"/>
                <w:hideMark/>
              </w:tcPr>
              <w:p>
                <w:pPr>
                  <w:jc w:val="center"/>
                  <w:rPr>
                    <w:b/>
                    <w:bCs/>
                    <w:sz w:val="20"/>
                    <w:lang w:eastAsia="lt-LT"/>
                  </w:rPr>
                </w:pPr>
                <w:r>
                  <w:rPr>
                    <w:rFonts w:ascii="TimesLT" w:hAnsi="TimesLT"/>
                    <w:b/>
                    <w:bCs/>
                    <w:sz w:val="20"/>
                    <w:lang w:val="en-GB"/>
                  </w:rPr>
                  <w:t>2024-ųjų lėšų projektas</w:t>
                </w:r>
              </w:p>
            </w:tc>
          </w:tr>
          <w:tr>
            <w:trPr>
              <w:trHeight w:val="276"/>
            </w:trPr>
            <w:tc>
              <w:tcPr>
                <w:tcW w:w="3251" w:type="dxa"/>
                <w:vMerge/>
                <w:tcBorders>
                  <w:top w:val="single" w:sz="8" w:space="0" w:color="auto"/>
                  <w:left w:val="single" w:sz="8" w:space="0" w:color="auto"/>
                  <w:bottom w:val="single" w:sz="4" w:space="0" w:color="000000"/>
                  <w:right w:val="single" w:sz="4" w:space="0" w:color="000000"/>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701" w:type="dxa"/>
                <w:vMerge/>
                <w:tcBorders>
                  <w:top w:val="single" w:sz="8" w:space="0" w:color="auto"/>
                  <w:left w:val="single" w:sz="4" w:space="0" w:color="auto"/>
                  <w:bottom w:val="single" w:sz="4" w:space="0" w:color="000000"/>
                  <w:right w:val="single" w:sz="8" w:space="0" w:color="auto"/>
                </w:tcBorders>
                <w:vAlign w:val="center"/>
                <w:hideMark/>
              </w:tcPr>
              <w:p>
                <w:pPr>
                  <w:rPr>
                    <w:b/>
                    <w:bCs/>
                    <w:sz w:val="20"/>
                    <w:lang w:eastAsia="lt-LT"/>
                  </w:rPr>
                </w:pPr>
              </w:p>
            </w:tc>
          </w:tr>
          <w:tr>
            <w:trPr>
              <w:trHeight w:val="276"/>
            </w:trPr>
            <w:tc>
              <w:tcPr>
                <w:tcW w:w="3251" w:type="dxa"/>
                <w:vMerge/>
                <w:tcBorders>
                  <w:top w:val="single" w:sz="8" w:space="0" w:color="auto"/>
                  <w:left w:val="single" w:sz="8" w:space="0" w:color="auto"/>
                  <w:bottom w:val="single" w:sz="4" w:space="0" w:color="000000"/>
                  <w:right w:val="single" w:sz="4" w:space="0" w:color="000000"/>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701" w:type="dxa"/>
                <w:vMerge/>
                <w:tcBorders>
                  <w:top w:val="single" w:sz="8" w:space="0" w:color="auto"/>
                  <w:left w:val="single" w:sz="4" w:space="0" w:color="auto"/>
                  <w:bottom w:val="single" w:sz="4" w:space="0" w:color="000000"/>
                  <w:right w:val="single" w:sz="8" w:space="0" w:color="auto"/>
                </w:tcBorders>
                <w:vAlign w:val="center"/>
                <w:hideMark/>
              </w:tcPr>
              <w:p>
                <w:pPr>
                  <w:rPr>
                    <w:b/>
                    <w:bCs/>
                    <w:sz w:val="20"/>
                    <w:lang w:eastAsia="lt-LT"/>
                  </w:rPr>
                </w:pPr>
              </w:p>
            </w:tc>
          </w:tr>
          <w:tr>
            <w:trPr>
              <w:trHeight w:val="276"/>
            </w:trPr>
            <w:tc>
              <w:tcPr>
                <w:tcW w:w="3251" w:type="dxa"/>
                <w:vMerge/>
                <w:tcBorders>
                  <w:top w:val="single" w:sz="8" w:space="0" w:color="auto"/>
                  <w:left w:val="single" w:sz="8" w:space="0" w:color="auto"/>
                  <w:bottom w:val="single" w:sz="4" w:space="0" w:color="000000"/>
                  <w:right w:val="single" w:sz="4" w:space="0" w:color="000000"/>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701" w:type="dxa"/>
                <w:vMerge/>
                <w:tcBorders>
                  <w:top w:val="single" w:sz="8" w:space="0" w:color="auto"/>
                  <w:left w:val="single" w:sz="4" w:space="0" w:color="auto"/>
                  <w:bottom w:val="single" w:sz="4" w:space="0" w:color="000000"/>
                  <w:right w:val="single" w:sz="8" w:space="0" w:color="auto"/>
                </w:tcBorders>
                <w:vAlign w:val="center"/>
                <w:hideMark/>
              </w:tcPr>
              <w:p>
                <w:pPr>
                  <w:rPr>
                    <w:b/>
                    <w:bCs/>
                    <w:sz w:val="20"/>
                    <w:lang w:eastAsia="lt-LT"/>
                  </w:rPr>
                </w:pPr>
              </w:p>
            </w:tc>
          </w:tr>
          <w:tr>
            <w:trPr>
              <w:trHeight w:val="255"/>
            </w:trPr>
            <w:tc>
              <w:tcPr>
                <w:tcW w:w="3251" w:type="dxa"/>
                <w:tcBorders>
                  <w:top w:val="single" w:sz="4" w:space="0" w:color="auto"/>
                  <w:left w:val="single" w:sz="8" w:space="0" w:color="auto"/>
                  <w:bottom w:val="single" w:sz="4" w:space="0" w:color="auto"/>
                  <w:right w:val="single" w:sz="4" w:space="0" w:color="000000"/>
                </w:tcBorders>
                <w:shd w:val="clear" w:color="000000" w:fill="C0C0C0"/>
                <w:vAlign w:val="center"/>
                <w:hideMark/>
              </w:tcPr>
              <w:p>
                <w:pPr>
                  <w:rPr>
                    <w:b/>
                    <w:bCs/>
                    <w:sz w:val="20"/>
                    <w:lang w:eastAsia="lt-LT"/>
                  </w:rPr>
                </w:pPr>
                <w:r>
                  <w:rPr>
                    <w:rFonts w:ascii="TimesLT" w:hAnsi="TimesLT"/>
                    <w:b/>
                    <w:bCs/>
                    <w:sz w:val="20"/>
                    <w:lang w:val="en-GB"/>
                  </w:rPr>
                  <w:t>1. Iš viso lėšų poreikis:</w:t>
                </w:r>
              </w:p>
            </w:tc>
            <w:tc>
              <w:tcPr>
                <w:tcW w:w="1559" w:type="dxa"/>
                <w:tcBorders>
                  <w:top w:val="nil"/>
                  <w:left w:val="nil"/>
                  <w:bottom w:val="single" w:sz="4" w:space="0" w:color="auto"/>
                  <w:right w:val="nil"/>
                </w:tcBorders>
                <w:shd w:val="clear" w:color="000000" w:fill="C0C0C0"/>
                <w:vAlign w:val="center"/>
                <w:hideMark/>
              </w:tcPr>
              <w:p>
                <w:pPr>
                  <w:jc w:val="center"/>
                  <w:rPr>
                    <w:b/>
                    <w:bCs/>
                    <w:sz w:val="20"/>
                    <w:lang w:eastAsia="lt-LT"/>
                  </w:rPr>
                </w:pPr>
                <w:r>
                  <w:rPr>
                    <w:rFonts w:ascii="TimesLT" w:hAnsi="TimesLT"/>
                    <w:b/>
                    <w:bCs/>
                    <w:sz w:val="20"/>
                    <w:lang w:val="en-GB"/>
                  </w:rPr>
                  <w:t xml:space="preserve">49.101,4 </w:t>
                </w:r>
              </w:p>
            </w:tc>
            <w:tc>
              <w:tcPr>
                <w:tcW w:w="1559" w:type="dxa"/>
                <w:tcBorders>
                  <w:top w:val="nil"/>
                  <w:left w:val="single" w:sz="4" w:space="0" w:color="auto"/>
                  <w:bottom w:val="single" w:sz="4" w:space="0" w:color="auto"/>
                  <w:right w:val="nil"/>
                </w:tcBorders>
                <w:shd w:val="clear" w:color="000000" w:fill="C0C0C0"/>
                <w:vAlign w:val="center"/>
                <w:hideMark/>
              </w:tcPr>
              <w:p>
                <w:pPr>
                  <w:jc w:val="center"/>
                  <w:rPr>
                    <w:b/>
                    <w:bCs/>
                    <w:sz w:val="20"/>
                    <w:lang w:eastAsia="lt-LT"/>
                  </w:rPr>
                </w:pPr>
                <w:r>
                  <w:rPr>
                    <w:rFonts w:ascii="TimesLT" w:hAnsi="TimesLT"/>
                    <w:b/>
                    <w:bCs/>
                    <w:sz w:val="20"/>
                    <w:lang w:val="en-GB"/>
                  </w:rPr>
                  <w:t xml:space="preserve">53.160,2 </w:t>
                </w:r>
              </w:p>
            </w:tc>
            <w:tc>
              <w:tcPr>
                <w:tcW w:w="1559" w:type="dxa"/>
                <w:tcBorders>
                  <w:top w:val="nil"/>
                  <w:left w:val="single" w:sz="4" w:space="0" w:color="auto"/>
                  <w:bottom w:val="single" w:sz="4" w:space="0" w:color="auto"/>
                  <w:right w:val="nil"/>
                </w:tcBorders>
                <w:shd w:val="clear" w:color="000000" w:fill="C0C0C0"/>
                <w:vAlign w:val="center"/>
                <w:hideMark/>
              </w:tcPr>
              <w:p>
                <w:pPr>
                  <w:jc w:val="center"/>
                  <w:rPr>
                    <w:b/>
                    <w:bCs/>
                    <w:sz w:val="20"/>
                    <w:lang w:eastAsia="lt-LT"/>
                  </w:rPr>
                </w:pPr>
                <w:r>
                  <w:rPr>
                    <w:rFonts w:ascii="TimesLT" w:hAnsi="TimesLT"/>
                    <w:b/>
                    <w:bCs/>
                    <w:sz w:val="20"/>
                    <w:lang w:val="en-GB"/>
                  </w:rPr>
                  <w:t xml:space="preserve">42.547,5 </w:t>
                </w:r>
              </w:p>
            </w:tc>
            <w:tc>
              <w:tcPr>
                <w:tcW w:w="1701" w:type="dxa"/>
                <w:tcBorders>
                  <w:top w:val="nil"/>
                  <w:left w:val="single" w:sz="4" w:space="0" w:color="auto"/>
                  <w:bottom w:val="single" w:sz="4" w:space="0" w:color="auto"/>
                  <w:right w:val="single" w:sz="8" w:space="0" w:color="auto"/>
                </w:tcBorders>
                <w:shd w:val="clear" w:color="000000" w:fill="C0C0C0"/>
                <w:vAlign w:val="center"/>
                <w:hideMark/>
              </w:tcPr>
              <w:p>
                <w:pPr>
                  <w:jc w:val="center"/>
                  <w:rPr>
                    <w:b/>
                    <w:bCs/>
                    <w:sz w:val="20"/>
                    <w:lang w:eastAsia="lt-LT"/>
                  </w:rPr>
                </w:pPr>
                <w:r>
                  <w:rPr>
                    <w:rFonts w:ascii="TimesLT" w:hAnsi="TimesLT"/>
                    <w:b/>
                    <w:bCs/>
                    <w:sz w:val="20"/>
                    <w:lang w:val="en-GB"/>
                  </w:rPr>
                  <w:t xml:space="preserve">44.605,1 </w:t>
                </w:r>
              </w:p>
            </w:tc>
          </w:tr>
          <w:tr>
            <w:trPr>
              <w:trHeight w:val="315"/>
            </w:trPr>
            <w:tc>
              <w:tcPr>
                <w:tcW w:w="3251" w:type="dxa"/>
                <w:tcBorders>
                  <w:top w:val="single" w:sz="4" w:space="0" w:color="auto"/>
                  <w:left w:val="single" w:sz="8" w:space="0" w:color="auto"/>
                  <w:bottom w:val="single" w:sz="4" w:space="0" w:color="auto"/>
                  <w:right w:val="single" w:sz="4" w:space="0" w:color="000000"/>
                </w:tcBorders>
                <w:shd w:val="clear" w:color="auto" w:fill="auto"/>
                <w:vAlign w:val="center"/>
                <w:hideMark/>
              </w:tcPr>
              <w:p>
                <w:pPr>
                  <w:rPr>
                    <w:b/>
                    <w:bCs/>
                    <w:sz w:val="20"/>
                    <w:lang w:eastAsia="lt-LT"/>
                  </w:rPr>
                </w:pPr>
                <w:r>
                  <w:rPr>
                    <w:rFonts w:ascii="TimesLT" w:hAnsi="TimesLT"/>
                    <w:b/>
                    <w:bCs/>
                    <w:sz w:val="20"/>
                    <w:lang w:val="en-GB"/>
                  </w:rPr>
                  <w:t>1.1. išlaidoms, iš jų:</w:t>
                </w:r>
              </w:p>
            </w:tc>
            <w:tc>
              <w:tcPr>
                <w:tcW w:w="1559" w:type="dxa"/>
                <w:tcBorders>
                  <w:top w:val="nil"/>
                  <w:left w:val="nil"/>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37.124,7 </w:t>
                </w:r>
              </w:p>
            </w:tc>
            <w:tc>
              <w:tcPr>
                <w:tcW w:w="1559" w:type="dxa"/>
                <w:tcBorders>
                  <w:top w:val="nil"/>
                  <w:left w:val="single" w:sz="4" w:space="0" w:color="auto"/>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43.404,6 </w:t>
                </w:r>
              </w:p>
            </w:tc>
            <w:tc>
              <w:tcPr>
                <w:tcW w:w="1559" w:type="dxa"/>
                <w:tcBorders>
                  <w:top w:val="nil"/>
                  <w:left w:val="single" w:sz="4" w:space="0" w:color="auto"/>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34.150,1 </w:t>
                </w:r>
              </w:p>
            </w:tc>
            <w:tc>
              <w:tcPr>
                <w:tcW w:w="1701" w:type="dxa"/>
                <w:tcBorders>
                  <w:top w:val="nil"/>
                  <w:left w:val="single" w:sz="4" w:space="0" w:color="auto"/>
                  <w:bottom w:val="single" w:sz="4" w:space="0" w:color="auto"/>
                  <w:right w:val="single" w:sz="8" w:space="0" w:color="auto"/>
                </w:tcBorders>
                <w:shd w:val="clear" w:color="auto" w:fill="auto"/>
                <w:vAlign w:val="center"/>
                <w:hideMark/>
              </w:tcPr>
              <w:p>
                <w:pPr>
                  <w:jc w:val="center"/>
                  <w:rPr>
                    <w:sz w:val="20"/>
                    <w:lang w:eastAsia="lt-LT"/>
                  </w:rPr>
                </w:pPr>
                <w:r>
                  <w:rPr>
                    <w:rFonts w:ascii="TimesLT" w:hAnsi="TimesLT"/>
                    <w:sz w:val="20"/>
                    <w:lang w:val="en-GB"/>
                  </w:rPr>
                  <w:t xml:space="preserve">34.549,1 </w:t>
                </w:r>
              </w:p>
            </w:tc>
          </w:tr>
          <w:tr>
            <w:trPr>
              <w:trHeight w:val="255"/>
            </w:trPr>
            <w:tc>
              <w:tcPr>
                <w:tcW w:w="3251" w:type="dxa"/>
                <w:tcBorders>
                  <w:top w:val="single" w:sz="4" w:space="0" w:color="auto"/>
                  <w:left w:val="single" w:sz="8" w:space="0" w:color="auto"/>
                  <w:bottom w:val="single" w:sz="4" w:space="0" w:color="auto"/>
                  <w:right w:val="single" w:sz="4" w:space="0" w:color="000000"/>
                </w:tcBorders>
                <w:shd w:val="clear" w:color="auto" w:fill="auto"/>
                <w:vAlign w:val="center"/>
                <w:hideMark/>
              </w:tcPr>
              <w:p>
                <w:pPr>
                  <w:rPr>
                    <w:sz w:val="20"/>
                    <w:lang w:eastAsia="lt-LT"/>
                  </w:rPr>
                </w:pPr>
                <w:r>
                  <w:rPr>
                    <w:rFonts w:ascii="TimesLT" w:hAnsi="TimesLT"/>
                    <w:sz w:val="20"/>
                    <w:lang w:val="en-GB"/>
                  </w:rPr>
                  <w:t>1.1.1. darbo užmokesčiui</w:t>
                </w:r>
              </w:p>
            </w:tc>
            <w:tc>
              <w:tcPr>
                <w:tcW w:w="1559" w:type="dxa"/>
                <w:tcBorders>
                  <w:top w:val="nil"/>
                  <w:left w:val="nil"/>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11.004,5 </w:t>
                </w:r>
              </w:p>
            </w:tc>
            <w:tc>
              <w:tcPr>
                <w:tcW w:w="1559" w:type="dxa"/>
                <w:tcBorders>
                  <w:top w:val="nil"/>
                  <w:left w:val="single" w:sz="4" w:space="0" w:color="auto"/>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12.435,8 </w:t>
                </w:r>
              </w:p>
            </w:tc>
            <w:tc>
              <w:tcPr>
                <w:tcW w:w="1559" w:type="dxa"/>
                <w:tcBorders>
                  <w:top w:val="nil"/>
                  <w:left w:val="single" w:sz="4" w:space="0" w:color="auto"/>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12.267,6 </w:t>
                </w:r>
              </w:p>
            </w:tc>
            <w:tc>
              <w:tcPr>
                <w:tcW w:w="1701" w:type="dxa"/>
                <w:tcBorders>
                  <w:top w:val="nil"/>
                  <w:left w:val="single" w:sz="4" w:space="0" w:color="auto"/>
                  <w:bottom w:val="single" w:sz="4" w:space="0" w:color="auto"/>
                  <w:right w:val="single" w:sz="8" w:space="0" w:color="auto"/>
                </w:tcBorders>
                <w:shd w:val="clear" w:color="auto" w:fill="auto"/>
                <w:vAlign w:val="center"/>
                <w:hideMark/>
              </w:tcPr>
              <w:p>
                <w:pPr>
                  <w:jc w:val="center"/>
                  <w:rPr>
                    <w:sz w:val="20"/>
                    <w:lang w:eastAsia="lt-LT"/>
                  </w:rPr>
                </w:pPr>
                <w:r>
                  <w:rPr>
                    <w:rFonts w:ascii="TimesLT" w:hAnsi="TimesLT"/>
                    <w:sz w:val="20"/>
                    <w:lang w:val="en-GB"/>
                  </w:rPr>
                  <w:t xml:space="preserve">12.413,1 </w:t>
                </w:r>
              </w:p>
            </w:tc>
          </w:tr>
          <w:tr>
            <w:trPr>
              <w:trHeight w:val="255"/>
            </w:trPr>
            <w:tc>
              <w:tcPr>
                <w:tcW w:w="3251" w:type="dxa"/>
                <w:tcBorders>
                  <w:top w:val="single" w:sz="4" w:space="0" w:color="auto"/>
                  <w:left w:val="single" w:sz="8" w:space="0" w:color="auto"/>
                  <w:bottom w:val="single" w:sz="4" w:space="0" w:color="auto"/>
                  <w:right w:val="single" w:sz="4" w:space="0" w:color="000000"/>
                </w:tcBorders>
                <w:shd w:val="clear" w:color="auto" w:fill="auto"/>
                <w:vAlign w:val="center"/>
                <w:hideMark/>
              </w:tcPr>
              <w:p>
                <w:pPr>
                  <w:rPr>
                    <w:b/>
                    <w:bCs/>
                    <w:sz w:val="20"/>
                    <w:lang w:eastAsia="lt-LT"/>
                  </w:rPr>
                </w:pPr>
                <w:r>
                  <w:rPr>
                    <w:rFonts w:ascii="TimesLT" w:hAnsi="TimesLT"/>
                    <w:b/>
                    <w:bCs/>
                    <w:sz w:val="20"/>
                    <w:lang w:val="en-GB"/>
                  </w:rPr>
                  <w:t xml:space="preserve">1.2. turtui įsigyti </w:t>
                </w:r>
              </w:p>
            </w:tc>
            <w:tc>
              <w:tcPr>
                <w:tcW w:w="1559" w:type="dxa"/>
                <w:tcBorders>
                  <w:top w:val="nil"/>
                  <w:left w:val="nil"/>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11.976,7 </w:t>
                </w:r>
              </w:p>
            </w:tc>
            <w:tc>
              <w:tcPr>
                <w:tcW w:w="1559" w:type="dxa"/>
                <w:tcBorders>
                  <w:top w:val="nil"/>
                  <w:left w:val="single" w:sz="4" w:space="0" w:color="auto"/>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9.755,6 </w:t>
                </w:r>
              </w:p>
            </w:tc>
            <w:tc>
              <w:tcPr>
                <w:tcW w:w="1559" w:type="dxa"/>
                <w:tcBorders>
                  <w:top w:val="nil"/>
                  <w:left w:val="single" w:sz="4" w:space="0" w:color="auto"/>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8.397,4 </w:t>
                </w:r>
              </w:p>
            </w:tc>
            <w:tc>
              <w:tcPr>
                <w:tcW w:w="1701" w:type="dxa"/>
                <w:tcBorders>
                  <w:top w:val="nil"/>
                  <w:left w:val="single" w:sz="4" w:space="0" w:color="auto"/>
                  <w:bottom w:val="single" w:sz="4" w:space="0" w:color="auto"/>
                  <w:right w:val="single" w:sz="8" w:space="0" w:color="auto"/>
                </w:tcBorders>
                <w:shd w:val="clear" w:color="auto" w:fill="auto"/>
                <w:vAlign w:val="center"/>
                <w:hideMark/>
              </w:tcPr>
              <w:p>
                <w:pPr>
                  <w:jc w:val="center"/>
                  <w:rPr>
                    <w:sz w:val="20"/>
                    <w:lang w:eastAsia="lt-LT"/>
                  </w:rPr>
                </w:pPr>
                <w:r>
                  <w:rPr>
                    <w:rFonts w:ascii="TimesLT" w:hAnsi="TimesLT"/>
                    <w:sz w:val="20"/>
                    <w:lang w:val="en-GB"/>
                  </w:rPr>
                  <w:t xml:space="preserve">10.056,0 </w:t>
                </w:r>
              </w:p>
            </w:tc>
          </w:tr>
          <w:tr>
            <w:trPr>
              <w:trHeight w:val="255"/>
            </w:trPr>
            <w:tc>
              <w:tcPr>
                <w:tcW w:w="3251" w:type="dxa"/>
                <w:tcBorders>
                  <w:top w:val="single" w:sz="4" w:space="0" w:color="auto"/>
                  <w:left w:val="single" w:sz="8" w:space="0" w:color="auto"/>
                  <w:bottom w:val="single" w:sz="4" w:space="0" w:color="auto"/>
                  <w:right w:val="single" w:sz="4" w:space="0" w:color="000000"/>
                </w:tcBorders>
                <w:shd w:val="clear" w:color="000000" w:fill="C0C0C0"/>
                <w:vAlign w:val="center"/>
                <w:hideMark/>
              </w:tcPr>
              <w:p>
                <w:pPr>
                  <w:rPr>
                    <w:b/>
                    <w:bCs/>
                    <w:sz w:val="20"/>
                    <w:lang w:eastAsia="lt-LT"/>
                  </w:rPr>
                </w:pPr>
                <w:r>
                  <w:rPr>
                    <w:rFonts w:ascii="TimesLT" w:hAnsi="TimesLT"/>
                    <w:b/>
                    <w:bCs/>
                    <w:sz w:val="20"/>
                    <w:lang w:val="en-GB"/>
                  </w:rPr>
                  <w:t>2. Finansavimo šaltiniai:</w:t>
                </w:r>
              </w:p>
            </w:tc>
            <w:tc>
              <w:tcPr>
                <w:tcW w:w="1559" w:type="dxa"/>
                <w:tcBorders>
                  <w:top w:val="nil"/>
                  <w:left w:val="nil"/>
                  <w:bottom w:val="single" w:sz="4" w:space="0" w:color="auto"/>
                  <w:right w:val="nil"/>
                </w:tcBorders>
                <w:shd w:val="clear" w:color="000000" w:fill="C0C0C0"/>
                <w:vAlign w:val="center"/>
                <w:hideMark/>
              </w:tcPr>
              <w:p>
                <w:pPr>
                  <w:jc w:val="center"/>
                  <w:rPr>
                    <w:b/>
                    <w:bCs/>
                    <w:sz w:val="20"/>
                    <w:lang w:eastAsia="lt-LT"/>
                  </w:rPr>
                </w:pPr>
                <w:r>
                  <w:rPr>
                    <w:rFonts w:ascii="TimesLT" w:hAnsi="TimesLT"/>
                    <w:b/>
                    <w:bCs/>
                    <w:sz w:val="20"/>
                    <w:lang w:val="en-GB"/>
                  </w:rPr>
                  <w:t xml:space="preserve">49.101,4 </w:t>
                </w:r>
              </w:p>
            </w:tc>
            <w:tc>
              <w:tcPr>
                <w:tcW w:w="1559" w:type="dxa"/>
                <w:tcBorders>
                  <w:top w:val="nil"/>
                  <w:left w:val="single" w:sz="4" w:space="0" w:color="auto"/>
                  <w:bottom w:val="single" w:sz="4" w:space="0" w:color="auto"/>
                  <w:right w:val="nil"/>
                </w:tcBorders>
                <w:shd w:val="clear" w:color="000000" w:fill="C0C0C0"/>
                <w:vAlign w:val="center"/>
                <w:hideMark/>
              </w:tcPr>
              <w:p>
                <w:pPr>
                  <w:jc w:val="center"/>
                  <w:rPr>
                    <w:b/>
                    <w:bCs/>
                    <w:sz w:val="20"/>
                    <w:lang w:eastAsia="lt-LT"/>
                  </w:rPr>
                </w:pPr>
                <w:r>
                  <w:rPr>
                    <w:rFonts w:ascii="TimesLT" w:hAnsi="TimesLT"/>
                    <w:b/>
                    <w:bCs/>
                    <w:sz w:val="20"/>
                    <w:lang w:val="en-GB"/>
                  </w:rPr>
                  <w:t xml:space="preserve">53.160,2 </w:t>
                </w:r>
              </w:p>
            </w:tc>
            <w:tc>
              <w:tcPr>
                <w:tcW w:w="1559" w:type="dxa"/>
                <w:tcBorders>
                  <w:top w:val="nil"/>
                  <w:left w:val="single" w:sz="4" w:space="0" w:color="auto"/>
                  <w:bottom w:val="single" w:sz="4" w:space="0" w:color="auto"/>
                  <w:right w:val="nil"/>
                </w:tcBorders>
                <w:shd w:val="clear" w:color="000000" w:fill="C0C0C0"/>
                <w:vAlign w:val="center"/>
                <w:hideMark/>
              </w:tcPr>
              <w:p>
                <w:pPr>
                  <w:jc w:val="center"/>
                  <w:rPr>
                    <w:b/>
                    <w:bCs/>
                    <w:sz w:val="20"/>
                    <w:lang w:eastAsia="lt-LT"/>
                  </w:rPr>
                </w:pPr>
                <w:r>
                  <w:rPr>
                    <w:rFonts w:ascii="TimesLT" w:hAnsi="TimesLT"/>
                    <w:b/>
                    <w:bCs/>
                    <w:sz w:val="20"/>
                    <w:lang w:val="en-GB"/>
                  </w:rPr>
                  <w:t xml:space="preserve">42.547,5 </w:t>
                </w:r>
              </w:p>
            </w:tc>
            <w:tc>
              <w:tcPr>
                <w:tcW w:w="1701" w:type="dxa"/>
                <w:tcBorders>
                  <w:top w:val="nil"/>
                  <w:left w:val="single" w:sz="4" w:space="0" w:color="auto"/>
                  <w:bottom w:val="single" w:sz="4" w:space="0" w:color="auto"/>
                  <w:right w:val="single" w:sz="8" w:space="0" w:color="auto"/>
                </w:tcBorders>
                <w:shd w:val="clear" w:color="000000" w:fill="C0C0C0"/>
                <w:vAlign w:val="center"/>
                <w:hideMark/>
              </w:tcPr>
              <w:p>
                <w:pPr>
                  <w:jc w:val="center"/>
                  <w:rPr>
                    <w:b/>
                    <w:bCs/>
                    <w:sz w:val="20"/>
                    <w:lang w:eastAsia="lt-LT"/>
                  </w:rPr>
                </w:pPr>
                <w:r>
                  <w:rPr>
                    <w:rFonts w:ascii="TimesLT" w:hAnsi="TimesLT"/>
                    <w:b/>
                    <w:bCs/>
                    <w:sz w:val="20"/>
                    <w:lang w:val="en-GB"/>
                  </w:rPr>
                  <w:t xml:space="preserve">44.605,1 </w:t>
                </w:r>
              </w:p>
            </w:tc>
          </w:tr>
          <w:tr>
            <w:trPr>
              <w:trHeight w:val="615"/>
            </w:trPr>
            <w:tc>
              <w:tcPr>
                <w:tcW w:w="3251" w:type="dxa"/>
                <w:tcBorders>
                  <w:top w:val="single" w:sz="4" w:space="0" w:color="auto"/>
                  <w:left w:val="single" w:sz="8" w:space="0" w:color="auto"/>
                  <w:bottom w:val="single" w:sz="4" w:space="0" w:color="auto"/>
                  <w:right w:val="single" w:sz="4" w:space="0" w:color="000000"/>
                </w:tcBorders>
                <w:shd w:val="clear" w:color="000000" w:fill="FFFF00"/>
                <w:vAlign w:val="center"/>
                <w:hideMark/>
              </w:tcPr>
              <w:p>
                <w:pPr>
                  <w:rPr>
                    <w:b/>
                    <w:bCs/>
                    <w:sz w:val="20"/>
                    <w:lang w:eastAsia="lt-LT"/>
                  </w:rPr>
                </w:pPr>
                <w:r>
                  <w:rPr>
                    <w:rFonts w:ascii="TimesLT" w:hAnsi="TimesLT"/>
                    <w:b/>
                    <w:bCs/>
                    <w:sz w:val="20"/>
                    <w:lang w:val="en-GB"/>
                  </w:rPr>
                  <w:t>2.1. Savivaldybės lėšos, iš viso:</w:t>
                </w:r>
              </w:p>
            </w:tc>
            <w:tc>
              <w:tcPr>
                <w:tcW w:w="1559" w:type="dxa"/>
                <w:tcBorders>
                  <w:top w:val="nil"/>
                  <w:left w:val="nil"/>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37.482,0 </w:t>
                </w:r>
              </w:p>
            </w:tc>
            <w:tc>
              <w:tcPr>
                <w:tcW w:w="1559" w:type="dxa"/>
                <w:tcBorders>
                  <w:top w:val="nil"/>
                  <w:left w:val="single" w:sz="4" w:space="0" w:color="auto"/>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43.924,0 </w:t>
                </w:r>
              </w:p>
            </w:tc>
            <w:tc>
              <w:tcPr>
                <w:tcW w:w="1559" w:type="dxa"/>
                <w:tcBorders>
                  <w:top w:val="nil"/>
                  <w:left w:val="single" w:sz="4" w:space="0" w:color="auto"/>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32.860,4 </w:t>
                </w:r>
              </w:p>
            </w:tc>
            <w:tc>
              <w:tcPr>
                <w:tcW w:w="1701" w:type="dxa"/>
                <w:tcBorders>
                  <w:top w:val="nil"/>
                  <w:left w:val="single" w:sz="4" w:space="0" w:color="auto"/>
                  <w:bottom w:val="single" w:sz="4" w:space="0" w:color="auto"/>
                  <w:right w:val="single" w:sz="8" w:space="0" w:color="auto"/>
                </w:tcBorders>
                <w:shd w:val="clear" w:color="000000" w:fill="FFFF00"/>
                <w:vAlign w:val="center"/>
                <w:hideMark/>
              </w:tcPr>
              <w:p>
                <w:pPr>
                  <w:jc w:val="center"/>
                  <w:rPr>
                    <w:b/>
                    <w:bCs/>
                    <w:sz w:val="20"/>
                    <w:lang w:eastAsia="lt-LT"/>
                  </w:rPr>
                </w:pPr>
                <w:r>
                  <w:rPr>
                    <w:rFonts w:ascii="TimesLT" w:hAnsi="TimesLT"/>
                    <w:b/>
                    <w:bCs/>
                    <w:sz w:val="20"/>
                    <w:lang w:val="en-GB"/>
                  </w:rPr>
                  <w:t xml:space="preserve">34.122,5 </w:t>
                </w:r>
              </w:p>
            </w:tc>
          </w:tr>
          <w:tr>
            <w:trPr>
              <w:trHeight w:val="600"/>
            </w:trPr>
            <w:tc>
              <w:tcPr>
                <w:tcW w:w="3251" w:type="dxa"/>
                <w:tcBorders>
                  <w:top w:val="single" w:sz="4" w:space="0" w:color="auto"/>
                  <w:left w:val="single" w:sz="8" w:space="0" w:color="auto"/>
                  <w:bottom w:val="single" w:sz="4" w:space="0" w:color="auto"/>
                  <w:right w:val="single" w:sz="4" w:space="0" w:color="000000"/>
                </w:tcBorders>
                <w:shd w:val="clear" w:color="auto" w:fill="auto"/>
                <w:vAlign w:val="center"/>
                <w:hideMark/>
              </w:tcPr>
              <w:p>
                <w:pPr>
                  <w:rPr>
                    <w:b/>
                    <w:bCs/>
                    <w:sz w:val="20"/>
                    <w:lang w:eastAsia="lt-LT"/>
                  </w:rPr>
                </w:pPr>
                <w:r>
                  <w:rPr>
                    <w:rFonts w:ascii="TimesLT" w:hAnsi="TimesLT"/>
                    <w:b/>
                    <w:bCs/>
                    <w:sz w:val="20"/>
                    <w:lang w:val="en-GB"/>
                  </w:rPr>
                  <w:t>2.1.1. Savivaldybės biudžetas, iš jo:</w:t>
                </w:r>
              </w:p>
            </w:tc>
            <w:tc>
              <w:tcPr>
                <w:tcW w:w="1559" w:type="dxa"/>
                <w:tcBorders>
                  <w:top w:val="nil"/>
                  <w:left w:val="nil"/>
                  <w:bottom w:val="single" w:sz="4" w:space="0" w:color="auto"/>
                  <w:right w:val="nil"/>
                </w:tcBorders>
                <w:shd w:val="clear" w:color="auto" w:fill="auto"/>
                <w:vAlign w:val="center"/>
                <w:hideMark/>
              </w:tcPr>
              <w:p>
                <w:pPr>
                  <w:jc w:val="center"/>
                  <w:rPr>
                    <w:b/>
                    <w:bCs/>
                    <w:color w:val="000000"/>
                    <w:sz w:val="20"/>
                    <w:lang w:eastAsia="lt-LT"/>
                  </w:rPr>
                </w:pPr>
                <w:r>
                  <w:rPr>
                    <w:rFonts w:ascii="TimesLT" w:hAnsi="TimesLT"/>
                    <w:b/>
                    <w:bCs/>
                    <w:color w:val="000000"/>
                    <w:sz w:val="20"/>
                    <w:lang w:val="en-GB"/>
                  </w:rPr>
                  <w:t xml:space="preserve">37.482,0 </w:t>
                </w:r>
              </w:p>
            </w:tc>
            <w:tc>
              <w:tcPr>
                <w:tcW w:w="1559" w:type="dxa"/>
                <w:tcBorders>
                  <w:top w:val="nil"/>
                  <w:left w:val="single" w:sz="4" w:space="0" w:color="auto"/>
                  <w:bottom w:val="single" w:sz="4" w:space="0" w:color="auto"/>
                  <w:right w:val="nil"/>
                </w:tcBorders>
                <w:shd w:val="clear" w:color="auto" w:fill="auto"/>
                <w:vAlign w:val="center"/>
                <w:hideMark/>
              </w:tcPr>
              <w:p>
                <w:pPr>
                  <w:jc w:val="center"/>
                  <w:rPr>
                    <w:b/>
                    <w:bCs/>
                    <w:color w:val="000000"/>
                    <w:sz w:val="20"/>
                    <w:lang w:eastAsia="lt-LT"/>
                  </w:rPr>
                </w:pPr>
                <w:r>
                  <w:rPr>
                    <w:rFonts w:ascii="TimesLT" w:hAnsi="TimesLT"/>
                    <w:b/>
                    <w:bCs/>
                    <w:color w:val="000000"/>
                    <w:sz w:val="20"/>
                    <w:lang w:val="en-GB"/>
                  </w:rPr>
                  <w:t xml:space="preserve">43.924,0 </w:t>
                </w:r>
              </w:p>
            </w:tc>
            <w:tc>
              <w:tcPr>
                <w:tcW w:w="1559" w:type="dxa"/>
                <w:tcBorders>
                  <w:top w:val="nil"/>
                  <w:left w:val="single" w:sz="4" w:space="0" w:color="auto"/>
                  <w:bottom w:val="single" w:sz="4" w:space="0" w:color="auto"/>
                  <w:right w:val="nil"/>
                </w:tcBorders>
                <w:shd w:val="clear" w:color="auto" w:fill="auto"/>
                <w:vAlign w:val="center"/>
                <w:hideMark/>
              </w:tcPr>
              <w:p>
                <w:pPr>
                  <w:jc w:val="center"/>
                  <w:rPr>
                    <w:b/>
                    <w:bCs/>
                    <w:color w:val="000000"/>
                    <w:sz w:val="20"/>
                    <w:lang w:eastAsia="lt-LT"/>
                  </w:rPr>
                </w:pPr>
                <w:r>
                  <w:rPr>
                    <w:rFonts w:ascii="TimesLT" w:hAnsi="TimesLT"/>
                    <w:b/>
                    <w:bCs/>
                    <w:color w:val="000000"/>
                    <w:sz w:val="20"/>
                    <w:lang w:val="en-GB"/>
                  </w:rPr>
                  <w:t xml:space="preserve">32.860,4 </w:t>
                </w:r>
              </w:p>
            </w:tc>
            <w:tc>
              <w:tcPr>
                <w:tcW w:w="1701" w:type="dxa"/>
                <w:tcBorders>
                  <w:top w:val="nil"/>
                  <w:left w:val="single" w:sz="4" w:space="0" w:color="auto"/>
                  <w:bottom w:val="single" w:sz="4" w:space="0" w:color="auto"/>
                  <w:right w:val="single" w:sz="8" w:space="0" w:color="auto"/>
                </w:tcBorders>
                <w:shd w:val="clear" w:color="auto" w:fill="auto"/>
                <w:vAlign w:val="center"/>
                <w:hideMark/>
              </w:tcPr>
              <w:p>
                <w:pPr>
                  <w:jc w:val="center"/>
                  <w:rPr>
                    <w:b/>
                    <w:bCs/>
                    <w:color w:val="000000"/>
                    <w:sz w:val="20"/>
                    <w:lang w:eastAsia="lt-LT"/>
                  </w:rPr>
                </w:pPr>
                <w:r>
                  <w:rPr>
                    <w:rFonts w:ascii="TimesLT" w:hAnsi="TimesLT"/>
                    <w:b/>
                    <w:bCs/>
                    <w:color w:val="000000"/>
                    <w:sz w:val="20"/>
                    <w:lang w:val="en-GB"/>
                  </w:rPr>
                  <w:t xml:space="preserve">34.122,5 </w:t>
                </w:r>
              </w:p>
            </w:tc>
          </w:tr>
          <w:tr>
            <w:trPr>
              <w:trHeight w:val="485"/>
            </w:trPr>
            <w:tc>
              <w:tcPr>
                <w:tcW w:w="3251" w:type="dxa"/>
                <w:tcBorders>
                  <w:top w:val="single" w:sz="4" w:space="0" w:color="auto"/>
                  <w:left w:val="single" w:sz="8" w:space="0" w:color="auto"/>
                  <w:bottom w:val="single" w:sz="4" w:space="0" w:color="auto"/>
                  <w:right w:val="single" w:sz="4" w:space="0" w:color="000000"/>
                </w:tcBorders>
                <w:shd w:val="clear" w:color="auto" w:fill="auto"/>
                <w:hideMark/>
              </w:tcPr>
              <w:p>
                <w:pPr>
                  <w:rPr>
                    <w:sz w:val="20"/>
                    <w:lang w:eastAsia="lt-LT"/>
                  </w:rPr>
                </w:pPr>
                <w:r>
                  <w:rPr>
                    <w:rFonts w:ascii="TimesLT" w:hAnsi="TimesLT"/>
                    <w:sz w:val="20"/>
                    <w:lang w:val="en-GB"/>
                  </w:rPr>
                  <w:t xml:space="preserve">2.1.1.1.  Savivaldybės biudžeto lėšos (</w:t>
                </w:r>
                <w:r>
                  <w:rPr>
                    <w:rFonts w:ascii="TimesLT" w:hAnsi="TimesLT"/>
                    <w:b/>
                    <w:bCs/>
                    <w:sz w:val="20"/>
                    <w:lang w:val="en-GB"/>
                  </w:rPr>
                  <w:t>SB</w:t>
                </w:r>
                <w:r>
                  <w:rPr>
                    <w:rFonts w:ascii="TimesLT" w:hAnsi="TimesLT"/>
                    <w:sz w:val="20"/>
                    <w:lang w:val="en-GB"/>
                  </w:rPr>
                  <w:t>)</w:t>
                </w:r>
              </w:p>
            </w:tc>
            <w:tc>
              <w:tcPr>
                <w:tcW w:w="1559" w:type="dxa"/>
                <w:tcBorders>
                  <w:top w:val="nil"/>
                  <w:left w:val="nil"/>
                  <w:bottom w:val="single" w:sz="4" w:space="0" w:color="auto"/>
                  <w:right w:val="nil"/>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27.879,7 </w:t>
                </w:r>
              </w:p>
            </w:tc>
            <w:tc>
              <w:tcPr>
                <w:tcW w:w="1559" w:type="dxa"/>
                <w:tcBorders>
                  <w:top w:val="nil"/>
                  <w:left w:val="single" w:sz="4" w:space="0" w:color="auto"/>
                  <w:bottom w:val="single" w:sz="4" w:space="0" w:color="auto"/>
                  <w:right w:val="nil"/>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32.292,7 </w:t>
                </w:r>
              </w:p>
            </w:tc>
            <w:tc>
              <w:tcPr>
                <w:tcW w:w="1559" w:type="dxa"/>
                <w:tcBorders>
                  <w:top w:val="nil"/>
                  <w:left w:val="single" w:sz="4" w:space="0" w:color="auto"/>
                  <w:bottom w:val="single" w:sz="4" w:space="0" w:color="auto"/>
                  <w:right w:val="nil"/>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22.804,0 </w:t>
                </w:r>
              </w:p>
            </w:tc>
            <w:tc>
              <w:tcPr>
                <w:tcW w:w="1701" w:type="dxa"/>
                <w:tcBorders>
                  <w:top w:val="nil"/>
                  <w:left w:val="single" w:sz="4" w:space="0" w:color="auto"/>
                  <w:bottom w:val="single" w:sz="4" w:space="0" w:color="auto"/>
                  <w:right w:val="single" w:sz="8" w:space="0" w:color="auto"/>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24.057,9 </w:t>
                </w:r>
              </w:p>
            </w:tc>
          </w:tr>
          <w:tr>
            <w:trPr>
              <w:trHeight w:val="567"/>
            </w:trPr>
            <w:tc>
              <w:tcPr>
                <w:tcW w:w="3251" w:type="dxa"/>
                <w:tcBorders>
                  <w:top w:val="single" w:sz="4" w:space="0" w:color="auto"/>
                  <w:left w:val="single" w:sz="8" w:space="0" w:color="auto"/>
                  <w:bottom w:val="single" w:sz="4" w:space="0" w:color="auto"/>
                  <w:right w:val="single" w:sz="4" w:space="0" w:color="000000"/>
                </w:tcBorders>
                <w:shd w:val="clear" w:color="auto" w:fill="auto"/>
                <w:hideMark/>
              </w:tcPr>
              <w:p>
                <w:pPr>
                  <w:rPr>
                    <w:sz w:val="20"/>
                    <w:lang w:eastAsia="lt-LT"/>
                  </w:rPr>
                </w:pPr>
                <w:r>
                  <w:rPr>
                    <w:rFonts w:ascii="TimesLT" w:hAnsi="TimesLT"/>
                    <w:sz w:val="20"/>
                    <w:lang w:val="en-GB"/>
                  </w:rPr>
                  <w:t xml:space="preserve">2.1.1.2.  Dotacijos iš valstybės ir kitų valstybės valdymo lygių (</w:t>
                </w:r>
                <w:r>
                  <w:rPr>
                    <w:rFonts w:ascii="TimesLT" w:hAnsi="TimesLT"/>
                    <w:b/>
                    <w:bCs/>
                    <w:sz w:val="20"/>
                    <w:lang w:val="en-GB"/>
                  </w:rPr>
                  <w:t>D</w:t>
                </w:r>
                <w:r>
                  <w:rPr>
                    <w:rFonts w:ascii="TimesLT" w:hAnsi="TimesLT"/>
                    <w:sz w:val="20"/>
                    <w:lang w:val="en-GB"/>
                  </w:rPr>
                  <w:t>)</w:t>
                </w:r>
              </w:p>
            </w:tc>
            <w:tc>
              <w:tcPr>
                <w:tcW w:w="1559" w:type="dxa"/>
                <w:tcBorders>
                  <w:top w:val="nil"/>
                  <w:left w:val="nil"/>
                  <w:bottom w:val="single" w:sz="4" w:space="0" w:color="auto"/>
                  <w:right w:val="nil"/>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9.602,3 </w:t>
                </w:r>
              </w:p>
            </w:tc>
            <w:tc>
              <w:tcPr>
                <w:tcW w:w="1559" w:type="dxa"/>
                <w:tcBorders>
                  <w:top w:val="nil"/>
                  <w:left w:val="single" w:sz="4" w:space="0" w:color="auto"/>
                  <w:bottom w:val="single" w:sz="4" w:space="0" w:color="auto"/>
                  <w:right w:val="nil"/>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11.631,3 </w:t>
                </w:r>
              </w:p>
            </w:tc>
            <w:tc>
              <w:tcPr>
                <w:tcW w:w="1559" w:type="dxa"/>
                <w:tcBorders>
                  <w:top w:val="nil"/>
                  <w:left w:val="single" w:sz="4" w:space="0" w:color="auto"/>
                  <w:bottom w:val="single" w:sz="4" w:space="0" w:color="auto"/>
                  <w:right w:val="nil"/>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10.056,4 </w:t>
                </w:r>
              </w:p>
            </w:tc>
            <w:tc>
              <w:tcPr>
                <w:tcW w:w="1701" w:type="dxa"/>
                <w:tcBorders>
                  <w:top w:val="nil"/>
                  <w:left w:val="single" w:sz="4" w:space="0" w:color="auto"/>
                  <w:bottom w:val="single" w:sz="4" w:space="0" w:color="auto"/>
                  <w:right w:val="single" w:sz="8" w:space="0" w:color="auto"/>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10.064,6 </w:t>
                </w:r>
              </w:p>
            </w:tc>
          </w:tr>
          <w:tr>
            <w:trPr>
              <w:trHeight w:val="615"/>
            </w:trPr>
            <w:tc>
              <w:tcPr>
                <w:tcW w:w="3251" w:type="dxa"/>
                <w:tcBorders>
                  <w:top w:val="single" w:sz="4" w:space="0" w:color="auto"/>
                  <w:left w:val="single" w:sz="8" w:space="0" w:color="auto"/>
                  <w:bottom w:val="single" w:sz="4" w:space="0" w:color="auto"/>
                  <w:right w:val="single" w:sz="4" w:space="0" w:color="000000"/>
                </w:tcBorders>
                <w:shd w:val="clear" w:color="000000" w:fill="FFFF00"/>
                <w:vAlign w:val="center"/>
                <w:hideMark/>
              </w:tcPr>
              <w:p>
                <w:pPr>
                  <w:rPr>
                    <w:b/>
                    <w:bCs/>
                    <w:sz w:val="20"/>
                    <w:lang w:eastAsia="lt-LT"/>
                  </w:rPr>
                </w:pPr>
                <w:r>
                  <w:rPr>
                    <w:rFonts w:ascii="TimesLT" w:hAnsi="TimesLT"/>
                    <w:b/>
                    <w:bCs/>
                    <w:sz w:val="20"/>
                    <w:lang w:val="en-GB"/>
                  </w:rPr>
                  <w:t>2.2. Valstybės biudžeto lėšos (VB)</w:t>
                </w:r>
              </w:p>
            </w:tc>
            <w:tc>
              <w:tcPr>
                <w:tcW w:w="1559" w:type="dxa"/>
                <w:tcBorders>
                  <w:top w:val="nil"/>
                  <w:left w:val="nil"/>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8.648,2 </w:t>
                </w:r>
              </w:p>
            </w:tc>
            <w:tc>
              <w:tcPr>
                <w:tcW w:w="1559" w:type="dxa"/>
                <w:tcBorders>
                  <w:top w:val="nil"/>
                  <w:left w:val="single" w:sz="4" w:space="0" w:color="auto"/>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8.338,6 </w:t>
                </w:r>
              </w:p>
            </w:tc>
            <w:tc>
              <w:tcPr>
                <w:tcW w:w="1559" w:type="dxa"/>
                <w:tcBorders>
                  <w:top w:val="nil"/>
                  <w:left w:val="single" w:sz="4" w:space="0" w:color="auto"/>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8.079,9 </w:t>
                </w:r>
              </w:p>
            </w:tc>
            <w:tc>
              <w:tcPr>
                <w:tcW w:w="1701" w:type="dxa"/>
                <w:tcBorders>
                  <w:top w:val="nil"/>
                  <w:left w:val="single" w:sz="4" w:space="0" w:color="auto"/>
                  <w:bottom w:val="single" w:sz="4" w:space="0" w:color="auto"/>
                  <w:right w:val="single" w:sz="8" w:space="0" w:color="auto"/>
                </w:tcBorders>
                <w:shd w:val="clear" w:color="000000" w:fill="FFFF00"/>
                <w:vAlign w:val="center"/>
                <w:hideMark/>
              </w:tcPr>
              <w:p>
                <w:pPr>
                  <w:jc w:val="center"/>
                  <w:rPr>
                    <w:b/>
                    <w:bCs/>
                    <w:sz w:val="20"/>
                    <w:lang w:eastAsia="lt-LT"/>
                  </w:rPr>
                </w:pPr>
                <w:r>
                  <w:rPr>
                    <w:rFonts w:ascii="TimesLT" w:hAnsi="TimesLT"/>
                    <w:b/>
                    <w:bCs/>
                    <w:sz w:val="20"/>
                    <w:lang w:val="en-GB"/>
                  </w:rPr>
                  <w:t xml:space="preserve">8.079,9 </w:t>
                </w:r>
              </w:p>
            </w:tc>
          </w:tr>
          <w:tr>
            <w:trPr>
              <w:trHeight w:val="885"/>
            </w:trPr>
            <w:tc>
              <w:tcPr>
                <w:tcW w:w="3251" w:type="dxa"/>
                <w:tcBorders>
                  <w:top w:val="single" w:sz="4" w:space="0" w:color="auto"/>
                  <w:left w:val="single" w:sz="8" w:space="0" w:color="auto"/>
                  <w:bottom w:val="single" w:sz="4" w:space="0" w:color="auto"/>
                  <w:right w:val="single" w:sz="4" w:space="0" w:color="000000"/>
                </w:tcBorders>
                <w:shd w:val="clear" w:color="000000" w:fill="FFFF00"/>
                <w:vAlign w:val="center"/>
                <w:hideMark/>
              </w:tcPr>
              <w:p>
                <w:pPr>
                  <w:rPr>
                    <w:b/>
                    <w:bCs/>
                    <w:sz w:val="20"/>
                    <w:lang w:eastAsia="lt-LT"/>
                  </w:rPr>
                </w:pPr>
                <w:r>
                  <w:rPr>
                    <w:rFonts w:ascii="TimesLT" w:hAnsi="TimesLT"/>
                    <w:b/>
                    <w:bCs/>
                    <w:sz w:val="20"/>
                    <w:lang w:val="en-GB"/>
                  </w:rPr>
                  <w:t xml:space="preserve">2.3. Europos Sąjungos  ir kitų užsienio fondų paramos lėšos (ES)</w:t>
                </w:r>
              </w:p>
            </w:tc>
            <w:tc>
              <w:tcPr>
                <w:tcW w:w="1559" w:type="dxa"/>
                <w:tcBorders>
                  <w:top w:val="nil"/>
                  <w:left w:val="nil"/>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2.886,0 </w:t>
                </w:r>
              </w:p>
            </w:tc>
            <w:tc>
              <w:tcPr>
                <w:tcW w:w="1559" w:type="dxa"/>
                <w:tcBorders>
                  <w:top w:val="nil"/>
                  <w:left w:val="single" w:sz="4" w:space="0" w:color="auto"/>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772,4 </w:t>
                </w:r>
              </w:p>
            </w:tc>
            <w:tc>
              <w:tcPr>
                <w:tcW w:w="1559" w:type="dxa"/>
                <w:tcBorders>
                  <w:top w:val="nil"/>
                  <w:left w:val="single" w:sz="4" w:space="0" w:color="auto"/>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1.515,0 </w:t>
                </w:r>
              </w:p>
            </w:tc>
            <w:tc>
              <w:tcPr>
                <w:tcW w:w="1701" w:type="dxa"/>
                <w:tcBorders>
                  <w:top w:val="nil"/>
                  <w:left w:val="single" w:sz="4" w:space="0" w:color="auto"/>
                  <w:bottom w:val="single" w:sz="4" w:space="0" w:color="auto"/>
                  <w:right w:val="single" w:sz="8" w:space="0" w:color="auto"/>
                </w:tcBorders>
                <w:shd w:val="clear" w:color="000000" w:fill="FFFF00"/>
                <w:vAlign w:val="center"/>
                <w:hideMark/>
              </w:tcPr>
              <w:p>
                <w:pPr>
                  <w:jc w:val="center"/>
                  <w:rPr>
                    <w:b/>
                    <w:bCs/>
                    <w:sz w:val="20"/>
                    <w:lang w:eastAsia="lt-LT"/>
                  </w:rPr>
                </w:pPr>
                <w:r>
                  <w:rPr>
                    <w:rFonts w:ascii="TimesLT" w:hAnsi="TimesLT"/>
                    <w:b/>
                    <w:bCs/>
                    <w:sz w:val="20"/>
                    <w:lang w:val="en-GB"/>
                  </w:rPr>
                  <w:t xml:space="preserve">2.312,0 </w:t>
                </w:r>
              </w:p>
            </w:tc>
          </w:tr>
        </w:tbl>
        <w:p>
          <w:pPr>
            <w:tabs>
              <w:tab w:val="left" w:pos="0"/>
            </w:tabs>
            <w:ind w:firstLine="3544"/>
          </w:pPr>
          <w:r>
            <w:t>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66f1008b4811ed8df094f359a60216">
            <w:r w:rsidRPr="00532B9F">
              <w:rPr>
                <w:rFonts w:ascii="Times New Roman" w:eastAsia="MS Mincho" w:hAnsi="Times New Roman"/>
                <w:sz w:val="20"/>
                <w:i/>
                <w:iCs/>
                <w:color w:val="0000FF" w:themeColor="hyperlink"/>
                <w:u w:val="single"/>
              </w:rPr>
              <w:t>K-240</w:t>
            </w:r>
          </w:fldSimple>
          <w:r>
            <w:rPr>
              <w:rFonts w:ascii="Times New Roman" w:eastAsia="MS Mincho" w:hAnsi="Times New Roman"/>
              <w:sz w:val="20"/>
              <w:i/>
              <w:iCs/>
            </w:rPr>
            <w:t>,
2022-12-22,
paskelbta TAR 2023-01-03, i. k. 2023-00093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02programa.1lentele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
          <w:pPr>
            <w:pStyle w:val="PlainText"/>
            <w:rPr>
              <w:rFonts w:ascii="Times New Roman" w:eastAsia="MS Mincho" w:hAnsi="Times New Roman"/>
              <w:sz w:val="20"/>
              <w:iCs/>
            </w:rPr>
          </w:pPr>
          <w:r>
            <w:rPr>
              <w:rFonts w:ascii="Times New Roman" w:eastAsia="MS Mincho" w:hAnsi="Times New Roman"/>
              <w:sz w:val="20"/>
              <w:iCs/>
            </w:rPr>
            <w:t>02programa.2 priedas 1 lentelė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66f1008b4811ed8df094f359a60216">
            <w:r w:rsidRPr="00532B9F">
              <w:rPr>
                <w:rFonts w:ascii="Times New Roman" w:eastAsia="MS Mincho" w:hAnsi="Times New Roman"/>
                <w:sz w:val="20"/>
                <w:i/>
                <w:iCs/>
                <w:color w:val="0000FF" w:themeColor="hyperlink"/>
                <w:u w:val="single"/>
              </w:rPr>
              <w:t>K-240</w:t>
            </w:r>
          </w:fldSimple>
          <w:r>
            <w:rPr>
              <w:rFonts w:ascii="Times New Roman" w:eastAsia="MS Mincho" w:hAnsi="Times New Roman"/>
              <w:sz w:val="20"/>
              <w:i/>
              <w:iCs/>
            </w:rPr>
            <w:t>,
2022-12-22,
paskelbta TAR 2023-01-03, i. k. 2023-00093        </w:t>
          </w:r>
        </w:p>
        <w:p/>
        <w:p>
          <w:pPr>
            <w:pStyle w:val="PlainText"/>
            <w:rPr>
              <w:rFonts w:ascii="Times New Roman" w:eastAsia="MS Mincho" w:hAnsi="Times New Roman"/>
              <w:sz w:val="20"/>
              <w:iCs/>
            </w:rPr>
          </w:pPr>
          <w:r>
            <w:rPr>
              <w:rFonts w:ascii="Times New Roman" w:eastAsia="MS Mincho" w:hAnsi="Times New Roman"/>
              <w:sz w:val="20"/>
              <w:iCs/>
            </w:rPr>
            <w:t>03programa.1lentele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66f1008b4811ed8df094f359a60216">
            <w:r w:rsidRPr="00532B9F">
              <w:rPr>
                <w:rFonts w:ascii="Times New Roman" w:eastAsia="MS Mincho" w:hAnsi="Times New Roman"/>
                <w:sz w:val="20"/>
                <w:i/>
                <w:iCs/>
                <w:color w:val="0000FF" w:themeColor="hyperlink"/>
                <w:u w:val="single"/>
              </w:rPr>
              <w:t>K-240</w:t>
            </w:r>
          </w:fldSimple>
          <w:r>
            <w:rPr>
              <w:rFonts w:ascii="Times New Roman" w:eastAsia="MS Mincho" w:hAnsi="Times New Roman"/>
              <w:sz w:val="20"/>
              <w:i/>
              <w:iCs/>
            </w:rPr>
            <w:t>,
2022-12-22,
paskelbta TAR 2023-01-03, i. k. 2023-00093        </w:t>
          </w:r>
        </w:p>
        <w:p/>
        <w:p>
          <w:pPr>
            <w:pStyle w:val="PlainText"/>
            <w:rPr>
              <w:rFonts w:ascii="Times New Roman" w:eastAsia="MS Mincho" w:hAnsi="Times New Roman"/>
              <w:sz w:val="20"/>
              <w:iCs/>
            </w:rPr>
          </w:pPr>
          <w:r>
            <w:rPr>
              <w:rFonts w:ascii="Times New Roman" w:eastAsia="MS Mincho" w:hAnsi="Times New Roman"/>
              <w:sz w:val="20"/>
              <w:iCs/>
            </w:rPr>
            <w:t>05programa.2lentele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66f1008b4811ed8df094f359a60216">
            <w:r w:rsidRPr="00532B9F">
              <w:rPr>
                <w:rFonts w:ascii="Times New Roman" w:eastAsia="MS Mincho" w:hAnsi="Times New Roman"/>
                <w:sz w:val="20"/>
                <w:i/>
                <w:iCs/>
                <w:color w:val="0000FF" w:themeColor="hyperlink"/>
                <w:u w:val="single"/>
              </w:rPr>
              <w:t>K-240</w:t>
            </w:r>
          </w:fldSimple>
          <w:r>
            <w:rPr>
              <w:rFonts w:ascii="Times New Roman" w:eastAsia="MS Mincho" w:hAnsi="Times New Roman"/>
              <w:sz w:val="20"/>
              <w:i/>
              <w:iCs/>
            </w:rPr>
            <w:t>,
2022-12-22,
paskelbta TAR 2023-01-03, i. k. 2023-00093        </w:t>
          </w:r>
        </w:p>
        <w:p/>
        <w:p>
          <w:pPr>
            <w:pStyle w:val="PlainText"/>
            <w:rPr>
              <w:rFonts w:ascii="Times New Roman" w:eastAsia="MS Mincho" w:hAnsi="Times New Roman"/>
              <w:sz w:val="20"/>
              <w:iCs/>
            </w:rPr>
          </w:pPr>
          <w:r>
            <w:rPr>
              <w:rFonts w:ascii="Times New Roman" w:eastAsia="MS Mincho" w:hAnsi="Times New Roman"/>
              <w:sz w:val="20"/>
              <w:iCs/>
            </w:rPr>
            <w:t>06programa. 1 priedas 1bforma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66f1008b4811ed8df094f359a60216">
            <w:r w:rsidRPr="00532B9F">
              <w:rPr>
                <w:rFonts w:ascii="Times New Roman" w:eastAsia="MS Mincho" w:hAnsi="Times New Roman"/>
                <w:sz w:val="20"/>
                <w:i/>
                <w:iCs/>
                <w:color w:val="0000FF" w:themeColor="hyperlink"/>
                <w:u w:val="single"/>
              </w:rPr>
              <w:t>K-240</w:t>
            </w:r>
          </w:fldSimple>
          <w:r>
            <w:rPr>
              <w:rFonts w:ascii="Times New Roman" w:eastAsia="MS Mincho" w:hAnsi="Times New Roman"/>
              <w:sz w:val="20"/>
              <w:i/>
              <w:iCs/>
            </w:rPr>
            <w:t>,
2022-12-22,
paskelbta TAR 2023-01-03, i. k. 2023-00093        </w:t>
          </w:r>
        </w:p>
        <w:p/>
        <w:p>
          <w:pPr>
            <w:pStyle w:val="PlainText"/>
            <w:rPr>
              <w:rFonts w:ascii="Times New Roman" w:eastAsia="MS Mincho" w:hAnsi="Times New Roman"/>
              <w:sz w:val="20"/>
              <w:iCs/>
            </w:rPr>
          </w:pPr>
          <w:r>
            <w:rPr>
              <w:rFonts w:ascii="Times New Roman" w:eastAsia="MS Mincho" w:hAnsi="Times New Roman"/>
              <w:sz w:val="20"/>
              <w:iCs/>
            </w:rPr>
            <w:t>06programa. 2 priedas 1lentelė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66f1008b4811ed8df094f359a60216">
            <w:r w:rsidRPr="00532B9F">
              <w:rPr>
                <w:rFonts w:ascii="Times New Roman" w:eastAsia="MS Mincho" w:hAnsi="Times New Roman"/>
                <w:sz w:val="20"/>
                <w:i/>
                <w:iCs/>
                <w:color w:val="0000FF" w:themeColor="hyperlink"/>
                <w:u w:val="single"/>
              </w:rPr>
              <w:t>K-240</w:t>
            </w:r>
          </w:fldSimple>
          <w:r>
            <w:rPr>
              <w:rFonts w:ascii="Times New Roman" w:eastAsia="MS Mincho" w:hAnsi="Times New Roman"/>
              <w:sz w:val="20"/>
              <w:i/>
              <w:iCs/>
            </w:rPr>
            <w:t>,
2022-12-22,
paskelbta TAR 2023-01-03, i. k. 2023-00093        </w:t>
          </w:r>
        </w:p>
        <w:p/>
        <w:p>
          <w:pPr>
            <w:pStyle w:val="PlainText"/>
            <w:rPr>
              <w:rFonts w:ascii="Times New Roman" w:eastAsia="MS Mincho" w:hAnsi="Times New Roman"/>
              <w:sz w:val="20"/>
              <w:iCs/>
            </w:rPr>
          </w:pPr>
          <w:r>
            <w:rPr>
              <w:rFonts w:ascii="Times New Roman" w:eastAsia="MS Mincho" w:hAnsi="Times New Roman"/>
              <w:sz w:val="20"/>
              <w:iCs/>
            </w:rPr>
            <w:t>07programa. 2 priedas 1 lentele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66f1008b4811ed8df094f359a60216">
            <w:r w:rsidRPr="00532B9F">
              <w:rPr>
                <w:rFonts w:ascii="Times New Roman" w:eastAsia="MS Mincho" w:hAnsi="Times New Roman"/>
                <w:sz w:val="20"/>
                <w:i/>
                <w:iCs/>
                <w:color w:val="0000FF" w:themeColor="hyperlink"/>
                <w:u w:val="single"/>
              </w:rPr>
              <w:t>K-240</w:t>
            </w:r>
          </w:fldSimple>
          <w:r>
            <w:rPr>
              <w:rFonts w:ascii="Times New Roman" w:eastAsia="MS Mincho" w:hAnsi="Times New Roman"/>
              <w:sz w:val="20"/>
              <w:i/>
              <w:iCs/>
            </w:rPr>
            <w:t>,
2022-12-22,
paskelbta TAR 2023-01-03, i. k. 2023-00093        </w:t>
          </w:r>
        </w:p>
        <w:p/>
        <w:p>
          <w:pPr>
            <w:pStyle w:val="PlainText"/>
            <w:rPr>
              <w:rFonts w:ascii="Times New Roman" w:eastAsia="MS Mincho" w:hAnsi="Times New Roman"/>
              <w:sz w:val="20"/>
              <w:iCs/>
            </w:rPr>
          </w:pPr>
          <w:r>
            <w:rPr>
              <w:rFonts w:ascii="Times New Roman" w:eastAsia="MS Mincho" w:hAnsi="Times New Roman"/>
              <w:sz w:val="20"/>
              <w:iCs/>
            </w:rPr>
            <w:t>08programa. 2 priedas 1lentele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66f1008b4811ed8df094f359a60216">
            <w:r w:rsidRPr="00532B9F">
              <w:rPr>
                <w:rFonts w:ascii="Times New Roman" w:eastAsia="MS Mincho" w:hAnsi="Times New Roman"/>
                <w:sz w:val="20"/>
                <w:i/>
                <w:iCs/>
                <w:color w:val="0000FF" w:themeColor="hyperlink"/>
                <w:u w:val="single"/>
              </w:rPr>
              <w:t>K-240</w:t>
            </w:r>
          </w:fldSimple>
          <w:r>
            <w:rPr>
              <w:rFonts w:ascii="Times New Roman" w:eastAsia="MS Mincho" w:hAnsi="Times New Roman"/>
              <w:sz w:val="20"/>
              <w:i/>
              <w:iCs/>
            </w:rPr>
            <w:t>,
2022-12-22,
paskelbta TAR 2023-01-03, i. k. 2023-00093        </w:t>
          </w:r>
        </w:p>
        <w:p/>
        <w:p>
          <w:pPr>
            <w:pStyle w:val="PlainText"/>
            <w:rPr>
              <w:rFonts w:ascii="Times New Roman" w:eastAsia="MS Mincho" w:hAnsi="Times New Roman"/>
              <w:sz w:val="20"/>
              <w:iCs/>
            </w:rPr>
          </w:pPr>
          <w:r>
            <w:rPr>
              <w:rFonts w:ascii="Times New Roman" w:eastAsia="MS Mincho" w:hAnsi="Times New Roman"/>
              <w:sz w:val="20"/>
              <w:iCs/>
            </w:rPr>
            <w:t>09programa. 2 priedas 1lentele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66f1008b4811ed8df094f359a60216">
            <w:r w:rsidRPr="00532B9F">
              <w:rPr>
                <w:rFonts w:ascii="Times New Roman" w:eastAsia="MS Mincho" w:hAnsi="Times New Roman"/>
                <w:sz w:val="20"/>
                <w:i/>
                <w:iCs/>
                <w:color w:val="0000FF" w:themeColor="hyperlink"/>
                <w:u w:val="single"/>
              </w:rPr>
              <w:t>K-240</w:t>
            </w:r>
          </w:fldSimple>
          <w:r>
            <w:rPr>
              <w:rFonts w:ascii="Times New Roman" w:eastAsia="MS Mincho" w:hAnsi="Times New Roman"/>
              <w:sz w:val="20"/>
              <w:i/>
              <w:iCs/>
            </w:rPr>
            <w:t>,
2022-12-22,
paskelbta TAR 2023-01-03, i. k. 2023-00093        </w:t>
          </w:r>
        </w:p>
        <w:p/>
        <w:p>
          <w:pPr>
            <w:pStyle w:val="PlainText"/>
            <w:rPr>
              <w:rFonts w:ascii="Times New Roman" w:eastAsia="MS Mincho" w:hAnsi="Times New Roman"/>
              <w:sz w:val="20"/>
              <w:iCs/>
            </w:rPr>
          </w:pPr>
          <w:r>
            <w:rPr>
              <w:rFonts w:ascii="Times New Roman" w:eastAsia="MS Mincho" w:hAnsi="Times New Roman"/>
              <w:sz w:val="20"/>
              <w:iCs/>
            </w:rPr>
            <w:t>10programa.1b forma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
          <w:pPr>
            <w:pStyle w:val="PlainText"/>
            <w:rPr>
              <w:rFonts w:ascii="Times New Roman" w:eastAsia="MS Mincho" w:hAnsi="Times New Roman"/>
              <w:sz w:val="20"/>
              <w:iCs/>
            </w:rPr>
          </w:pPr>
          <w:r>
            <w:rPr>
              <w:rFonts w:ascii="Times New Roman" w:eastAsia="MS Mincho" w:hAnsi="Times New Roman"/>
              <w:sz w:val="20"/>
              <w:iCs/>
            </w:rPr>
            <w:t>10programa. 2 priedas 1lentele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66f1008b4811ed8df094f359a60216">
            <w:r w:rsidRPr="00532B9F">
              <w:rPr>
                <w:rFonts w:ascii="Times New Roman" w:eastAsia="MS Mincho" w:hAnsi="Times New Roman"/>
                <w:sz w:val="20"/>
                <w:i/>
                <w:iCs/>
                <w:color w:val="0000FF" w:themeColor="hyperlink"/>
                <w:u w:val="single"/>
              </w:rPr>
              <w:t>K-240</w:t>
            </w:r>
          </w:fldSimple>
          <w:r>
            <w:rPr>
              <w:rFonts w:ascii="Times New Roman" w:eastAsia="MS Mincho" w:hAnsi="Times New Roman"/>
              <w:sz w:val="20"/>
              <w:i/>
              <w:iCs/>
            </w:rPr>
            <w:t>,
2022-12-22,
paskelbta TAR 2023-01-03, i. k. 2023-00093        </w:t>
          </w:r>
        </w:p>
        <w:p/>
        <w:p>
          <w:pPr>
            <w:pStyle w:val="PlainText"/>
            <w:rPr>
              <w:rFonts w:ascii="Times New Roman" w:eastAsia="MS Mincho" w:hAnsi="Times New Roman"/>
              <w:sz w:val="20"/>
              <w:iCs/>
            </w:rPr>
          </w:pPr>
          <w:r>
            <w:rPr>
              <w:rFonts w:ascii="Times New Roman" w:eastAsia="MS Mincho" w:hAnsi="Times New Roman"/>
              <w:sz w:val="20"/>
              <w:iCs/>
            </w:rPr>
            <w:t>05programa.1bforma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66f1008b4811ed8df094f359a60216">
            <w:r w:rsidRPr="00532B9F">
              <w:rPr>
                <w:rFonts w:ascii="Times New Roman" w:eastAsia="MS Mincho" w:hAnsi="Times New Roman"/>
                <w:sz w:val="20"/>
                <w:i/>
                <w:iCs/>
                <w:color w:val="0000FF" w:themeColor="hyperlink"/>
                <w:u w:val="single"/>
              </w:rPr>
              <w:t>K-240</w:t>
            </w:r>
          </w:fldSimple>
          <w:r>
            <w:rPr>
              <w:rFonts w:ascii="Times New Roman" w:eastAsia="MS Mincho" w:hAnsi="Times New Roman"/>
              <w:sz w:val="20"/>
              <w:i/>
              <w:iCs/>
            </w:rPr>
            <w:t>,
2022-12-22,
paskelbta TAR 2023-01-03, i. k. 2023-00093        </w:t>
          </w:r>
        </w:p>
        <w:p/>
        <w:p>
          <w:pPr>
            <w:pStyle w:val="PlainText"/>
            <w:rPr>
              <w:rFonts w:ascii="Times New Roman" w:eastAsia="MS Mincho" w:hAnsi="Times New Roman"/>
              <w:sz w:val="20"/>
              <w:iCs/>
            </w:rPr>
          </w:pPr>
          <w:r>
            <w:rPr>
              <w:rFonts w:ascii="Times New Roman" w:eastAsia="MS Mincho" w:hAnsi="Times New Roman"/>
              <w:sz w:val="20"/>
              <w:iCs/>
            </w:rPr>
            <w:t>05programa.1lentele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66f1008b4811ed8df094f359a60216">
            <w:r w:rsidRPr="00532B9F">
              <w:rPr>
                <w:rFonts w:ascii="Times New Roman" w:eastAsia="MS Mincho" w:hAnsi="Times New Roman"/>
                <w:sz w:val="20"/>
                <w:i/>
                <w:iCs/>
                <w:color w:val="0000FF" w:themeColor="hyperlink"/>
                <w:u w:val="single"/>
              </w:rPr>
              <w:t>K-240</w:t>
            </w:r>
          </w:fldSimple>
          <w:r>
            <w:rPr>
              <w:rFonts w:ascii="Times New Roman" w:eastAsia="MS Mincho" w:hAnsi="Times New Roman"/>
              <w:sz w:val="20"/>
              <w:i/>
              <w:iCs/>
            </w:rPr>
            <w:t>,
2022-12-22,
paskelbta TAR 2023-01-03, i. k. 2023-00093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Alytaus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8b0bb90f6b711ec8fa7d02a65c371ad">
            <w:r w:rsidRPr="00532B9F">
              <w:rPr>
                <w:rFonts w:ascii="Times New Roman" w:eastAsia="MS Mincho" w:hAnsi="Times New Roman"/>
                <w:sz w:val="20"/>
                <w:iCs/>
                <w:color w:val="0000FF" w:themeColor="hyperlink"/>
                <w:u w:val="single"/>
              </w:rPr>
              <w:t>K-122</w:t>
            </w:r>
          </w:fldSimple>
          <w:r>
            <w:rPr>
              <w:rFonts w:ascii="Times New Roman" w:eastAsia="MS Mincho" w:hAnsi="Times New Roman"/>
              <w:sz w:val="20"/>
              <w:iCs/>
            </w:rPr>
            <w:t>,
2022-06-22,
paskelbta TAR 2022-06-28, i. k. 2022-13837                </w:t>
          </w:r>
        </w:p>
        <w:p>
          <w:pPr>
            <w:jc w:val="both"/>
            <w:rPr>
              <w:rFonts w:ascii="Times New Roman" w:hAnsi="Times New Roman"/>
            </w:rPr>
          </w:pPr>
          <w:r>
            <w:rPr>
              <w:rFonts w:ascii="Times New Roman" w:hAnsi="Times New Roman"/>
              <w:sz w:val="20"/>
            </w:rPr>
            <w:t>Dėl Alytaus rajono savivaldybės tarybos 2022 m. vasario 17 d. sprendimo Nr. K-1 „Dėl Alytaus rajono savivaldybės 2022-2024 metų strateginio veiklos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Alytaus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a6c65d05c3e11edbc04912defe897d1">
            <w:r w:rsidRPr="00532B9F">
              <w:rPr>
                <w:rFonts w:ascii="Times New Roman" w:eastAsia="MS Mincho" w:hAnsi="Times New Roman"/>
                <w:sz w:val="20"/>
                <w:iCs/>
                <w:color w:val="0000FF" w:themeColor="hyperlink"/>
                <w:u w:val="single"/>
              </w:rPr>
              <w:t>K-185</w:t>
            </w:r>
          </w:fldSimple>
          <w:r>
            <w:rPr>
              <w:rFonts w:ascii="Times New Roman" w:eastAsia="MS Mincho" w:hAnsi="Times New Roman"/>
              <w:sz w:val="20"/>
              <w:iCs/>
            </w:rPr>
            <w:t>,
2022-10-27,
paskelbta TAR 2022-11-04, i. k. 2022-22502                </w:t>
          </w:r>
        </w:p>
        <w:p>
          <w:pPr>
            <w:jc w:val="both"/>
            <w:rPr>
              <w:rFonts w:ascii="Times New Roman" w:hAnsi="Times New Roman"/>
            </w:rPr>
          </w:pPr>
          <w:r>
            <w:rPr>
              <w:rFonts w:ascii="Times New Roman" w:hAnsi="Times New Roman"/>
              <w:sz w:val="20"/>
            </w:rPr>
            <w:t>Dėl Alytaus rajono savivaldybės tarybos 2022 m. vasario 17 d. sprendimo Nr. K-1 „Dėl Alytaus rajono savivaldybės 2022-2024 metų strateginio veiklos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Alytaus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966f1008b4811ed8df094f359a60216">
            <w:r w:rsidRPr="00532B9F">
              <w:rPr>
                <w:rFonts w:ascii="Times New Roman" w:eastAsia="MS Mincho" w:hAnsi="Times New Roman"/>
                <w:sz w:val="20"/>
                <w:iCs/>
                <w:color w:val="0000FF" w:themeColor="hyperlink"/>
                <w:u w:val="single"/>
              </w:rPr>
              <w:t>K-240</w:t>
            </w:r>
          </w:fldSimple>
          <w:r>
            <w:rPr>
              <w:rFonts w:ascii="Times New Roman" w:eastAsia="MS Mincho" w:hAnsi="Times New Roman"/>
              <w:sz w:val="20"/>
              <w:iCs/>
            </w:rPr>
            <w:t>,
2022-12-22,
paskelbta TAR 2023-01-03, i. k. 2023-00093                </w:t>
          </w:r>
        </w:p>
        <w:p>
          <w:pPr>
            <w:jc w:val="both"/>
            <w:rPr>
              <w:rFonts w:ascii="Times New Roman" w:hAnsi="Times New Roman"/>
            </w:rPr>
          </w:pPr>
          <w:r>
            <w:rPr>
              <w:rFonts w:ascii="Times New Roman" w:hAnsi="Times New Roman"/>
              <w:sz w:val="20"/>
            </w:rPr>
            <w:t>Dėl Alytaus rajono savivaldybės tarybos 2022 m. vasario 17 d. sprendimo Nr. K-1 „Dėl Alytaus rajono savivaldybės 2022-2024 metų strateginio veiklos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567" w:footer="567"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GB"/>
        </w:rPr>
      </w:pPr>
      <w:r>
        <w:rPr>
          <w:rFonts w:ascii="TimesLT" w:hAnsi="TimesLT"/>
          <w:lang w:val="en-GB"/>
        </w:rPr>
        <w:separator/>
      </w:r>
    </w:p>
  </w:endnote>
  <w:endnote w:type="continuationSeparator" w:id="0">
    <w:p>
      <w:pPr>
        <w:rPr>
          <w:rFonts w:ascii="TimesLT" w:hAnsi="TimesLT"/>
          <w:lang w:val="en-GB"/>
        </w:rPr>
      </w:pPr>
      <w:r>
        <w:rPr>
          <w:rFonts w:ascii="TimesLT" w:hAnsi="TimesLT"/>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LT">
    <w:altName w:val="Times New Roman"/>
    <w:charset w:val="00"/>
    <w:family w:val="auto"/>
    <w:pitch w:val="default"/>
  </w:font>
  <w:font w:name="Courier New">
    <w:panose1 w:val="02070309020205020404"/>
    <w:charset w:val="BA"/>
    <w:family w:val="modern"/>
    <w:pitch w:val="fixed"/>
    <w:sig w:usb0="E0002EFF" w:usb1="C0007843" w:usb2="00000009" w:usb3="00000000" w:csb0="000001FF" w:csb1="00000000"/>
  </w:font>
  <w:font w:name="AngsanaUPC">
    <w:charset w:val="00"/>
    <w:family w:val="roman"/>
    <w:pitch w:val="variable"/>
    <w:sig w:usb0="81000003" w:usb1="00000000" w:usb2="00000000" w:usb3="00000000" w:csb0="0001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GB"/>
        </w:rPr>
      </w:pPr>
      <w:r>
        <w:rPr>
          <w:rFonts w:ascii="TimesLT" w:hAnsi="TimesLT"/>
          <w:lang w:val="en-GB"/>
        </w:rPr>
        <w:separator/>
      </w:r>
    </w:p>
  </w:footnote>
  <w:footnote w:type="continuationSeparator" w:id="0">
    <w:p>
      <w:pPr>
        <w:rPr>
          <w:rFonts w:ascii="TimesLT" w:hAnsi="TimesLT"/>
          <w:lang w:val="en-GB"/>
        </w:rPr>
      </w:pPr>
      <w:r>
        <w:rPr>
          <w:rFonts w:ascii="TimesLT" w:hAnsi="TimesLT"/>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320"/>
        <w:tab w:val="right" w:pos="8640"/>
      </w:tabs>
      <w:rPr>
        <w:rFonts w:ascii="TimesLT" w:hAnsi="TimesLT"/>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44</w:t>
    </w:r>
    <w:r>
      <w:fldChar w:fldCharType="end"/>
    </w:r>
  </w:p>
  <w:p>
    <w:pPr>
      <w:tabs>
        <w:tab w:val="center" w:pos="4320"/>
        <w:tab w:val="right" w:pos="8640"/>
      </w:tabs>
      <w:rPr>
        <w:rFonts w:ascii="TimesLT" w:hAnsi="TimesLT"/>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tabs>
        <w:tab w:val="center" w:pos="4320"/>
        <w:tab w:val="right" w:pos="8640"/>
      </w:tabs>
      <w:rPr>
        <w:rFonts w:ascii="TimesLT" w:hAnsi="TimesLT"/>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tabs>
        <w:tab w:val="center" w:pos="4320"/>
        <w:tab w:val="right" w:pos="8640"/>
      </w:tabs>
      <w:rPr>
        <w:rFonts w:ascii="TimesLT" w:hAnsi="TimesLT"/>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tabs>
        <w:tab w:val="center" w:pos="4320"/>
        <w:tab w:val="right" w:pos="8640"/>
      </w:tabs>
      <w:rPr>
        <w:rFonts w:ascii="TimesLT" w:hAnsi="TimesLT"/>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44</w:t>
    </w:r>
    <w:r>
      <w:fldChar w:fldCharType="end"/>
    </w:r>
  </w:p>
  <w:p>
    <w:pPr>
      <w:tabs>
        <w:tab w:val="center" w:pos="4320"/>
        <w:tab w:val="right" w:pos="8640"/>
      </w:tabs>
      <w:rPr>
        <w:rFonts w:ascii="TimesLT" w:hAnsi="TimesLT"/>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tabs>
        <w:tab w:val="center" w:pos="4320"/>
        <w:tab w:val="right" w:pos="8640"/>
      </w:tabs>
      <w:rPr>
        <w:rFonts w:ascii="TimesLT" w:hAnsi="TimesLT"/>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9A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0118C9"/>
  <w15:chartTrackingRefBased/>
  <w15:docId w15:val="{3C5E6FC1-381B-4359-A8ED-180C5FDDBD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22174371">
      <w:bodyDiv w:val="1"/>
      <w:marLeft w:val="0"/>
      <w:marRight w:val="0"/>
      <w:marTop w:val="0"/>
      <w:marBottom w:val="0"/>
      <w:divBdr>
        <w:top w:val="none" w:sz="0" w:space="0" w:color="auto"/>
        <w:left w:val="none" w:sz="0" w:space="0" w:color="auto"/>
        <w:bottom w:val="none" w:sz="0" w:space="0" w:color="auto"/>
        <w:right w:val="none" w:sz="0" w:space="0" w:color="auto"/>
      </w:divBdr>
    </w:div>
    <w:div w:id="74330699">
      <w:bodyDiv w:val="1"/>
      <w:marLeft w:val="0"/>
      <w:marRight w:val="0"/>
      <w:marTop w:val="0"/>
      <w:marBottom w:val="0"/>
      <w:divBdr>
        <w:top w:val="none" w:sz="0" w:space="0" w:color="auto"/>
        <w:left w:val="none" w:sz="0" w:space="0" w:color="auto"/>
        <w:bottom w:val="none" w:sz="0" w:space="0" w:color="auto"/>
        <w:right w:val="none" w:sz="0" w:space="0" w:color="auto"/>
      </w:divBdr>
    </w:div>
    <w:div w:id="192696382">
      <w:bodyDiv w:val="1"/>
      <w:marLeft w:val="0"/>
      <w:marRight w:val="0"/>
      <w:marTop w:val="0"/>
      <w:marBottom w:val="0"/>
      <w:divBdr>
        <w:top w:val="none" w:sz="0" w:space="0" w:color="auto"/>
        <w:left w:val="none" w:sz="0" w:space="0" w:color="auto"/>
        <w:bottom w:val="none" w:sz="0" w:space="0" w:color="auto"/>
        <w:right w:val="none" w:sz="0" w:space="0" w:color="auto"/>
      </w:divBdr>
    </w:div>
    <w:div w:id="237592013">
      <w:bodyDiv w:val="1"/>
      <w:marLeft w:val="0"/>
      <w:marRight w:val="0"/>
      <w:marTop w:val="0"/>
      <w:marBottom w:val="0"/>
      <w:divBdr>
        <w:top w:val="none" w:sz="0" w:space="0" w:color="auto"/>
        <w:left w:val="none" w:sz="0" w:space="0" w:color="auto"/>
        <w:bottom w:val="none" w:sz="0" w:space="0" w:color="auto"/>
        <w:right w:val="none" w:sz="0" w:space="0" w:color="auto"/>
      </w:divBdr>
    </w:div>
    <w:div w:id="336620046">
      <w:bodyDiv w:val="1"/>
      <w:marLeft w:val="0"/>
      <w:marRight w:val="0"/>
      <w:marTop w:val="0"/>
      <w:marBottom w:val="0"/>
      <w:divBdr>
        <w:top w:val="none" w:sz="0" w:space="0" w:color="auto"/>
        <w:left w:val="none" w:sz="0" w:space="0" w:color="auto"/>
        <w:bottom w:val="none" w:sz="0" w:space="0" w:color="auto"/>
        <w:right w:val="none" w:sz="0" w:space="0" w:color="auto"/>
      </w:divBdr>
    </w:div>
    <w:div w:id="457181716">
      <w:bodyDiv w:val="1"/>
      <w:marLeft w:val="0"/>
      <w:marRight w:val="0"/>
      <w:marTop w:val="0"/>
      <w:marBottom w:val="0"/>
      <w:divBdr>
        <w:top w:val="none" w:sz="0" w:space="0" w:color="auto"/>
        <w:left w:val="none" w:sz="0" w:space="0" w:color="auto"/>
        <w:bottom w:val="none" w:sz="0" w:space="0" w:color="auto"/>
        <w:right w:val="none" w:sz="0" w:space="0" w:color="auto"/>
      </w:divBdr>
    </w:div>
    <w:div w:id="487791540">
      <w:bodyDiv w:val="1"/>
      <w:marLeft w:val="0"/>
      <w:marRight w:val="0"/>
      <w:marTop w:val="0"/>
      <w:marBottom w:val="0"/>
      <w:divBdr>
        <w:top w:val="none" w:sz="0" w:space="0" w:color="auto"/>
        <w:left w:val="none" w:sz="0" w:space="0" w:color="auto"/>
        <w:bottom w:val="none" w:sz="0" w:space="0" w:color="auto"/>
        <w:right w:val="none" w:sz="0" w:space="0" w:color="auto"/>
      </w:divBdr>
    </w:div>
    <w:div w:id="629554516">
      <w:bodyDiv w:val="1"/>
      <w:marLeft w:val="0"/>
      <w:marRight w:val="0"/>
      <w:marTop w:val="0"/>
      <w:marBottom w:val="0"/>
      <w:divBdr>
        <w:top w:val="none" w:sz="0" w:space="0" w:color="auto"/>
        <w:left w:val="none" w:sz="0" w:space="0" w:color="auto"/>
        <w:bottom w:val="none" w:sz="0" w:space="0" w:color="auto"/>
        <w:right w:val="none" w:sz="0" w:space="0" w:color="auto"/>
      </w:divBdr>
    </w:div>
    <w:div w:id="633366898">
      <w:bodyDiv w:val="1"/>
      <w:marLeft w:val="0"/>
      <w:marRight w:val="0"/>
      <w:marTop w:val="0"/>
      <w:marBottom w:val="0"/>
      <w:divBdr>
        <w:top w:val="none" w:sz="0" w:space="0" w:color="auto"/>
        <w:left w:val="none" w:sz="0" w:space="0" w:color="auto"/>
        <w:bottom w:val="none" w:sz="0" w:space="0" w:color="auto"/>
        <w:right w:val="none" w:sz="0" w:space="0" w:color="auto"/>
      </w:divBdr>
    </w:div>
    <w:div w:id="648748171">
      <w:bodyDiv w:val="1"/>
      <w:marLeft w:val="0"/>
      <w:marRight w:val="0"/>
      <w:marTop w:val="0"/>
      <w:marBottom w:val="0"/>
      <w:divBdr>
        <w:top w:val="none" w:sz="0" w:space="0" w:color="auto"/>
        <w:left w:val="none" w:sz="0" w:space="0" w:color="auto"/>
        <w:bottom w:val="none" w:sz="0" w:space="0" w:color="auto"/>
        <w:right w:val="none" w:sz="0" w:space="0" w:color="auto"/>
      </w:divBdr>
    </w:div>
    <w:div w:id="652685346">
      <w:bodyDiv w:val="1"/>
      <w:marLeft w:val="0"/>
      <w:marRight w:val="0"/>
      <w:marTop w:val="0"/>
      <w:marBottom w:val="0"/>
      <w:divBdr>
        <w:top w:val="none" w:sz="0" w:space="0" w:color="auto"/>
        <w:left w:val="none" w:sz="0" w:space="0" w:color="auto"/>
        <w:bottom w:val="none" w:sz="0" w:space="0" w:color="auto"/>
        <w:right w:val="none" w:sz="0" w:space="0" w:color="auto"/>
      </w:divBdr>
    </w:div>
    <w:div w:id="703873484">
      <w:bodyDiv w:val="1"/>
      <w:marLeft w:val="0"/>
      <w:marRight w:val="0"/>
      <w:marTop w:val="0"/>
      <w:marBottom w:val="0"/>
      <w:divBdr>
        <w:top w:val="none" w:sz="0" w:space="0" w:color="auto"/>
        <w:left w:val="none" w:sz="0" w:space="0" w:color="auto"/>
        <w:bottom w:val="none" w:sz="0" w:space="0" w:color="auto"/>
        <w:right w:val="none" w:sz="0" w:space="0" w:color="auto"/>
      </w:divBdr>
    </w:div>
    <w:div w:id="713120872">
      <w:bodyDiv w:val="1"/>
      <w:marLeft w:val="0"/>
      <w:marRight w:val="0"/>
      <w:marTop w:val="0"/>
      <w:marBottom w:val="0"/>
      <w:divBdr>
        <w:top w:val="none" w:sz="0" w:space="0" w:color="auto"/>
        <w:left w:val="none" w:sz="0" w:space="0" w:color="auto"/>
        <w:bottom w:val="none" w:sz="0" w:space="0" w:color="auto"/>
        <w:right w:val="none" w:sz="0" w:space="0" w:color="auto"/>
      </w:divBdr>
    </w:div>
    <w:div w:id="728839940">
      <w:bodyDiv w:val="1"/>
      <w:marLeft w:val="0"/>
      <w:marRight w:val="0"/>
      <w:marTop w:val="0"/>
      <w:marBottom w:val="0"/>
      <w:divBdr>
        <w:top w:val="none" w:sz="0" w:space="0" w:color="auto"/>
        <w:left w:val="none" w:sz="0" w:space="0" w:color="auto"/>
        <w:bottom w:val="none" w:sz="0" w:space="0" w:color="auto"/>
        <w:right w:val="none" w:sz="0" w:space="0" w:color="auto"/>
      </w:divBdr>
    </w:div>
    <w:div w:id="751974954">
      <w:bodyDiv w:val="1"/>
      <w:marLeft w:val="0"/>
      <w:marRight w:val="0"/>
      <w:marTop w:val="0"/>
      <w:marBottom w:val="0"/>
      <w:divBdr>
        <w:top w:val="none" w:sz="0" w:space="0" w:color="auto"/>
        <w:left w:val="none" w:sz="0" w:space="0" w:color="auto"/>
        <w:bottom w:val="none" w:sz="0" w:space="0" w:color="auto"/>
        <w:right w:val="none" w:sz="0" w:space="0" w:color="auto"/>
      </w:divBdr>
    </w:div>
    <w:div w:id="761486630">
      <w:bodyDiv w:val="1"/>
      <w:marLeft w:val="0"/>
      <w:marRight w:val="0"/>
      <w:marTop w:val="0"/>
      <w:marBottom w:val="0"/>
      <w:divBdr>
        <w:top w:val="none" w:sz="0" w:space="0" w:color="auto"/>
        <w:left w:val="none" w:sz="0" w:space="0" w:color="auto"/>
        <w:bottom w:val="none" w:sz="0" w:space="0" w:color="auto"/>
        <w:right w:val="none" w:sz="0" w:space="0" w:color="auto"/>
      </w:divBdr>
    </w:div>
    <w:div w:id="949895832">
      <w:bodyDiv w:val="1"/>
      <w:marLeft w:val="0"/>
      <w:marRight w:val="0"/>
      <w:marTop w:val="0"/>
      <w:marBottom w:val="0"/>
      <w:divBdr>
        <w:top w:val="none" w:sz="0" w:space="0" w:color="auto"/>
        <w:left w:val="none" w:sz="0" w:space="0" w:color="auto"/>
        <w:bottom w:val="none" w:sz="0" w:space="0" w:color="auto"/>
        <w:right w:val="none" w:sz="0" w:space="0" w:color="auto"/>
      </w:divBdr>
    </w:div>
    <w:div w:id="962879191">
      <w:bodyDiv w:val="1"/>
      <w:marLeft w:val="0"/>
      <w:marRight w:val="0"/>
      <w:marTop w:val="0"/>
      <w:marBottom w:val="0"/>
      <w:divBdr>
        <w:top w:val="none" w:sz="0" w:space="0" w:color="auto"/>
        <w:left w:val="none" w:sz="0" w:space="0" w:color="auto"/>
        <w:bottom w:val="none" w:sz="0" w:space="0" w:color="auto"/>
        <w:right w:val="none" w:sz="0" w:space="0" w:color="auto"/>
      </w:divBdr>
      <w:divsChild>
        <w:div w:id="222521506">
          <w:marLeft w:val="0"/>
          <w:marRight w:val="0"/>
          <w:marTop w:val="0"/>
          <w:marBottom w:val="0"/>
          <w:divBdr>
            <w:top w:val="none" w:sz="0" w:space="0" w:color="auto"/>
            <w:left w:val="none" w:sz="0" w:space="0" w:color="auto"/>
            <w:bottom w:val="none" w:sz="0" w:space="0" w:color="auto"/>
            <w:right w:val="none" w:sz="0" w:space="0" w:color="auto"/>
          </w:divBdr>
          <w:divsChild>
            <w:div w:id="18383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967994">
      <w:bodyDiv w:val="1"/>
      <w:marLeft w:val="0"/>
      <w:marRight w:val="0"/>
      <w:marTop w:val="0"/>
      <w:marBottom w:val="0"/>
      <w:divBdr>
        <w:top w:val="none" w:sz="0" w:space="0" w:color="auto"/>
        <w:left w:val="none" w:sz="0" w:space="0" w:color="auto"/>
        <w:bottom w:val="none" w:sz="0" w:space="0" w:color="auto"/>
        <w:right w:val="none" w:sz="0" w:space="0" w:color="auto"/>
      </w:divBdr>
    </w:div>
    <w:div w:id="1056590045">
      <w:bodyDiv w:val="1"/>
      <w:marLeft w:val="0"/>
      <w:marRight w:val="0"/>
      <w:marTop w:val="0"/>
      <w:marBottom w:val="0"/>
      <w:divBdr>
        <w:top w:val="none" w:sz="0" w:space="0" w:color="auto"/>
        <w:left w:val="none" w:sz="0" w:space="0" w:color="auto"/>
        <w:bottom w:val="none" w:sz="0" w:space="0" w:color="auto"/>
        <w:right w:val="none" w:sz="0" w:space="0" w:color="auto"/>
      </w:divBdr>
    </w:div>
    <w:div w:id="1086148465">
      <w:bodyDiv w:val="1"/>
      <w:marLeft w:val="0"/>
      <w:marRight w:val="0"/>
      <w:marTop w:val="0"/>
      <w:marBottom w:val="0"/>
      <w:divBdr>
        <w:top w:val="none" w:sz="0" w:space="0" w:color="auto"/>
        <w:left w:val="none" w:sz="0" w:space="0" w:color="auto"/>
        <w:bottom w:val="none" w:sz="0" w:space="0" w:color="auto"/>
        <w:right w:val="none" w:sz="0" w:space="0" w:color="auto"/>
      </w:divBdr>
    </w:div>
    <w:div w:id="1138765889">
      <w:bodyDiv w:val="1"/>
      <w:marLeft w:val="0"/>
      <w:marRight w:val="0"/>
      <w:marTop w:val="0"/>
      <w:marBottom w:val="0"/>
      <w:divBdr>
        <w:top w:val="none" w:sz="0" w:space="0" w:color="auto"/>
        <w:left w:val="none" w:sz="0" w:space="0" w:color="auto"/>
        <w:bottom w:val="none" w:sz="0" w:space="0" w:color="auto"/>
        <w:right w:val="none" w:sz="0" w:space="0" w:color="auto"/>
      </w:divBdr>
    </w:div>
    <w:div w:id="1176068561">
      <w:bodyDiv w:val="1"/>
      <w:marLeft w:val="0"/>
      <w:marRight w:val="0"/>
      <w:marTop w:val="0"/>
      <w:marBottom w:val="0"/>
      <w:divBdr>
        <w:top w:val="none" w:sz="0" w:space="0" w:color="auto"/>
        <w:left w:val="none" w:sz="0" w:space="0" w:color="auto"/>
        <w:bottom w:val="none" w:sz="0" w:space="0" w:color="auto"/>
        <w:right w:val="none" w:sz="0" w:space="0" w:color="auto"/>
      </w:divBdr>
    </w:div>
    <w:div w:id="1195580495">
      <w:bodyDiv w:val="1"/>
      <w:marLeft w:val="0"/>
      <w:marRight w:val="0"/>
      <w:marTop w:val="0"/>
      <w:marBottom w:val="0"/>
      <w:divBdr>
        <w:top w:val="none" w:sz="0" w:space="0" w:color="auto"/>
        <w:left w:val="none" w:sz="0" w:space="0" w:color="auto"/>
        <w:bottom w:val="none" w:sz="0" w:space="0" w:color="auto"/>
        <w:right w:val="none" w:sz="0" w:space="0" w:color="auto"/>
      </w:divBdr>
    </w:div>
    <w:div w:id="1209486516">
      <w:bodyDiv w:val="1"/>
      <w:marLeft w:val="0"/>
      <w:marRight w:val="0"/>
      <w:marTop w:val="0"/>
      <w:marBottom w:val="0"/>
      <w:divBdr>
        <w:top w:val="none" w:sz="0" w:space="0" w:color="auto"/>
        <w:left w:val="none" w:sz="0" w:space="0" w:color="auto"/>
        <w:bottom w:val="none" w:sz="0" w:space="0" w:color="auto"/>
        <w:right w:val="none" w:sz="0" w:space="0" w:color="auto"/>
      </w:divBdr>
    </w:div>
    <w:div w:id="1211379271">
      <w:bodyDiv w:val="1"/>
      <w:marLeft w:val="0"/>
      <w:marRight w:val="0"/>
      <w:marTop w:val="0"/>
      <w:marBottom w:val="0"/>
      <w:divBdr>
        <w:top w:val="none" w:sz="0" w:space="0" w:color="auto"/>
        <w:left w:val="none" w:sz="0" w:space="0" w:color="auto"/>
        <w:bottom w:val="none" w:sz="0" w:space="0" w:color="auto"/>
        <w:right w:val="none" w:sz="0" w:space="0" w:color="auto"/>
      </w:divBdr>
    </w:div>
    <w:div w:id="1300110095">
      <w:bodyDiv w:val="1"/>
      <w:marLeft w:val="0"/>
      <w:marRight w:val="0"/>
      <w:marTop w:val="0"/>
      <w:marBottom w:val="0"/>
      <w:divBdr>
        <w:top w:val="none" w:sz="0" w:space="0" w:color="auto"/>
        <w:left w:val="none" w:sz="0" w:space="0" w:color="auto"/>
        <w:bottom w:val="none" w:sz="0" w:space="0" w:color="auto"/>
        <w:right w:val="none" w:sz="0" w:space="0" w:color="auto"/>
      </w:divBdr>
    </w:div>
    <w:div w:id="1407797051">
      <w:bodyDiv w:val="1"/>
      <w:marLeft w:val="0"/>
      <w:marRight w:val="0"/>
      <w:marTop w:val="0"/>
      <w:marBottom w:val="0"/>
      <w:divBdr>
        <w:top w:val="none" w:sz="0" w:space="0" w:color="auto"/>
        <w:left w:val="none" w:sz="0" w:space="0" w:color="auto"/>
        <w:bottom w:val="none" w:sz="0" w:space="0" w:color="auto"/>
        <w:right w:val="none" w:sz="0" w:space="0" w:color="auto"/>
      </w:divBdr>
    </w:div>
    <w:div w:id="1620643489">
      <w:bodyDiv w:val="1"/>
      <w:marLeft w:val="0"/>
      <w:marRight w:val="0"/>
      <w:marTop w:val="0"/>
      <w:marBottom w:val="0"/>
      <w:divBdr>
        <w:top w:val="none" w:sz="0" w:space="0" w:color="auto"/>
        <w:left w:val="none" w:sz="0" w:space="0" w:color="auto"/>
        <w:bottom w:val="none" w:sz="0" w:space="0" w:color="auto"/>
        <w:right w:val="none" w:sz="0" w:space="0" w:color="auto"/>
      </w:divBdr>
    </w:div>
    <w:div w:id="1669744979">
      <w:bodyDiv w:val="1"/>
      <w:marLeft w:val="0"/>
      <w:marRight w:val="0"/>
      <w:marTop w:val="0"/>
      <w:marBottom w:val="0"/>
      <w:divBdr>
        <w:top w:val="none" w:sz="0" w:space="0" w:color="auto"/>
        <w:left w:val="none" w:sz="0" w:space="0" w:color="auto"/>
        <w:bottom w:val="none" w:sz="0" w:space="0" w:color="auto"/>
        <w:right w:val="none" w:sz="0" w:space="0" w:color="auto"/>
      </w:divBdr>
    </w:div>
    <w:div w:id="1726903518">
      <w:bodyDiv w:val="1"/>
      <w:marLeft w:val="0"/>
      <w:marRight w:val="0"/>
      <w:marTop w:val="0"/>
      <w:marBottom w:val="0"/>
      <w:divBdr>
        <w:top w:val="none" w:sz="0" w:space="0" w:color="auto"/>
        <w:left w:val="none" w:sz="0" w:space="0" w:color="auto"/>
        <w:bottom w:val="none" w:sz="0" w:space="0" w:color="auto"/>
        <w:right w:val="none" w:sz="0" w:space="0" w:color="auto"/>
      </w:divBdr>
    </w:div>
    <w:div w:id="1727416764">
      <w:bodyDiv w:val="1"/>
      <w:marLeft w:val="0"/>
      <w:marRight w:val="0"/>
      <w:marTop w:val="0"/>
      <w:marBottom w:val="0"/>
      <w:divBdr>
        <w:top w:val="none" w:sz="0" w:space="0" w:color="auto"/>
        <w:left w:val="none" w:sz="0" w:space="0" w:color="auto"/>
        <w:bottom w:val="none" w:sz="0" w:space="0" w:color="auto"/>
        <w:right w:val="none" w:sz="0" w:space="0" w:color="auto"/>
      </w:divBdr>
      <w:divsChild>
        <w:div w:id="995188825">
          <w:marLeft w:val="0"/>
          <w:marRight w:val="450"/>
          <w:marTop w:val="0"/>
          <w:marBottom w:val="150"/>
          <w:divBdr>
            <w:top w:val="none" w:sz="0" w:space="0" w:color="auto"/>
            <w:left w:val="none" w:sz="0" w:space="0" w:color="auto"/>
            <w:bottom w:val="none" w:sz="0" w:space="0" w:color="auto"/>
            <w:right w:val="none" w:sz="0" w:space="0" w:color="auto"/>
          </w:divBdr>
          <w:divsChild>
            <w:div w:id="827525018">
              <w:marLeft w:val="0"/>
              <w:marRight w:val="0"/>
              <w:marTop w:val="0"/>
              <w:marBottom w:val="0"/>
              <w:divBdr>
                <w:top w:val="none" w:sz="0" w:space="0" w:color="auto"/>
                <w:left w:val="none" w:sz="0" w:space="0" w:color="auto"/>
                <w:bottom w:val="none" w:sz="0" w:space="0" w:color="auto"/>
                <w:right w:val="none" w:sz="0" w:space="0" w:color="auto"/>
              </w:divBdr>
              <w:divsChild>
                <w:div w:id="993216945">
                  <w:marLeft w:val="0"/>
                  <w:marRight w:val="0"/>
                  <w:marTop w:val="0"/>
                  <w:marBottom w:val="0"/>
                  <w:divBdr>
                    <w:top w:val="none" w:sz="0" w:space="0" w:color="auto"/>
                    <w:left w:val="none" w:sz="0" w:space="0" w:color="auto"/>
                    <w:bottom w:val="none" w:sz="0" w:space="0" w:color="auto"/>
                    <w:right w:val="none" w:sz="0" w:space="0" w:color="auto"/>
                  </w:divBdr>
                  <w:divsChild>
                    <w:div w:id="56715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7485949">
      <w:bodyDiv w:val="1"/>
      <w:marLeft w:val="0"/>
      <w:marRight w:val="0"/>
      <w:marTop w:val="0"/>
      <w:marBottom w:val="0"/>
      <w:divBdr>
        <w:top w:val="none" w:sz="0" w:space="0" w:color="auto"/>
        <w:left w:val="none" w:sz="0" w:space="0" w:color="auto"/>
        <w:bottom w:val="none" w:sz="0" w:space="0" w:color="auto"/>
        <w:right w:val="none" w:sz="0" w:space="0" w:color="auto"/>
      </w:divBdr>
      <w:divsChild>
        <w:div w:id="596838824">
          <w:marLeft w:val="0"/>
          <w:marRight w:val="0"/>
          <w:marTop w:val="0"/>
          <w:marBottom w:val="0"/>
          <w:divBdr>
            <w:top w:val="none" w:sz="0" w:space="0" w:color="auto"/>
            <w:left w:val="none" w:sz="0" w:space="0" w:color="auto"/>
            <w:bottom w:val="none" w:sz="0" w:space="0" w:color="auto"/>
            <w:right w:val="none" w:sz="0" w:space="0" w:color="auto"/>
          </w:divBdr>
          <w:divsChild>
            <w:div w:id="677392548">
              <w:marLeft w:val="0"/>
              <w:marRight w:val="0"/>
              <w:marTop w:val="0"/>
              <w:marBottom w:val="0"/>
              <w:divBdr>
                <w:top w:val="none" w:sz="0" w:space="0" w:color="auto"/>
                <w:left w:val="none" w:sz="0" w:space="0" w:color="auto"/>
                <w:bottom w:val="none" w:sz="0" w:space="0" w:color="auto"/>
                <w:right w:val="none" w:sz="0" w:space="0" w:color="auto"/>
              </w:divBdr>
              <w:divsChild>
                <w:div w:id="88232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570058">
      <w:bodyDiv w:val="1"/>
      <w:marLeft w:val="0"/>
      <w:marRight w:val="0"/>
      <w:marTop w:val="0"/>
      <w:marBottom w:val="0"/>
      <w:divBdr>
        <w:top w:val="none" w:sz="0" w:space="0" w:color="auto"/>
        <w:left w:val="none" w:sz="0" w:space="0" w:color="auto"/>
        <w:bottom w:val="none" w:sz="0" w:space="0" w:color="auto"/>
        <w:right w:val="none" w:sz="0" w:space="0" w:color="auto"/>
      </w:divBdr>
    </w:div>
    <w:div w:id="1899239494">
      <w:bodyDiv w:val="1"/>
      <w:marLeft w:val="0"/>
      <w:marRight w:val="0"/>
      <w:marTop w:val="0"/>
      <w:marBottom w:val="0"/>
      <w:divBdr>
        <w:top w:val="none" w:sz="0" w:space="0" w:color="auto"/>
        <w:left w:val="none" w:sz="0" w:space="0" w:color="auto"/>
        <w:bottom w:val="none" w:sz="0" w:space="0" w:color="auto"/>
        <w:right w:val="none" w:sz="0" w:space="0" w:color="auto"/>
      </w:divBdr>
    </w:div>
    <w:div w:id="1923755133">
      <w:bodyDiv w:val="1"/>
      <w:marLeft w:val="0"/>
      <w:marRight w:val="0"/>
      <w:marTop w:val="0"/>
      <w:marBottom w:val="0"/>
      <w:divBdr>
        <w:top w:val="none" w:sz="0" w:space="0" w:color="auto"/>
        <w:left w:val="none" w:sz="0" w:space="0" w:color="auto"/>
        <w:bottom w:val="none" w:sz="0" w:space="0" w:color="auto"/>
        <w:right w:val="none" w:sz="0" w:space="0" w:color="auto"/>
      </w:divBdr>
    </w:div>
    <w:div w:id="2010864030">
      <w:bodyDiv w:val="1"/>
      <w:marLeft w:val="0"/>
      <w:marRight w:val="0"/>
      <w:marTop w:val="0"/>
      <w:marBottom w:val="0"/>
      <w:divBdr>
        <w:top w:val="none" w:sz="0" w:space="0" w:color="auto"/>
        <w:left w:val="none" w:sz="0" w:space="0" w:color="auto"/>
        <w:bottom w:val="none" w:sz="0" w:space="0" w:color="auto"/>
        <w:right w:val="none" w:sz="0" w:space="0" w:color="auto"/>
      </w:divBdr>
    </w:div>
    <w:div w:id="2098285894">
      <w:bodyDiv w:val="1"/>
      <w:marLeft w:val="0"/>
      <w:marRight w:val="0"/>
      <w:marTop w:val="0"/>
      <w:marBottom w:val="0"/>
      <w:divBdr>
        <w:top w:val="none" w:sz="0" w:space="0" w:color="auto"/>
        <w:left w:val="none" w:sz="0" w:space="0" w:color="auto"/>
        <w:bottom w:val="none" w:sz="0" w:space="0" w:color="auto"/>
        <w:right w:val="none" w:sz="0" w:space="0" w:color="auto"/>
      </w:divBdr>
      <w:divsChild>
        <w:div w:id="837161617">
          <w:marLeft w:val="0"/>
          <w:marRight w:val="150"/>
          <w:marTop w:val="0"/>
          <w:marBottom w:val="150"/>
          <w:divBdr>
            <w:top w:val="none" w:sz="0" w:space="0" w:color="auto"/>
            <w:left w:val="none" w:sz="0" w:space="0" w:color="auto"/>
            <w:bottom w:val="none" w:sz="0" w:space="0" w:color="auto"/>
            <w:right w:val="none" w:sz="0" w:space="0" w:color="auto"/>
          </w:divBdr>
        </w:div>
      </w:divsChild>
    </w:div>
    <w:div w:id="2115130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chart" Target="charts/chart11.xml"/>
  <Relationship Id="rId11" Type="http://schemas.openxmlformats.org/officeDocument/2006/relationships/chart" Target="charts/chart12.xml"/>
  <Relationship Id="rId12" Type="http://schemas.openxmlformats.org/officeDocument/2006/relationships/chart" Target="charts/chart2.xml"/>
  <Relationship Id="rId13" Type="http://schemas.openxmlformats.org/officeDocument/2006/relationships/chart" Target="charts/chart3.xml"/>
  <Relationship Id="rId14" Type="http://schemas.openxmlformats.org/officeDocument/2006/relationships/chart" Target="charts/chart4.xml"/>
  <Relationship Id="rId15" Type="http://schemas.openxmlformats.org/officeDocument/2006/relationships/chart" Target="charts/chart5.xml"/>
  <Relationship Id="rId16" Type="http://schemas.openxmlformats.org/officeDocument/2006/relationships/chart" Target="charts/chart6.xml"/>
  <Relationship Id="rId17" Type="http://schemas.openxmlformats.org/officeDocument/2006/relationships/chart" Target="charts/chart7.xml"/>
  <Relationship Id="rId18" Type="http://schemas.openxmlformats.org/officeDocument/2006/relationships/chart" Target="charts/chart8.xml"/>
  <Relationship Id="rId19" Type="http://schemas.openxmlformats.org/officeDocument/2006/relationships/chart" Target="charts/chart9.xml"/>
  <Relationship Id="rId2" Type="http://schemas.openxmlformats.org/officeDocument/2006/relationships/header" Target="header8.xml"/>
  <Relationship Id="rId20" Type="http://schemas.openxmlformats.org/officeDocument/2006/relationships/endnotes" Target="endnotes.xml"/>
  <Relationship Id="rId21" Type="http://schemas.openxmlformats.org/officeDocument/2006/relationships/fontTable" Target="fontTable.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footer" Target="footer3.xml"/>
  <Relationship Id="rId25" Type="http://schemas.openxmlformats.org/officeDocument/2006/relationships/footnotes" Target="footnotes.xml"/>
  <Relationship Id="rId26" Type="http://schemas.openxmlformats.org/officeDocument/2006/relationships/header" Target="header1.xml"/>
  <Relationship Id="rId27" Type="http://schemas.openxmlformats.org/officeDocument/2006/relationships/header" Target="header2.xml"/>
  <Relationship Id="rId28" Type="http://schemas.openxmlformats.org/officeDocument/2006/relationships/header" Target="header3.xml"/>
  <Relationship Id="rId29" Type="http://schemas.openxmlformats.org/officeDocument/2006/relationships/settings" Target="settings.xml"/>
  <Relationship Id="rId3" Type="http://schemas.openxmlformats.org/officeDocument/2006/relationships/footer" Target="footer7.xml"/>
  <Relationship Id="rId30" Type="http://schemas.openxmlformats.org/officeDocument/2006/relationships/styles" Target="styles.xml"/>
  <Relationship Id="rId31" Type="http://schemas.openxmlformats.org/officeDocument/2006/relationships/theme" Target="theme/theme1.xml"/>
  <Relationship Id="rId32" Type="http://schemas.openxmlformats.org/officeDocument/2006/relationships/webSettings" Target="webSettings.xml"/>
  <Relationship Id="rId33" Type="http://schemas.openxmlformats.org/officeDocument/2006/relationships/image" Target="media/image1.jpeg"/>
  <Relationship Id="rId34" Type="http://schemas.openxmlformats.org/officeDocument/2006/relationships/header" Target="header19.xml"/>
  <Relationship Id="rId35" Type="http://schemas.openxmlformats.org/officeDocument/2006/relationships/header" Target="header20.xml"/>
  <Relationship Id="rId36" Type="http://schemas.openxmlformats.org/officeDocument/2006/relationships/footer" Target="footer19.xml"/>
  <Relationship Id="rId37" Type="http://schemas.openxmlformats.org/officeDocument/2006/relationships/footer" Target="footer20.xml"/>
  <Relationship Id="rId38" Type="http://schemas.openxmlformats.org/officeDocument/2006/relationships/header" Target="header21.xml"/>
  <Relationship Id="rId39" Type="http://schemas.openxmlformats.org/officeDocument/2006/relationships/footer" Target="footer21.xml"/>
  <Relationship Id="rId4" Type="http://schemas.openxmlformats.org/officeDocument/2006/relationships/footer" Target="footer8.xml"/>
  <Relationship Id="rId40" Type="http://schemas.openxmlformats.org/officeDocument/2006/relationships/chart" Target="charts/chart49.xml"/>
  <Relationship Id="rId41" Type="http://schemas.openxmlformats.org/officeDocument/2006/relationships/chart" Target="charts/chart50.xml"/>
  <Relationship Id="rId42" Type="http://schemas.openxmlformats.org/officeDocument/2006/relationships/chart" Target="charts/chart51.xml"/>
  <Relationship Id="rId43" Type="http://schemas.openxmlformats.org/officeDocument/2006/relationships/chart" Target="charts/chart52.xml"/>
  <Relationship Id="rId44" Type="http://schemas.openxmlformats.org/officeDocument/2006/relationships/chart" Target="charts/chart53.xml"/>
  <Relationship Id="rId45" Type="http://schemas.openxmlformats.org/officeDocument/2006/relationships/chart" Target="charts/chart54.xml"/>
  <Relationship Id="rId46" Type="http://schemas.openxmlformats.org/officeDocument/2006/relationships/chart" Target="charts/chart55.xml"/>
  <Relationship Id="rId47" Type="http://schemas.openxmlformats.org/officeDocument/2006/relationships/image" Target="media/image10.png"/>
  <Relationship Id="rId48" Type="http://schemas.openxmlformats.org/officeDocument/2006/relationships/chart" Target="charts/chart56.xml"/>
  <Relationship Id="rId49" Type="http://schemas.openxmlformats.org/officeDocument/2006/relationships/chart" Target="charts/chart57.xml"/>
  <Relationship Id="rId5" Type="http://schemas.openxmlformats.org/officeDocument/2006/relationships/header" Target="header9.xml"/>
  <Relationship Id="rId50" Type="http://schemas.openxmlformats.org/officeDocument/2006/relationships/chart" Target="charts/chart58.xml"/>
  <Relationship Id="rId51" Type="http://schemas.openxmlformats.org/officeDocument/2006/relationships/image" Target="media/image11.png"/>
  <Relationship Id="rId52" Type="http://schemas.openxmlformats.org/officeDocument/2006/relationships/image" Target="media/image12.png"/>
  <Relationship Id="rId53" Type="http://schemas.openxmlformats.org/officeDocument/2006/relationships/chart" Target="charts/chart59.xml"/>
  <Relationship Id="rId54" Type="http://schemas.openxmlformats.org/officeDocument/2006/relationships/chart" Target="charts/chart60.xml"/>
  <Relationship Id="rId55" Type="http://schemas.openxmlformats.org/officeDocument/2006/relationships/customXml" Target="../customXml/item1.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chart" Target="charts/chart1.xml"/>
  <Relationship Id="rId9" Type="http://schemas.openxmlformats.org/officeDocument/2006/relationships/chart" Target="charts/chart10.xml"/>
</Relationships>

</file>

<file path=word/charts/_rels/chart1.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10.xml.rels><?xml version="1.0" encoding="UTF-8"?>

<Relationships xmlns="http://schemas.openxmlformats.org/package/2006/relationships">
  <Relationship Id="rId1" Type="http://schemas.openxmlformats.org/officeDocument/2006/relationships/package" Target="../embeddings/Microsoft_Excel_Worksheet6.xlsx"/>
  <Relationship Id="rId2" Type="http://schemas.openxmlformats.org/officeDocument/2006/relationships/themeOverride" Target="../theme/themeOverride1.xml"/>
</Relationships>

</file>

<file path=word/charts/_rels/chart11.xml.rels><?xml version="1.0" encoding="UTF-8"?>

<Relationships xmlns="http://schemas.openxmlformats.org/package/2006/relationships">
  <Relationship Id="rId1" Type="http://schemas.openxmlformats.org/officeDocument/2006/relationships/package" Target="../embeddings/Microsoft_Excel_Worksheet7.xlsx"/>
</Relationships>

</file>

<file path=word/charts/_rels/chart12.xml.rels><?xml version="1.0" encoding="UTF-8"?>

<Relationships xmlns="http://schemas.openxmlformats.org/package/2006/relationships">
  <Relationship Id="rId1" Type="http://schemas.openxmlformats.org/officeDocument/2006/relationships/package" Target="../embeddings/Microsoft_Excel_Worksheet8.xlsx"/>
</Relationships>

</file>

<file path=word/charts/_rels/chart13.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14.xml.rels><?xml version="1.0" encoding="UTF-8"?>

<Relationships xmlns="http://schemas.openxmlformats.org/package/2006/relationships">
  <Relationship Id="rId1" Type="http://schemas.openxmlformats.org/officeDocument/2006/relationships/package" Target="../embeddings/Microsoft_Excel_Worksheet.xlsx"/>
</Relationships>

</file>

<file path=word/charts/_rels/chart15.xml.rels><?xml version="1.0" encoding="UTF-8"?>

<Relationships xmlns="http://schemas.openxmlformats.org/package/2006/relationships">
  <Relationship Id="rId1" Type="http://schemas.openxmlformats.org/officeDocument/2006/relationships/package" Target="../embeddings/Microsoft_Excel_Worksheet1.xlsx"/>
</Relationships>

</file>

<file path=word/charts/_rels/chart16.xml.rels><?xml version="1.0" encoding="UTF-8"?>

<Relationships xmlns="http://schemas.openxmlformats.org/package/2006/relationships">
  <Relationship Id="rId1" Type="http://schemas.openxmlformats.org/officeDocument/2006/relationships/package" Target="../embeddings/Microsoft_Excel_Worksheet2.xlsx"/>
</Relationships>

</file>

<file path=word/charts/_rels/chart17.xml.rels><?xml version="1.0" encoding="UTF-8"?>

<Relationships xmlns="http://schemas.openxmlformats.org/package/2006/relationships">
  <Relationship Id="rId1" Type="http://schemas.openxmlformats.org/officeDocument/2006/relationships/package" Target="../embeddings/Microsoft_Excel_Worksheet3.xlsx"/>
</Relationships>

</file>

<file path=word/charts/_rels/chart18.xml.rels><?xml version="1.0" encoding="UTF-8"?>

<Relationships xmlns="http://schemas.openxmlformats.org/package/2006/relationships">
  <Relationship Id="rId1" Type="http://schemas.openxmlformats.org/officeDocument/2006/relationships/package" Target="../embeddings/Microsoft_Excel_Worksheet4.xlsx"/>
</Relationships>

</file>

<file path=word/charts/_rels/chart19.xml.rels><?xml version="1.0" encoding="UTF-8"?>

<Relationships xmlns="http://schemas.openxmlformats.org/package/2006/relationships">
  <Relationship Id="rId1" Type="http://schemas.openxmlformats.org/officeDocument/2006/relationships/package" Target="../embeddings/Microsoft_Excel_Worksheet5.xlsx"/>
</Relationships>

</file>

<file path=word/charts/_rels/chart2.xml.rels><?xml version="1.0" encoding="UTF-8"?>

<Relationships xmlns="http://schemas.openxmlformats.org/package/2006/relationships">
  <Relationship Id="rId1" Type="http://schemas.openxmlformats.org/officeDocument/2006/relationships/package" Target="../embeddings/Microsoft_Excel_Worksheet.xlsx"/>
</Relationships>

</file>

<file path=word/charts/_rels/chart20.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21.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22.xml.rels><?xml version="1.0" encoding="UTF-8"?>

<Relationships xmlns="http://schemas.openxmlformats.org/package/2006/relationships">
  <Relationship Id="rId1" Type="http://schemas.openxmlformats.org/officeDocument/2006/relationships/package" Target="../embeddings/Microsoft_Excel_Worksheet6.xlsx"/>
  <Relationship Id="rId2" Type="http://schemas.openxmlformats.org/officeDocument/2006/relationships/themeOverride" Target="../theme/themeOverride1.xml"/>
</Relationships>

</file>

<file path=word/charts/_rels/chart23.xml.rels><?xml version="1.0" encoding="UTF-8"?>

<Relationships xmlns="http://schemas.openxmlformats.org/package/2006/relationships">
  <Relationship Id="rId1" Type="http://schemas.openxmlformats.org/officeDocument/2006/relationships/package" Target="../embeddings/Microsoft_Excel_Worksheet7.xlsx"/>
</Relationships>

</file>

<file path=word/charts/_rels/chart24.xml.rels><?xml version="1.0" encoding="UTF-8"?>

<Relationships xmlns="http://schemas.openxmlformats.org/package/2006/relationships">
  <Relationship Id="rId1" Type="http://schemas.openxmlformats.org/officeDocument/2006/relationships/package" Target="../embeddings/Microsoft_Excel_Worksheet8.xlsx"/>
</Relationships>

</file>

<file path=word/charts/_rels/chart25.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26.xml.rels><?xml version="1.0" encoding="UTF-8"?>

<Relationships xmlns="http://schemas.openxmlformats.org/package/2006/relationships">
  <Relationship Id="rId1" Type="http://schemas.openxmlformats.org/officeDocument/2006/relationships/package" Target="../embeddings/Microsoft_Excel_Worksheet9.xlsx"/>
</Relationships>

</file>

<file path=word/charts/_rels/chart27.xml.rels><?xml version="1.0" encoding="UTF-8"?>

<Relationships xmlns="http://schemas.openxmlformats.org/package/2006/relationships">
  <Relationship Id="rId1" Type="http://schemas.openxmlformats.org/officeDocument/2006/relationships/package" Target="../embeddings/Microsoft_Excel_Worksheet10.xlsx"/>
</Relationships>

</file>

<file path=word/charts/_rels/chart28.xml.rels><?xml version="1.0" encoding="UTF-8"?>

<Relationships xmlns="http://schemas.openxmlformats.org/package/2006/relationships">
  <Relationship Id="rId1" Type="http://schemas.openxmlformats.org/officeDocument/2006/relationships/package" Target="../embeddings/Microsoft_Excel_Worksheet11.xlsx"/>
</Relationships>

</file>

<file path=word/charts/_rels/chart29.xml.rels><?xml version="1.0" encoding="UTF-8"?>

<Relationships xmlns="http://schemas.openxmlformats.org/package/2006/relationships">
  <Relationship Id="rId1" Type="http://schemas.openxmlformats.org/officeDocument/2006/relationships/package" Target="../embeddings/Microsoft_Excel_Worksheet12.xlsx"/>
</Relationships>

</file>

<file path=word/charts/_rels/chart3.xml.rels><?xml version="1.0" encoding="UTF-8"?>

<Relationships xmlns="http://schemas.openxmlformats.org/package/2006/relationships">
  <Relationship Id="rId1" Type="http://schemas.openxmlformats.org/officeDocument/2006/relationships/package" Target="../embeddings/Microsoft_Excel_Worksheet1.xlsx"/>
</Relationships>

</file>

<file path=word/charts/_rels/chart30.xml.rels><?xml version="1.0" encoding="UTF-8"?>

<Relationships xmlns="http://schemas.openxmlformats.org/package/2006/relationships">
  <Relationship Id="rId1" Type="http://schemas.openxmlformats.org/officeDocument/2006/relationships/package" Target="../embeddings/Microsoft_Excel_Worksheet13.xlsx"/>
</Relationships>

</file>

<file path=word/charts/_rels/chart31.xml.rels><?xml version="1.0" encoding="UTF-8"?>

<Relationships xmlns="http://schemas.openxmlformats.org/package/2006/relationships">
  <Relationship Id="rId1" Type="http://schemas.openxmlformats.org/officeDocument/2006/relationships/package" Target="../embeddings/Microsoft_Excel_Worksheet14.xlsx"/>
</Relationships>

</file>

<file path=word/charts/_rels/chart32.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33.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34.xml.rels><?xml version="1.0" encoding="UTF-8"?>

<Relationships xmlns="http://schemas.openxmlformats.org/package/2006/relationships">
  <Relationship Id="rId1" Type="http://schemas.openxmlformats.org/officeDocument/2006/relationships/package" Target="../embeddings/Microsoft_Excel_Worksheet15.xlsx"/>
  <Relationship Id="rId2" Type="http://schemas.openxmlformats.org/officeDocument/2006/relationships/themeOverride" Target="../theme/themeOverride2.xml"/>
</Relationships>

</file>

<file path=word/charts/_rels/chart35.xml.rels><?xml version="1.0" encoding="UTF-8"?>

<Relationships xmlns="http://schemas.openxmlformats.org/package/2006/relationships">
  <Relationship Id="rId1" Type="http://schemas.openxmlformats.org/officeDocument/2006/relationships/package" Target="../embeddings/Microsoft_Excel_Worksheet16.xlsx"/>
</Relationships>

</file>

<file path=word/charts/_rels/chart36.xml.rels><?xml version="1.0" encoding="UTF-8"?>

<Relationships xmlns="http://schemas.openxmlformats.org/package/2006/relationships">
  <Relationship Id="rId1" Type="http://schemas.openxmlformats.org/officeDocument/2006/relationships/package" Target="../embeddings/Microsoft_Excel_Worksheet17.xlsx"/>
</Relationships>

</file>

<file path=word/charts/_rels/chart37.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38.xml.rels><?xml version="1.0" encoding="UTF-8"?>

<Relationships xmlns="http://schemas.openxmlformats.org/package/2006/relationships">
  <Relationship Id="rId1" Type="http://schemas.openxmlformats.org/officeDocument/2006/relationships/package" Target="../embeddings/Microsoft_Excel_Worksheet9.xlsx"/>
</Relationships>

</file>

<file path=word/charts/_rels/chart39.xml.rels><?xml version="1.0" encoding="UTF-8"?>

<Relationships xmlns="http://schemas.openxmlformats.org/package/2006/relationships">
  <Relationship Id="rId1" Type="http://schemas.openxmlformats.org/officeDocument/2006/relationships/package" Target="../embeddings/Microsoft_Excel_Worksheet10.xlsx"/>
</Relationships>

</file>

<file path=word/charts/_rels/chart4.xml.rels><?xml version="1.0" encoding="UTF-8"?>

<Relationships xmlns="http://schemas.openxmlformats.org/package/2006/relationships">
  <Relationship Id="rId1" Type="http://schemas.openxmlformats.org/officeDocument/2006/relationships/package" Target="../embeddings/Microsoft_Excel_Worksheet2.xlsx"/>
</Relationships>

</file>

<file path=word/charts/_rels/chart40.xml.rels><?xml version="1.0" encoding="UTF-8"?>

<Relationships xmlns="http://schemas.openxmlformats.org/package/2006/relationships">
  <Relationship Id="rId1" Type="http://schemas.openxmlformats.org/officeDocument/2006/relationships/package" Target="../embeddings/Microsoft_Excel_Worksheet11.xlsx"/>
</Relationships>

</file>

<file path=word/charts/_rels/chart41.xml.rels><?xml version="1.0" encoding="UTF-8"?>

<Relationships xmlns="http://schemas.openxmlformats.org/package/2006/relationships">
  <Relationship Id="rId1" Type="http://schemas.openxmlformats.org/officeDocument/2006/relationships/package" Target="../embeddings/Microsoft_Excel_Worksheet12.xlsx"/>
</Relationships>

</file>

<file path=word/charts/_rels/chart42.xml.rels><?xml version="1.0" encoding="UTF-8"?>

<Relationships xmlns="http://schemas.openxmlformats.org/package/2006/relationships">
  <Relationship Id="rId1" Type="http://schemas.openxmlformats.org/officeDocument/2006/relationships/package" Target="../embeddings/Microsoft_Excel_Worksheet13.xlsx"/>
</Relationships>

</file>

<file path=word/charts/_rels/chart43.xml.rels><?xml version="1.0" encoding="UTF-8"?>

<Relationships xmlns="http://schemas.openxmlformats.org/package/2006/relationships">
  <Relationship Id="rId1" Type="http://schemas.openxmlformats.org/officeDocument/2006/relationships/package" Target="../embeddings/Microsoft_Excel_Worksheet14.xlsx"/>
</Relationships>

</file>

<file path=word/charts/_rels/chart44.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45.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46.xml.rels><?xml version="1.0" encoding="UTF-8"?>

<Relationships xmlns="http://schemas.openxmlformats.org/package/2006/relationships">
  <Relationship Id="rId1" Type="http://schemas.openxmlformats.org/officeDocument/2006/relationships/package" Target="../embeddings/Microsoft_Excel_Worksheet15.xlsx"/>
  <Relationship Id="rId2" Type="http://schemas.openxmlformats.org/officeDocument/2006/relationships/themeOverride" Target="../theme/themeOverride2.xml"/>
</Relationships>

</file>

<file path=word/charts/_rels/chart47.xml.rels><?xml version="1.0" encoding="UTF-8"?>

<Relationships xmlns="http://schemas.openxmlformats.org/package/2006/relationships">
  <Relationship Id="rId1" Type="http://schemas.openxmlformats.org/officeDocument/2006/relationships/package" Target="../embeddings/Microsoft_Excel_Worksheet16.xlsx"/>
</Relationships>

</file>

<file path=word/charts/_rels/chart48.xml.rels><?xml version="1.0" encoding="UTF-8"?>

<Relationships xmlns="http://schemas.openxmlformats.org/package/2006/relationships">
  <Relationship Id="rId1" Type="http://schemas.openxmlformats.org/officeDocument/2006/relationships/package" Target="../embeddings/Microsoft_Excel_Worksheet17.xlsx"/>
</Relationships>

</file>

<file path=word/charts/_rels/chart49.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5.xml.rels><?xml version="1.0" encoding="UTF-8"?>

<Relationships xmlns="http://schemas.openxmlformats.org/package/2006/relationships">
  <Relationship Id="rId1" Type="http://schemas.openxmlformats.org/officeDocument/2006/relationships/package" Target="../embeddings/Microsoft_Excel_Worksheet3.xlsx"/>
</Relationships>

</file>

<file path=word/charts/_rels/chart50.xml.rels><?xml version="1.0" encoding="UTF-8"?>

<Relationships xmlns="http://schemas.openxmlformats.org/package/2006/relationships">
  <Relationship Id="rId1" Type="http://schemas.openxmlformats.org/officeDocument/2006/relationships/package" Target="../embeddings/Microsoft_Excel_Worksheet9.xlsx"/>
</Relationships>

</file>

<file path=word/charts/_rels/chart51.xml.rels><?xml version="1.0" encoding="UTF-8"?>

<Relationships xmlns="http://schemas.openxmlformats.org/package/2006/relationships">
  <Relationship Id="rId1" Type="http://schemas.openxmlformats.org/officeDocument/2006/relationships/package" Target="../embeddings/Microsoft_Excel_Worksheet10.xlsx"/>
</Relationships>

</file>

<file path=word/charts/_rels/chart52.xml.rels><?xml version="1.0" encoding="UTF-8"?>

<Relationships xmlns="http://schemas.openxmlformats.org/package/2006/relationships">
  <Relationship Id="rId1" Type="http://schemas.openxmlformats.org/officeDocument/2006/relationships/package" Target="../embeddings/Microsoft_Excel_Worksheet11.xlsx"/>
</Relationships>

</file>

<file path=word/charts/_rels/chart53.xml.rels><?xml version="1.0" encoding="UTF-8"?>

<Relationships xmlns="http://schemas.openxmlformats.org/package/2006/relationships">
  <Relationship Id="rId1" Type="http://schemas.openxmlformats.org/officeDocument/2006/relationships/package" Target="../embeddings/Microsoft_Excel_Worksheet12.xlsx"/>
</Relationships>

</file>

<file path=word/charts/_rels/chart54.xml.rels><?xml version="1.0" encoding="UTF-8"?>

<Relationships xmlns="http://schemas.openxmlformats.org/package/2006/relationships">
  <Relationship Id="rId1" Type="http://schemas.openxmlformats.org/officeDocument/2006/relationships/package" Target="../embeddings/Microsoft_Excel_Worksheet13.xlsx"/>
</Relationships>

</file>

<file path=word/charts/_rels/chart55.xml.rels><?xml version="1.0" encoding="UTF-8"?>

<Relationships xmlns="http://schemas.openxmlformats.org/package/2006/relationships">
  <Relationship Id="rId1" Type="http://schemas.openxmlformats.org/officeDocument/2006/relationships/package" Target="../embeddings/Microsoft_Excel_Worksheet14.xlsx"/>
</Relationships>

</file>

<file path=word/charts/_rels/chart56.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57.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58.xml.rels><?xml version="1.0" encoding="UTF-8"?>

<Relationships xmlns="http://schemas.openxmlformats.org/package/2006/relationships">
  <Relationship Id="rId1" Type="http://schemas.openxmlformats.org/officeDocument/2006/relationships/package" Target="../embeddings/Microsoft_Excel_Worksheet15.xlsx"/>
  <Relationship Id="rId2" Type="http://schemas.openxmlformats.org/officeDocument/2006/relationships/themeOverride" Target="../theme/themeOverride2.xml"/>
</Relationships>

</file>

<file path=word/charts/_rels/chart59.xml.rels><?xml version="1.0" encoding="UTF-8"?>

<Relationships xmlns="http://schemas.openxmlformats.org/package/2006/relationships">
  <Relationship Id="rId1" Type="http://schemas.openxmlformats.org/officeDocument/2006/relationships/package" Target="../embeddings/Microsoft_Excel_Worksheet16.xlsx"/>
</Relationships>

</file>

<file path=word/charts/_rels/chart6.xml.rels><?xml version="1.0" encoding="UTF-8"?>

<Relationships xmlns="http://schemas.openxmlformats.org/package/2006/relationships">
  <Relationship Id="rId1" Type="http://schemas.openxmlformats.org/officeDocument/2006/relationships/package" Target="../embeddings/Microsoft_Excel_Worksheet4.xlsx"/>
</Relationships>

</file>

<file path=word/charts/_rels/chart60.xml.rels><?xml version="1.0" encoding="UTF-8"?>

<Relationships xmlns="http://schemas.openxmlformats.org/package/2006/relationships">
  <Relationship Id="rId1" Type="http://schemas.openxmlformats.org/officeDocument/2006/relationships/package" Target="../embeddings/Microsoft_Excel_Worksheet17.xlsx"/>
</Relationships>

</file>

<file path=word/charts/_rels/chart7.xml.rels><?xml version="1.0" encoding="UTF-8"?>

<Relationships xmlns="http://schemas.openxmlformats.org/package/2006/relationships">
  <Relationship Id="rId1" Type="http://schemas.openxmlformats.org/officeDocument/2006/relationships/package" Target="../embeddings/Microsoft_Excel_Worksheet5.xlsx"/>
</Relationships>

</file>

<file path=word/charts/_rels/chart8.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9.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chart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621B-4AB3-A368-95E53EA7A710}"/>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621B-4AB3-A368-95E53EA7A710}"/>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621B-4AB3-A368-95E53EA7A710}"/>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621B-4AB3-A368-95E53EA7A710}"/>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621B-4AB3-A368-95E53EA7A710}"/>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621B-4AB3-A368-95E53EA7A710}"/>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621B-4AB3-A368-95E53EA7A710}"/>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621B-4AB3-A368-95E53EA7A710}"/>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621B-4AB3-A368-95E53EA7A710}"/>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621B-4AB3-A368-95E53EA7A710}"/>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621B-4AB3-A368-95E53EA7A710}"/>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621B-4AB3-A368-95E53EA7A710}"/>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621B-4AB3-A368-95E53EA7A710}"/>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D-621B-4AB3-A368-95E53EA7A710}"/>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621B-4AB3-A368-95E53EA7A710}"/>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F-621B-4AB3-A368-95E53EA7A710}"/>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621B-4AB3-A368-95E53EA7A710}"/>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621B-4AB3-A368-95E53EA7A710}"/>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1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B226-437B-914F-103FE1D75C99}"/>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B226-437B-914F-103FE1D75C99}"/>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B226-437B-914F-103FE1D75C99}"/>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B226-437B-914F-103FE1D75C99}"/>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B226-437B-914F-103FE1D75C99}"/>
                </c:ext>
              </c:extLst>
            </c:dLbl>
            <c:dLbl>
              <c:idx val="5"/>
              <c:delete val="1"/>
              <c:extLst>
                <c:ext uri="{CE6537A1-D6FC-4f65-9D91-7224C49458BB}"/>
                <c:ext uri="{C3380CC4-5D6E-409C-BE32-E72D297353CC}">
                  <c16:uniqueId xmlns:c16="http://schemas.microsoft.com/office/drawing/2014/chart" val="{00000005-B226-437B-914F-103FE1D75C99}"/>
                </c:ext>
              </c:extLst>
            </c:dLbl>
            <c:dLbl>
              <c:idx val="6"/>
              <c:delete val="1"/>
              <c:extLst>
                <c:ext uri="{CE6537A1-D6FC-4f65-9D91-7224C49458BB}"/>
                <c:ext uri="{C3380CC4-5D6E-409C-BE32-E72D297353CC}">
                  <c16:uniqueId xmlns:c16="http://schemas.microsoft.com/office/drawing/2014/chart" val="{00000006-B226-437B-914F-103FE1D75C99}"/>
                </c:ext>
              </c:extLst>
            </c:dLbl>
            <c:dLbl>
              <c:idx val="7"/>
              <c:delete val="1"/>
              <c:extLst>
                <c:ext uri="{CE6537A1-D6FC-4f65-9D91-7224C49458BB}"/>
                <c:ext uri="{C3380CC4-5D6E-409C-BE32-E72D297353CC}">
                  <c16:uniqueId xmlns:c16="http://schemas.microsoft.com/office/drawing/2014/chart" val="{00000007-B226-437B-914F-103FE1D75C99}"/>
                </c:ext>
              </c:extLst>
            </c:dLbl>
            <c:dLbl>
              <c:idx val="8"/>
              <c:delete val="1"/>
              <c:extLst>
                <c:ext uri="{CE6537A1-D6FC-4f65-9D91-7224C49458BB}"/>
                <c:ext uri="{C3380CC4-5D6E-409C-BE32-E72D297353CC}">
                  <c16:uniqueId xmlns:c16="http://schemas.microsoft.com/office/drawing/2014/chart" val="{00000008-B226-437B-914F-103FE1D75C99}"/>
                </c:ext>
              </c:extLst>
            </c:dLbl>
            <c:dLbl>
              <c:idx val="9"/>
              <c:delete val="1"/>
              <c:extLst>
                <c:ext uri="{CE6537A1-D6FC-4f65-9D91-7224C49458BB}"/>
                <c:ext uri="{C3380CC4-5D6E-409C-BE32-E72D297353CC}">
                  <c16:uniqueId xmlns:c16="http://schemas.microsoft.com/office/drawing/2014/chart" val="{00000009-B226-437B-914F-103FE1D75C99}"/>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B226-437B-914F-103FE1D75C99}"/>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B226-437B-914F-103FE1D75C99}"/>
                </c:ext>
              </c:extLst>
            </c:dLbl>
            <c:dLbl>
              <c:idx val="1"/>
              <c:delete val="1"/>
              <c:extLst>
                <c:ext uri="{CE6537A1-D6FC-4f65-9D91-7224C49458BB}"/>
                <c:ext uri="{C3380CC4-5D6E-409C-BE32-E72D297353CC}">
                  <c16:uniqueId xmlns:c16="http://schemas.microsoft.com/office/drawing/2014/chart" val="{0000000C-B226-437B-914F-103FE1D75C99}"/>
                </c:ext>
              </c:extLst>
            </c:dLbl>
            <c:dLbl>
              <c:idx val="2"/>
              <c:delete val="1"/>
              <c:extLst>
                <c:ext uri="{CE6537A1-D6FC-4f65-9D91-7224C49458BB}"/>
                <c:ext uri="{C3380CC4-5D6E-409C-BE32-E72D297353CC}">
                  <c16:uniqueId xmlns:c16="http://schemas.microsoft.com/office/drawing/2014/chart" val="{0000000D-B226-437B-914F-103FE1D75C99}"/>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B226-437B-914F-103FE1D75C99}"/>
                </c:ext>
              </c:extLst>
            </c:dLbl>
            <c:dLbl>
              <c:idx val="4"/>
              <c:delete val="1"/>
              <c:extLst>
                <c:ext uri="{CE6537A1-D6FC-4f65-9D91-7224C49458BB}"/>
                <c:ext uri="{C3380CC4-5D6E-409C-BE32-E72D297353CC}">
                  <c16:uniqueId xmlns:c16="http://schemas.microsoft.com/office/drawing/2014/chart" val="{0000000F-B226-437B-914F-103FE1D75C99}"/>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B226-437B-914F-103FE1D75C99}"/>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B226-437B-914F-103FE1D75C99}"/>
                </c:ext>
              </c:extLst>
            </c:dLbl>
            <c:dLbl>
              <c:idx val="7"/>
              <c:delete val="1"/>
              <c:extLst>
                <c:ext uri="{CE6537A1-D6FC-4f65-9D91-7224C49458BB}"/>
                <c:ext uri="{C3380CC4-5D6E-409C-BE32-E72D297353CC}">
                  <c16:uniqueId xmlns:c16="http://schemas.microsoft.com/office/drawing/2014/chart" val="{00000012-B226-437B-914F-103FE1D75C99}"/>
                </c:ext>
              </c:extLst>
            </c:dLbl>
            <c:dLbl>
              <c:idx val="8"/>
              <c:delete val="1"/>
              <c:extLst>
                <c:ext uri="{CE6537A1-D6FC-4f65-9D91-7224C49458BB}"/>
                <c:ext uri="{C3380CC4-5D6E-409C-BE32-E72D297353CC}">
                  <c16:uniqueId xmlns:c16="http://schemas.microsoft.com/office/drawing/2014/chart" val="{00000013-B226-437B-914F-103FE1D75C99}"/>
                </c:ext>
              </c:extLst>
            </c:dLbl>
            <c:dLbl>
              <c:idx val="9"/>
              <c:delete val="1"/>
              <c:extLst>
                <c:ext uri="{CE6537A1-D6FC-4f65-9D91-7224C49458BB}"/>
                <c:ext uri="{C3380CC4-5D6E-409C-BE32-E72D297353CC}">
                  <c16:uniqueId xmlns:c16="http://schemas.microsoft.com/office/drawing/2014/chart" val="{00000014-B226-437B-914F-103FE1D75C99}"/>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B226-437B-914F-103FE1D75C99}"/>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B226-437B-914F-103FE1D75C99}"/>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1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488F-428E-A63B-FD6A90C4D092}"/>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488F-428E-A63B-FD6A90C4D092}"/>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488F-428E-A63B-FD6A90C4D092}"/>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488F-428E-A63B-FD6A90C4D092}"/>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488F-428E-A63B-FD6A90C4D092}"/>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488F-428E-A63B-FD6A90C4D092}"/>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488F-428E-A63B-FD6A90C4D092}"/>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488F-428E-A63B-FD6A90C4D092}"/>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488F-428E-A63B-FD6A90C4D092}"/>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488F-428E-A63B-FD6A90C4D092}"/>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488F-428E-A63B-FD6A90C4D092}"/>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58E6-40C5-90D6-21C53AC9A9F0}"/>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0AEB-4AAD-9129-49B1348141E3}"/>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0AEB-4AAD-9129-49B1348141E3}"/>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0AEB-4AAD-9129-49B1348141E3}"/>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0AEB-4AAD-9129-49B1348141E3}"/>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0AEB-4AAD-9129-49B1348141E3}"/>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0AEB-4AAD-9129-49B1348141E3}"/>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0AEB-4AAD-9129-49B1348141E3}"/>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0AEB-4AAD-9129-49B1348141E3}"/>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0AEB-4AAD-9129-49B1348141E3}"/>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0AEB-4AAD-9129-49B1348141E3}"/>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0AEB-4AAD-9129-49B1348141E3}"/>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0AEB-4AAD-9129-49B1348141E3}"/>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0AEB-4AAD-9129-49B1348141E3}"/>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D-0AEB-4AAD-9129-49B1348141E3}"/>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0AEB-4AAD-9129-49B1348141E3}"/>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F-0AEB-4AAD-9129-49B1348141E3}"/>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0AEB-4AAD-9129-49B1348141E3}"/>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0AEB-4AAD-9129-49B1348141E3}"/>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1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92E8-434F-9EEC-57BC2186B221}"/>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92E8-434F-9EEC-57BC2186B221}"/>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92E8-434F-9EEC-57BC2186B221}"/>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92E8-434F-9EEC-57BC2186B221}"/>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92E8-434F-9EEC-57BC2186B221}"/>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92E8-434F-9EEC-57BC2186B221}"/>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92E8-434F-9EEC-57BC2186B221}"/>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92E8-434F-9EEC-57BC2186B221}"/>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92E8-434F-9EEC-57BC2186B221}"/>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E3A0-49FA-B6A1-C25ED3D10189}"/>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E3A0-49FA-B6A1-C25ED3D10189}"/>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E3A0-49FA-B6A1-C25ED3D10189}"/>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E3A0-49FA-B6A1-C25ED3D10189}"/>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E3A0-49FA-B6A1-C25ED3D10189}"/>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E3A0-49FA-B6A1-C25ED3D10189}"/>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E3A0-49FA-B6A1-C25ED3D10189}"/>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E3A0-49FA-B6A1-C25ED3D10189}"/>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E3A0-49FA-B6A1-C25ED3D10189}"/>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E3A0-49FA-B6A1-C25ED3D10189}"/>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E3A0-49FA-B6A1-C25ED3D10189}"/>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0968-4F76-961E-F8EF0A7867E9}"/>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0968-4F76-961E-F8EF0A7867E9}"/>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0968-4F76-961E-F8EF0A7867E9}"/>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0968-4F76-961E-F8EF0A7867E9}"/>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0968-4F76-961E-F8EF0A7867E9}"/>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0968-4F76-961E-F8EF0A7867E9}"/>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0968-4F76-961E-F8EF0A7867E9}"/>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0968-4F76-961E-F8EF0A7867E9}"/>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0968-4F76-961E-F8EF0A7867E9}"/>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0968-4F76-961E-F8EF0A7867E9}"/>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0968-4F76-961E-F8EF0A7867E9}"/>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5D86-4396-BD43-824443919B8C}"/>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5D86-4396-BD43-824443919B8C}"/>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F993-4F6A-B893-8B423D2D2537}"/>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F993-4F6A-B893-8B423D2D2537}"/>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F993-4F6A-B893-8B423D2D2537}"/>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F993-4F6A-B893-8B423D2D2537}"/>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F993-4F6A-B893-8B423D2D2537}"/>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F993-4F6A-B893-8B423D2D2537}"/>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F993-4F6A-B893-8B423D2D2537}"/>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F993-4F6A-B893-8B423D2D2537}"/>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F993-4F6A-B893-8B423D2D2537}"/>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F993-4F6A-B893-8B423D2D2537}"/>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F993-4F6A-B893-8B423D2D2537}"/>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F993-4F6A-B893-8B423D2D2537}"/>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F993-4F6A-B893-8B423D2D2537}"/>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F993-4F6A-B893-8B423D2D2537}"/>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F993-4F6A-B893-8B423D2D2537}"/>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48A3-469D-A1B5-F2C79E152D4C}"/>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48A3-469D-A1B5-F2C79E152D4C}"/>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layout/>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0EB9-4082-BFDE-A220462BA2D8}"/>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0EB9-4082-BFDE-A220462BA2D8}"/>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0EB9-4082-BFDE-A220462BA2D8}"/>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0EB9-4082-BFDE-A220462BA2D8}"/>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0EB9-4082-BFDE-A220462BA2D8}"/>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0EB9-4082-BFDE-A220462BA2D8}"/>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0EB9-4082-BFDE-A220462BA2D8}"/>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0EB9-4082-BFDE-A220462BA2D8}"/>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0EB9-4082-BFDE-A220462BA2D8}"/>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DD2C-4F60-B7B4-390B88A05B42}"/>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DD2C-4F60-B7B4-390B88A05B42}"/>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DD2C-4F60-B7B4-390B88A05B42}"/>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DD2C-4F60-B7B4-390B88A05B42}"/>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2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C8B5-4E5B-B166-028FEA5B145C}"/>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C8B5-4E5B-B166-028FEA5B145C}"/>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C8B5-4E5B-B166-028FEA5B145C}"/>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C8B5-4E5B-B166-028FEA5B145C}"/>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C8B5-4E5B-B166-028FEA5B145C}"/>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C8B5-4E5B-B166-028FEA5B145C}"/>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C8B5-4E5B-B166-028FEA5B145C}"/>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7-C8B5-4E5B-B166-028FEA5B145C}"/>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C8B5-4E5B-B166-028FEA5B145C}"/>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C8B5-4E5B-B166-028FEA5B145C}"/>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C8B5-4E5B-B166-028FEA5B145C}"/>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C8B5-4E5B-B166-028FEA5B145C}"/>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C8B5-4E5B-B166-028FEA5B145C}"/>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D-C8B5-4E5B-B166-028FEA5B145C}"/>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E-C8B5-4E5B-B166-028FEA5B145C}"/>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F-C8B5-4E5B-B166-028FEA5B145C}"/>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0-C8B5-4E5B-B166-028FEA5B145C}"/>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1-C8B5-4E5B-B166-028FEA5B145C}"/>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2-C8B5-4E5B-B166-028FEA5B145C}"/>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C8B5-4E5B-B166-028FEA5B145C}"/>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4-C8B5-4E5B-B166-028FEA5B145C}"/>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5-C8B5-4E5B-B166-028FEA5B145C}"/>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6-C8B5-4E5B-B166-028FEA5B145C}"/>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7-C8B5-4E5B-B166-028FEA5B145C}"/>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8-C8B5-4E5B-B166-028FEA5B145C}"/>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9-C8B5-4E5B-B166-028FEA5B145C}"/>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A-C8B5-4E5B-B166-028FEA5B145C}"/>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B-C8B5-4E5B-B166-028FEA5B145C}"/>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C-C8B5-4E5B-B166-028FEA5B145C}"/>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C8B5-4E5B-B166-028FEA5B145C}"/>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E-C8B5-4E5B-B166-028FEA5B145C}"/>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F-C8B5-4E5B-B166-028FEA5B145C}"/>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0-C8B5-4E5B-B166-028FEA5B145C}"/>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1-C8B5-4E5B-B166-028FEA5B145C}"/>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2-C8B5-4E5B-B166-028FEA5B145C}"/>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3-C8B5-4E5B-B166-028FEA5B145C}"/>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4-C8B5-4E5B-B166-028FEA5B145C}"/>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5-C8B5-4E5B-B166-028FEA5B145C}"/>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6-C8B5-4E5B-B166-028FEA5B145C}"/>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C8B5-4E5B-B166-028FEA5B145C}"/>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8-C8B5-4E5B-B166-028FEA5B145C}"/>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9-C8B5-4E5B-B166-028FEA5B145C}"/>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A-C8B5-4E5B-B166-028FEA5B145C}"/>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B-C8B5-4E5B-B166-028FEA5B145C}"/>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C-C8B5-4E5B-B166-028FEA5B145C}"/>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D-C8B5-4E5B-B166-028FEA5B145C}"/>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E-C8B5-4E5B-B166-028FEA5B145C}"/>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F-C8B5-4E5B-B166-028FEA5B145C}"/>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30-C8B5-4E5B-B166-028FEA5B145C}"/>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C8B5-4E5B-B166-028FEA5B145C}"/>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2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AE3F-4937-99B2-8F4688B121C8}"/>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1-AE3F-4937-99B2-8F4688B121C8}"/>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2-AE3F-4937-99B2-8F4688B121C8}"/>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3-AE3F-4937-99B2-8F4688B121C8}"/>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4-AE3F-4937-99B2-8F4688B121C8}"/>
                </c:ext>
              </c:extLst>
            </c:dLbl>
            <c:dLbl>
              <c:idx val="5"/>
              <c:delete val="1"/>
              <c:extLst>
                <c:ext uri="{CE6537A1-D6FC-4f65-9D91-7224C49458BB}"/>
                <c:ext uri="{C3380CC4-5D6E-409C-BE32-E72D297353CC}">
                  <c16:uniqueId xmlns:c16="http://schemas.microsoft.com/office/drawing/2014/chart" val="{00000005-AE3F-4937-99B2-8F4688B121C8}"/>
                </c:ext>
              </c:extLst>
            </c:dLbl>
            <c:dLbl>
              <c:idx val="6"/>
              <c:delete val="1"/>
              <c:extLst>
                <c:ext uri="{CE6537A1-D6FC-4f65-9D91-7224C49458BB}"/>
                <c:ext uri="{C3380CC4-5D6E-409C-BE32-E72D297353CC}">
                  <c16:uniqueId xmlns:c16="http://schemas.microsoft.com/office/drawing/2014/chart" val="{00000006-AE3F-4937-99B2-8F4688B121C8}"/>
                </c:ext>
              </c:extLst>
            </c:dLbl>
            <c:dLbl>
              <c:idx val="7"/>
              <c:delete val="1"/>
              <c:extLst>
                <c:ext uri="{CE6537A1-D6FC-4f65-9D91-7224C49458BB}"/>
                <c:ext uri="{C3380CC4-5D6E-409C-BE32-E72D297353CC}">
                  <c16:uniqueId xmlns:c16="http://schemas.microsoft.com/office/drawing/2014/chart" val="{00000007-AE3F-4937-99B2-8F4688B121C8}"/>
                </c:ext>
              </c:extLst>
            </c:dLbl>
            <c:dLbl>
              <c:idx val="8"/>
              <c:delete val="1"/>
              <c:extLst>
                <c:ext uri="{CE6537A1-D6FC-4f65-9D91-7224C49458BB}"/>
                <c:ext uri="{C3380CC4-5D6E-409C-BE32-E72D297353CC}">
                  <c16:uniqueId xmlns:c16="http://schemas.microsoft.com/office/drawing/2014/chart" val="{00000008-AE3F-4937-99B2-8F4688B121C8}"/>
                </c:ext>
              </c:extLst>
            </c:dLbl>
            <c:dLbl>
              <c:idx val="9"/>
              <c:delete val="1"/>
              <c:extLst>
                <c:ext uri="{CE6537A1-D6FC-4f65-9D91-7224C49458BB}"/>
                <c:ext uri="{C3380CC4-5D6E-409C-BE32-E72D297353CC}">
                  <c16:uniqueId xmlns:c16="http://schemas.microsoft.com/office/drawing/2014/chart" val="{00000009-AE3F-4937-99B2-8F4688B121C8}"/>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AE3F-4937-99B2-8F4688B121C8}"/>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B-AE3F-4937-99B2-8F4688B121C8}"/>
                </c:ext>
              </c:extLst>
            </c:dLbl>
            <c:dLbl>
              <c:idx val="1"/>
              <c:delete val="1"/>
              <c:extLst>
                <c:ext uri="{CE6537A1-D6FC-4f65-9D91-7224C49458BB}"/>
                <c:ext uri="{C3380CC4-5D6E-409C-BE32-E72D297353CC}">
                  <c16:uniqueId xmlns:c16="http://schemas.microsoft.com/office/drawing/2014/chart" val="{0000000C-AE3F-4937-99B2-8F4688B121C8}"/>
                </c:ext>
              </c:extLst>
            </c:dLbl>
            <c:dLbl>
              <c:idx val="2"/>
              <c:delete val="1"/>
              <c:extLst>
                <c:ext uri="{CE6537A1-D6FC-4f65-9D91-7224C49458BB}"/>
                <c:ext uri="{C3380CC4-5D6E-409C-BE32-E72D297353CC}">
                  <c16:uniqueId xmlns:c16="http://schemas.microsoft.com/office/drawing/2014/chart" val="{0000000D-AE3F-4937-99B2-8F4688B121C8}"/>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E-AE3F-4937-99B2-8F4688B121C8}"/>
                </c:ext>
              </c:extLst>
            </c:dLbl>
            <c:dLbl>
              <c:idx val="4"/>
              <c:delete val="1"/>
              <c:extLst>
                <c:ext uri="{CE6537A1-D6FC-4f65-9D91-7224C49458BB}"/>
                <c:ext uri="{C3380CC4-5D6E-409C-BE32-E72D297353CC}">
                  <c16:uniqueId xmlns:c16="http://schemas.microsoft.com/office/drawing/2014/chart" val="{0000000F-AE3F-4937-99B2-8F4688B121C8}"/>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ext uri="{C3380CC4-5D6E-409C-BE32-E72D297353CC}">
                  <c16:uniqueId xmlns:c16="http://schemas.microsoft.com/office/drawing/2014/chart" val="{00000010-AE3F-4937-99B2-8F4688B121C8}"/>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ext uri="{C3380CC4-5D6E-409C-BE32-E72D297353CC}">
                  <c16:uniqueId xmlns:c16="http://schemas.microsoft.com/office/drawing/2014/chart" val="{00000011-AE3F-4937-99B2-8F4688B121C8}"/>
                </c:ext>
              </c:extLst>
            </c:dLbl>
            <c:dLbl>
              <c:idx val="7"/>
              <c:delete val="1"/>
              <c:extLst>
                <c:ext uri="{CE6537A1-D6FC-4f65-9D91-7224C49458BB}"/>
                <c:ext uri="{C3380CC4-5D6E-409C-BE32-E72D297353CC}">
                  <c16:uniqueId xmlns:c16="http://schemas.microsoft.com/office/drawing/2014/chart" val="{00000012-AE3F-4937-99B2-8F4688B121C8}"/>
                </c:ext>
              </c:extLst>
            </c:dLbl>
            <c:dLbl>
              <c:idx val="8"/>
              <c:delete val="1"/>
              <c:extLst>
                <c:ext uri="{CE6537A1-D6FC-4f65-9D91-7224C49458BB}"/>
                <c:ext uri="{C3380CC4-5D6E-409C-BE32-E72D297353CC}">
                  <c16:uniqueId xmlns:c16="http://schemas.microsoft.com/office/drawing/2014/chart" val="{00000013-AE3F-4937-99B2-8F4688B121C8}"/>
                </c:ext>
              </c:extLst>
            </c:dLbl>
            <c:dLbl>
              <c:idx val="9"/>
              <c:delete val="1"/>
              <c:extLst>
                <c:ext uri="{CE6537A1-D6FC-4f65-9D91-7224C49458BB}"/>
                <c:ext uri="{C3380CC4-5D6E-409C-BE32-E72D297353CC}">
                  <c16:uniqueId xmlns:c16="http://schemas.microsoft.com/office/drawing/2014/chart" val="{00000014-AE3F-4937-99B2-8F4688B121C8}"/>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AE3F-4937-99B2-8F4688B121C8}"/>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AE3F-4937-99B2-8F4688B121C8}"/>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2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0-3C2C-4ED7-BA3F-38EEACBBFC59}"/>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1-3C2C-4ED7-BA3F-38EEACBBFC59}"/>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2-3C2C-4ED7-BA3F-38EEACBBFC59}"/>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3-3C2C-4ED7-BA3F-38EEACBBFC59}"/>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4-3C2C-4ED7-BA3F-38EEACBBFC59}"/>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5-3C2C-4ED7-BA3F-38EEACBBFC59}"/>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6-3C2C-4ED7-BA3F-38EEACBBFC59}"/>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7-3C2C-4ED7-BA3F-38EEACBBFC59}"/>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8-3C2C-4ED7-BA3F-38EEACBBFC59}"/>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9-3C2C-4ED7-BA3F-38EEACBBFC59}"/>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3C2C-4ED7-BA3F-38EEACBBFC59}"/>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B9FF-4FDF-8C4E-392E818618CF}"/>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0-2289-455F-A634-83ACED2A742D}"/>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1-2289-455F-A634-83ACED2A742D}"/>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2-2289-455F-A634-83ACED2A742D}"/>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3-2289-455F-A634-83ACED2A742D}"/>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4-2289-455F-A634-83ACED2A742D}"/>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5-2289-455F-A634-83ACED2A742D}"/>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6-2289-455F-A634-83ACED2A742D}"/>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7-2289-455F-A634-83ACED2A742D}"/>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2289-455F-A634-83ACED2A742D}"/>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9-2289-455F-A634-83ACED2A742D}"/>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A-2289-455F-A634-83ACED2A742D}"/>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B-2289-455F-A634-83ACED2A742D}"/>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C-2289-455F-A634-83ACED2A742D}"/>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D-2289-455F-A634-83ACED2A742D}"/>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E-2289-455F-A634-83ACED2A742D}"/>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F-2289-455F-A634-83ACED2A742D}"/>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10-2289-455F-A634-83ACED2A742D}"/>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2289-455F-A634-83ACED2A742D}"/>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2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F0C3-445C-9DDD-DF85F4A90727}"/>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F0C3-445C-9DDD-DF85F4A90727}"/>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F0C3-445C-9DDD-DF85F4A90727}"/>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3-F0C3-445C-9DDD-DF85F4A90727}"/>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4-F0C3-445C-9DDD-DF85F4A90727}"/>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F0C3-445C-9DDD-DF85F4A90727}"/>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6-F0C3-445C-9DDD-DF85F4A90727}"/>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7-F0C3-445C-9DDD-DF85F4A90727}"/>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F0C3-445C-9DDD-DF85F4A90727}"/>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FE9E-4F70-A9F4-E865F158AC82}"/>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FE9E-4F70-A9F4-E865F158AC82}"/>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FE9E-4F70-A9F4-E865F158AC82}"/>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FE9E-4F70-A9F4-E865F158AC82}"/>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FE9E-4F70-A9F4-E865F158AC82}"/>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FE9E-4F70-A9F4-E865F158AC82}"/>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FE9E-4F70-A9F4-E865F158AC82}"/>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FE9E-4F70-A9F4-E865F158AC82}"/>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FE9E-4F70-A9F4-E865F158AC82}"/>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FE9E-4F70-A9F4-E865F158AC82}"/>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FE9E-4F70-A9F4-E865F158AC82}"/>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B82D-40E1-8110-93721B8577EA}"/>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B82D-40E1-8110-93721B8577EA}"/>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B82D-40E1-8110-93721B8577EA}"/>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B82D-40E1-8110-93721B8577EA}"/>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B82D-40E1-8110-93721B8577EA}"/>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B82D-40E1-8110-93721B8577EA}"/>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B82D-40E1-8110-93721B8577EA}"/>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B82D-40E1-8110-93721B8577EA}"/>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B82D-40E1-8110-93721B8577EA}"/>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B82D-40E1-8110-93721B8577EA}"/>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B82D-40E1-8110-93721B8577EA}"/>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B44D-44A4-84E0-37482066A454}"/>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B44D-44A4-84E0-37482066A454}"/>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C5A5-4851-BD9B-32BD93286F02}"/>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C5A5-4851-BD9B-32BD93286F02}"/>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C5A5-4851-BD9B-32BD93286F02}"/>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C5A5-4851-BD9B-32BD93286F02}"/>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C5A5-4851-BD9B-32BD93286F02}"/>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C5A5-4851-BD9B-32BD93286F02}"/>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C5A5-4851-BD9B-32BD93286F02}"/>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C5A5-4851-BD9B-32BD93286F02}"/>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C5A5-4851-BD9B-32BD93286F02}"/>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C5A5-4851-BD9B-32BD93286F02}"/>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C5A5-4851-BD9B-32BD93286F02}"/>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78FE-4079-875F-A0A08C8DD31D}"/>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78FE-4079-875F-A0A08C8DD31D}"/>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78FE-4079-875F-A0A08C8DD31D}"/>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78FE-4079-875F-A0A08C8DD31D}"/>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78FE-4079-875F-A0A08C8DD31D}"/>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78FE-4079-875F-A0A08C8DD31D}"/>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78FE-4079-875F-A0A08C8DD31D}"/>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78FE-4079-875F-A0A08C8DD31D}"/>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78FE-4079-875F-A0A08C8DD31D}"/>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9-78FE-4079-875F-A0A08C8DD31D}"/>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78FE-4079-875F-A0A08C8DD31D}"/>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78FE-4079-875F-A0A08C8DD31D}"/>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78FE-4079-875F-A0A08C8DD31D}"/>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78FE-4079-875F-A0A08C8DD31D}"/>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78FE-4079-875F-A0A08C8DD31D}"/>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95BF-4B59-9AB6-72CBDD00187A}"/>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95BF-4B59-9AB6-72CBDD00187A}"/>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layout/>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3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7534-4EFF-A738-2A3FB4F8B04F}"/>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7534-4EFF-A738-2A3FB4F8B04F}"/>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7534-4EFF-A738-2A3FB4F8B04F}"/>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7534-4EFF-A738-2A3FB4F8B04F}"/>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3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61F8-4AC9-9930-676683876567}"/>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61F8-4AC9-9930-676683876567}"/>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61F8-4AC9-9930-676683876567}"/>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61F8-4AC9-9930-676683876567}"/>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61F8-4AC9-9930-676683876567}"/>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61F8-4AC9-9930-676683876567}"/>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61F8-4AC9-9930-676683876567}"/>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7-61F8-4AC9-9930-676683876567}"/>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61F8-4AC9-9930-676683876567}"/>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61F8-4AC9-9930-676683876567}"/>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61F8-4AC9-9930-676683876567}"/>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61F8-4AC9-9930-676683876567}"/>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61F8-4AC9-9930-676683876567}"/>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D-61F8-4AC9-9930-676683876567}"/>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E-61F8-4AC9-9930-676683876567}"/>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F-61F8-4AC9-9930-676683876567}"/>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0-61F8-4AC9-9930-676683876567}"/>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1-61F8-4AC9-9930-676683876567}"/>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2-61F8-4AC9-9930-676683876567}"/>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61F8-4AC9-9930-676683876567}"/>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4-61F8-4AC9-9930-676683876567}"/>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5-61F8-4AC9-9930-676683876567}"/>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6-61F8-4AC9-9930-676683876567}"/>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7-61F8-4AC9-9930-676683876567}"/>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8-61F8-4AC9-9930-676683876567}"/>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9-61F8-4AC9-9930-676683876567}"/>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A-61F8-4AC9-9930-676683876567}"/>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B-61F8-4AC9-9930-676683876567}"/>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C-61F8-4AC9-9930-676683876567}"/>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61F8-4AC9-9930-676683876567}"/>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E-61F8-4AC9-9930-676683876567}"/>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F-61F8-4AC9-9930-676683876567}"/>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0-61F8-4AC9-9930-676683876567}"/>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1-61F8-4AC9-9930-676683876567}"/>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2-61F8-4AC9-9930-676683876567}"/>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3-61F8-4AC9-9930-676683876567}"/>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4-61F8-4AC9-9930-676683876567}"/>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5-61F8-4AC9-9930-676683876567}"/>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6-61F8-4AC9-9930-676683876567}"/>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61F8-4AC9-9930-676683876567}"/>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8-61F8-4AC9-9930-676683876567}"/>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9-61F8-4AC9-9930-676683876567}"/>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A-61F8-4AC9-9930-676683876567}"/>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B-61F8-4AC9-9930-676683876567}"/>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C-61F8-4AC9-9930-676683876567}"/>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D-61F8-4AC9-9930-676683876567}"/>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E-61F8-4AC9-9930-676683876567}"/>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F-61F8-4AC9-9930-676683876567}"/>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30-61F8-4AC9-9930-676683876567}"/>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61F8-4AC9-9930-676683876567}"/>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3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D4CD-4C1D-A607-72B1B6083847}"/>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D4CD-4C1D-A607-72B1B6083847}"/>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D4CD-4C1D-A607-72B1B6083847}"/>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D4CD-4C1D-A607-72B1B6083847}"/>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D4CD-4C1D-A607-72B1B6083847}"/>
                </c:ext>
              </c:extLst>
            </c:dLbl>
            <c:dLbl>
              <c:idx val="5"/>
              <c:delete val="1"/>
              <c:extLst>
                <c:ext uri="{CE6537A1-D6FC-4f65-9D91-7224C49458BB}"/>
                <c:ext uri="{C3380CC4-5D6E-409C-BE32-E72D297353CC}">
                  <c16:uniqueId xmlns:c16="http://schemas.microsoft.com/office/drawing/2014/chart" val="{00000005-D4CD-4C1D-A607-72B1B6083847}"/>
                </c:ext>
              </c:extLst>
            </c:dLbl>
            <c:dLbl>
              <c:idx val="6"/>
              <c:delete val="1"/>
              <c:extLst>
                <c:ext uri="{CE6537A1-D6FC-4f65-9D91-7224C49458BB}"/>
                <c:ext uri="{C3380CC4-5D6E-409C-BE32-E72D297353CC}">
                  <c16:uniqueId xmlns:c16="http://schemas.microsoft.com/office/drawing/2014/chart" val="{00000006-D4CD-4C1D-A607-72B1B6083847}"/>
                </c:ext>
              </c:extLst>
            </c:dLbl>
            <c:dLbl>
              <c:idx val="7"/>
              <c:delete val="1"/>
              <c:extLst>
                <c:ext uri="{CE6537A1-D6FC-4f65-9D91-7224C49458BB}"/>
                <c:ext uri="{C3380CC4-5D6E-409C-BE32-E72D297353CC}">
                  <c16:uniqueId xmlns:c16="http://schemas.microsoft.com/office/drawing/2014/chart" val="{00000007-D4CD-4C1D-A607-72B1B6083847}"/>
                </c:ext>
              </c:extLst>
            </c:dLbl>
            <c:dLbl>
              <c:idx val="8"/>
              <c:delete val="1"/>
              <c:extLst>
                <c:ext uri="{CE6537A1-D6FC-4f65-9D91-7224C49458BB}"/>
                <c:ext uri="{C3380CC4-5D6E-409C-BE32-E72D297353CC}">
                  <c16:uniqueId xmlns:c16="http://schemas.microsoft.com/office/drawing/2014/chart" val="{00000008-D4CD-4C1D-A607-72B1B6083847}"/>
                </c:ext>
              </c:extLst>
            </c:dLbl>
            <c:dLbl>
              <c:idx val="9"/>
              <c:delete val="1"/>
              <c:extLst>
                <c:ext uri="{CE6537A1-D6FC-4f65-9D91-7224C49458BB}"/>
                <c:ext uri="{C3380CC4-5D6E-409C-BE32-E72D297353CC}">
                  <c16:uniqueId xmlns:c16="http://schemas.microsoft.com/office/drawing/2014/chart" val="{00000009-D4CD-4C1D-A607-72B1B6083847}"/>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D4CD-4C1D-A607-72B1B6083847}"/>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D4CD-4C1D-A607-72B1B6083847}"/>
                </c:ext>
              </c:extLst>
            </c:dLbl>
            <c:dLbl>
              <c:idx val="1"/>
              <c:delete val="1"/>
              <c:extLst>
                <c:ext uri="{CE6537A1-D6FC-4f65-9D91-7224C49458BB}"/>
                <c:ext uri="{C3380CC4-5D6E-409C-BE32-E72D297353CC}">
                  <c16:uniqueId xmlns:c16="http://schemas.microsoft.com/office/drawing/2014/chart" val="{0000000C-D4CD-4C1D-A607-72B1B6083847}"/>
                </c:ext>
              </c:extLst>
            </c:dLbl>
            <c:dLbl>
              <c:idx val="2"/>
              <c:delete val="1"/>
              <c:extLst>
                <c:ext uri="{CE6537A1-D6FC-4f65-9D91-7224C49458BB}"/>
                <c:ext uri="{C3380CC4-5D6E-409C-BE32-E72D297353CC}">
                  <c16:uniqueId xmlns:c16="http://schemas.microsoft.com/office/drawing/2014/chart" val="{0000000D-D4CD-4C1D-A607-72B1B6083847}"/>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D4CD-4C1D-A607-72B1B6083847}"/>
                </c:ext>
              </c:extLst>
            </c:dLbl>
            <c:dLbl>
              <c:idx val="4"/>
              <c:delete val="1"/>
              <c:extLst>
                <c:ext uri="{CE6537A1-D6FC-4f65-9D91-7224C49458BB}"/>
                <c:ext uri="{C3380CC4-5D6E-409C-BE32-E72D297353CC}">
                  <c16:uniqueId xmlns:c16="http://schemas.microsoft.com/office/drawing/2014/chart" val="{0000000F-D4CD-4C1D-A607-72B1B6083847}"/>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D4CD-4C1D-A607-72B1B6083847}"/>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D4CD-4C1D-A607-72B1B6083847}"/>
                </c:ext>
              </c:extLst>
            </c:dLbl>
            <c:dLbl>
              <c:idx val="7"/>
              <c:delete val="1"/>
              <c:extLst>
                <c:ext uri="{CE6537A1-D6FC-4f65-9D91-7224C49458BB}"/>
                <c:ext uri="{C3380CC4-5D6E-409C-BE32-E72D297353CC}">
                  <c16:uniqueId xmlns:c16="http://schemas.microsoft.com/office/drawing/2014/chart" val="{00000012-D4CD-4C1D-A607-72B1B6083847}"/>
                </c:ext>
              </c:extLst>
            </c:dLbl>
            <c:dLbl>
              <c:idx val="8"/>
              <c:delete val="1"/>
              <c:extLst>
                <c:ext uri="{CE6537A1-D6FC-4f65-9D91-7224C49458BB}"/>
                <c:ext uri="{C3380CC4-5D6E-409C-BE32-E72D297353CC}">
                  <c16:uniqueId xmlns:c16="http://schemas.microsoft.com/office/drawing/2014/chart" val="{00000013-D4CD-4C1D-A607-72B1B6083847}"/>
                </c:ext>
              </c:extLst>
            </c:dLbl>
            <c:dLbl>
              <c:idx val="9"/>
              <c:delete val="1"/>
              <c:extLst>
                <c:ext uri="{CE6537A1-D6FC-4f65-9D91-7224C49458BB}"/>
                <c:ext uri="{C3380CC4-5D6E-409C-BE32-E72D297353CC}">
                  <c16:uniqueId xmlns:c16="http://schemas.microsoft.com/office/drawing/2014/chart" val="{00000014-D4CD-4C1D-A607-72B1B6083847}"/>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D4CD-4C1D-A607-72B1B6083847}"/>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D4CD-4C1D-A607-72B1B6083847}"/>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3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A51A-4622-9BF5-D3C6A158803B}"/>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A51A-4622-9BF5-D3C6A158803B}"/>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A51A-4622-9BF5-D3C6A158803B}"/>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A51A-4622-9BF5-D3C6A158803B}"/>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A51A-4622-9BF5-D3C6A158803B}"/>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A51A-4622-9BF5-D3C6A158803B}"/>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A51A-4622-9BF5-D3C6A158803B}"/>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A51A-4622-9BF5-D3C6A158803B}"/>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A51A-4622-9BF5-D3C6A158803B}"/>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A51A-4622-9BF5-D3C6A158803B}"/>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A51A-4622-9BF5-D3C6A158803B}"/>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31A1-4869-941E-8A40E3E92AE7}"/>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0-621B-4AB3-A368-95E53EA7A710}"/>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1-621B-4AB3-A368-95E53EA7A710}"/>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2-621B-4AB3-A368-95E53EA7A710}"/>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3-621B-4AB3-A368-95E53EA7A710}"/>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4-621B-4AB3-A368-95E53EA7A710}"/>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5-621B-4AB3-A368-95E53EA7A710}"/>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6-621B-4AB3-A368-95E53EA7A710}"/>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7-621B-4AB3-A368-95E53EA7A710}"/>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621B-4AB3-A368-95E53EA7A710}"/>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9-621B-4AB3-A368-95E53EA7A710}"/>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A-621B-4AB3-A368-95E53EA7A710}"/>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B-621B-4AB3-A368-95E53EA7A710}"/>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C-621B-4AB3-A368-95E53EA7A710}"/>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D-621B-4AB3-A368-95E53EA7A710}"/>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E-621B-4AB3-A368-95E53EA7A710}"/>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F-621B-4AB3-A368-95E53EA7A710}"/>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10-621B-4AB3-A368-95E53EA7A710}"/>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621B-4AB3-A368-95E53EA7A710}"/>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3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0EB9-4082-BFDE-A220462BA2D8}"/>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0EB9-4082-BFDE-A220462BA2D8}"/>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0EB9-4082-BFDE-A220462BA2D8}"/>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3-0EB9-4082-BFDE-A220462BA2D8}"/>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4-0EB9-4082-BFDE-A220462BA2D8}"/>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0EB9-4082-BFDE-A220462BA2D8}"/>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6-0EB9-4082-BFDE-A220462BA2D8}"/>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7-0EB9-4082-BFDE-A220462BA2D8}"/>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0EB9-4082-BFDE-A220462BA2D8}"/>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C5A5-4851-BD9B-32BD93286F02}"/>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C5A5-4851-BD9B-32BD93286F02}"/>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C5A5-4851-BD9B-32BD93286F02}"/>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C5A5-4851-BD9B-32BD93286F02}"/>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C5A5-4851-BD9B-32BD93286F02}"/>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C5A5-4851-BD9B-32BD93286F02}"/>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C5A5-4851-BD9B-32BD93286F02}"/>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C5A5-4851-BD9B-32BD93286F02}"/>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C5A5-4851-BD9B-32BD93286F02}"/>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C5A5-4851-BD9B-32BD93286F02}"/>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C5A5-4851-BD9B-32BD93286F02}"/>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AD6C-4469-80BB-243C9274AC54}"/>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AD6C-4469-80BB-243C9274AC54}"/>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AD6C-4469-80BB-243C9274AC54}"/>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AD6C-4469-80BB-243C9274AC54}"/>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AD6C-4469-80BB-243C9274AC54}"/>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AD6C-4469-80BB-243C9274AC54}"/>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AD6C-4469-80BB-243C9274AC54}"/>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AD6C-4469-80BB-243C9274AC54}"/>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AD6C-4469-80BB-243C9274AC54}"/>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AD6C-4469-80BB-243C9274AC54}"/>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AD6C-4469-80BB-243C9274AC54}"/>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AD6C-4469-80BB-243C9274AC54}"/>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AD6C-4469-80BB-243C9274AC54}"/>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AD6C-4469-80BB-243C9274AC54}"/>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AD6C-4469-80BB-243C9274AC54}"/>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AD6C-4469-80BB-243C9274AC54}"/>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AD6C-4469-80BB-243C9274AC54}"/>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AD6C-4469-80BB-243C9274AC54}"/>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AD6C-4469-80BB-243C9274AC54}"/>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AD6C-4469-80BB-243C9274AC54}"/>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AD6C-4469-80BB-243C9274AC54}"/>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AD6C-4469-80BB-243C9274AC54}"/>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0F83-4326-A162-75D5346A94EC}"/>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0F83-4326-A162-75D5346A94EC}"/>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A3CF-4BE6-A498-7712D0D1633C}"/>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A3CF-4BE6-A498-7712D0D1633C}"/>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A3CF-4BE6-A498-7712D0D1633C}"/>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A3CF-4BE6-A498-7712D0D1633C}"/>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A3CF-4BE6-A498-7712D0D1633C}"/>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A3CF-4BE6-A498-7712D0D1633C}"/>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A3CF-4BE6-A498-7712D0D1633C}"/>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A3CF-4BE6-A498-7712D0D1633C}"/>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A3CF-4BE6-A498-7712D0D1633C}"/>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9-A3CF-4BE6-A498-7712D0D1633C}"/>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A3CF-4BE6-A498-7712D0D1633C}"/>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A3CF-4BE6-A498-7712D0D1633C}"/>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A3CF-4BE6-A498-7712D0D1633C}"/>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A3CF-4BE6-A498-7712D0D1633C}"/>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A3CF-4BE6-A498-7712D0D1633C}"/>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7818-42A1-AFE0-A3737C1D2A32}"/>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7818-42A1-AFE0-A3737C1D2A32}"/>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4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8CC2-4D88-AEBA-CD838DB998F3}"/>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8CC2-4D88-AEBA-CD838DB998F3}"/>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8CC2-4D88-AEBA-CD838DB998F3}"/>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8CC2-4D88-AEBA-CD838DB998F3}"/>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4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9F12-437C-B67A-E0149CB6E286}"/>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9F12-437C-B67A-E0149CB6E286}"/>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9F12-437C-B67A-E0149CB6E286}"/>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9F12-437C-B67A-E0149CB6E286}"/>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9F12-437C-B67A-E0149CB6E286}"/>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9F12-437C-B67A-E0149CB6E286}"/>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9F12-437C-B67A-E0149CB6E286}"/>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7-9F12-437C-B67A-E0149CB6E286}"/>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9F12-437C-B67A-E0149CB6E286}"/>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9F12-437C-B67A-E0149CB6E286}"/>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9F12-437C-B67A-E0149CB6E286}"/>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9F12-437C-B67A-E0149CB6E286}"/>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9F12-437C-B67A-E0149CB6E286}"/>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D-9F12-437C-B67A-E0149CB6E286}"/>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E-9F12-437C-B67A-E0149CB6E286}"/>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F-9F12-437C-B67A-E0149CB6E286}"/>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0-9F12-437C-B67A-E0149CB6E286}"/>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1-9F12-437C-B67A-E0149CB6E286}"/>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2-9F12-437C-B67A-E0149CB6E286}"/>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9F12-437C-B67A-E0149CB6E286}"/>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4-9F12-437C-B67A-E0149CB6E286}"/>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5-9F12-437C-B67A-E0149CB6E286}"/>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6-9F12-437C-B67A-E0149CB6E286}"/>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7-9F12-437C-B67A-E0149CB6E286}"/>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8-9F12-437C-B67A-E0149CB6E286}"/>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9-9F12-437C-B67A-E0149CB6E286}"/>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A-9F12-437C-B67A-E0149CB6E286}"/>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B-9F12-437C-B67A-E0149CB6E286}"/>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C-9F12-437C-B67A-E0149CB6E286}"/>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9F12-437C-B67A-E0149CB6E286}"/>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E-9F12-437C-B67A-E0149CB6E286}"/>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F-9F12-437C-B67A-E0149CB6E286}"/>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0-9F12-437C-B67A-E0149CB6E286}"/>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1-9F12-437C-B67A-E0149CB6E286}"/>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2-9F12-437C-B67A-E0149CB6E286}"/>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3-9F12-437C-B67A-E0149CB6E286}"/>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4-9F12-437C-B67A-E0149CB6E286}"/>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5-9F12-437C-B67A-E0149CB6E286}"/>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6-9F12-437C-B67A-E0149CB6E286}"/>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9F12-437C-B67A-E0149CB6E286}"/>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8-9F12-437C-B67A-E0149CB6E286}"/>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9-9F12-437C-B67A-E0149CB6E286}"/>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A-9F12-437C-B67A-E0149CB6E286}"/>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B-9F12-437C-B67A-E0149CB6E286}"/>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C-9F12-437C-B67A-E0149CB6E286}"/>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D-9F12-437C-B67A-E0149CB6E286}"/>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E-9F12-437C-B67A-E0149CB6E286}"/>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F-9F12-437C-B67A-E0149CB6E286}"/>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30-9F12-437C-B67A-E0149CB6E286}"/>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9F12-437C-B67A-E0149CB6E286}"/>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4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B226-437B-914F-103FE1D75C99}"/>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B226-437B-914F-103FE1D75C99}"/>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B226-437B-914F-103FE1D75C99}"/>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B226-437B-914F-103FE1D75C99}"/>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B226-437B-914F-103FE1D75C99}"/>
                </c:ext>
              </c:extLst>
            </c:dLbl>
            <c:dLbl>
              <c:idx val="5"/>
              <c:delete val="1"/>
              <c:extLst>
                <c:ext uri="{CE6537A1-D6FC-4f65-9D91-7224C49458BB}"/>
                <c:ext uri="{C3380CC4-5D6E-409C-BE32-E72D297353CC}">
                  <c16:uniqueId xmlns:c16="http://schemas.microsoft.com/office/drawing/2014/chart" val="{00000005-B226-437B-914F-103FE1D75C99}"/>
                </c:ext>
              </c:extLst>
            </c:dLbl>
            <c:dLbl>
              <c:idx val="6"/>
              <c:delete val="1"/>
              <c:extLst>
                <c:ext uri="{CE6537A1-D6FC-4f65-9D91-7224C49458BB}"/>
                <c:ext uri="{C3380CC4-5D6E-409C-BE32-E72D297353CC}">
                  <c16:uniqueId xmlns:c16="http://schemas.microsoft.com/office/drawing/2014/chart" val="{00000006-B226-437B-914F-103FE1D75C99}"/>
                </c:ext>
              </c:extLst>
            </c:dLbl>
            <c:dLbl>
              <c:idx val="7"/>
              <c:delete val="1"/>
              <c:extLst>
                <c:ext uri="{CE6537A1-D6FC-4f65-9D91-7224C49458BB}"/>
                <c:ext uri="{C3380CC4-5D6E-409C-BE32-E72D297353CC}">
                  <c16:uniqueId xmlns:c16="http://schemas.microsoft.com/office/drawing/2014/chart" val="{00000007-B226-437B-914F-103FE1D75C99}"/>
                </c:ext>
              </c:extLst>
            </c:dLbl>
            <c:dLbl>
              <c:idx val="8"/>
              <c:delete val="1"/>
              <c:extLst>
                <c:ext uri="{CE6537A1-D6FC-4f65-9D91-7224C49458BB}"/>
                <c:ext uri="{C3380CC4-5D6E-409C-BE32-E72D297353CC}">
                  <c16:uniqueId xmlns:c16="http://schemas.microsoft.com/office/drawing/2014/chart" val="{00000008-B226-437B-914F-103FE1D75C99}"/>
                </c:ext>
              </c:extLst>
            </c:dLbl>
            <c:dLbl>
              <c:idx val="9"/>
              <c:delete val="1"/>
              <c:extLst>
                <c:ext uri="{CE6537A1-D6FC-4f65-9D91-7224C49458BB}"/>
                <c:ext uri="{C3380CC4-5D6E-409C-BE32-E72D297353CC}">
                  <c16:uniqueId xmlns:c16="http://schemas.microsoft.com/office/drawing/2014/chart" val="{00000009-B226-437B-914F-103FE1D75C99}"/>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B226-437B-914F-103FE1D75C99}"/>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B226-437B-914F-103FE1D75C99}"/>
                </c:ext>
              </c:extLst>
            </c:dLbl>
            <c:dLbl>
              <c:idx val="1"/>
              <c:delete val="1"/>
              <c:extLst>
                <c:ext uri="{CE6537A1-D6FC-4f65-9D91-7224C49458BB}"/>
                <c:ext uri="{C3380CC4-5D6E-409C-BE32-E72D297353CC}">
                  <c16:uniqueId xmlns:c16="http://schemas.microsoft.com/office/drawing/2014/chart" val="{0000000C-B226-437B-914F-103FE1D75C99}"/>
                </c:ext>
              </c:extLst>
            </c:dLbl>
            <c:dLbl>
              <c:idx val="2"/>
              <c:delete val="1"/>
              <c:extLst>
                <c:ext uri="{CE6537A1-D6FC-4f65-9D91-7224C49458BB}"/>
                <c:ext uri="{C3380CC4-5D6E-409C-BE32-E72D297353CC}">
                  <c16:uniqueId xmlns:c16="http://schemas.microsoft.com/office/drawing/2014/chart" val="{0000000D-B226-437B-914F-103FE1D75C99}"/>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B226-437B-914F-103FE1D75C99}"/>
                </c:ext>
              </c:extLst>
            </c:dLbl>
            <c:dLbl>
              <c:idx val="4"/>
              <c:delete val="1"/>
              <c:extLst>
                <c:ext uri="{CE6537A1-D6FC-4f65-9D91-7224C49458BB}"/>
                <c:ext uri="{C3380CC4-5D6E-409C-BE32-E72D297353CC}">
                  <c16:uniqueId xmlns:c16="http://schemas.microsoft.com/office/drawing/2014/chart" val="{0000000F-B226-437B-914F-103FE1D75C99}"/>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B226-437B-914F-103FE1D75C99}"/>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B226-437B-914F-103FE1D75C99}"/>
                </c:ext>
              </c:extLst>
            </c:dLbl>
            <c:dLbl>
              <c:idx val="7"/>
              <c:delete val="1"/>
              <c:extLst>
                <c:ext uri="{CE6537A1-D6FC-4f65-9D91-7224C49458BB}"/>
                <c:ext uri="{C3380CC4-5D6E-409C-BE32-E72D297353CC}">
                  <c16:uniqueId xmlns:c16="http://schemas.microsoft.com/office/drawing/2014/chart" val="{00000012-B226-437B-914F-103FE1D75C99}"/>
                </c:ext>
              </c:extLst>
            </c:dLbl>
            <c:dLbl>
              <c:idx val="8"/>
              <c:delete val="1"/>
              <c:extLst>
                <c:ext uri="{CE6537A1-D6FC-4f65-9D91-7224C49458BB}"/>
                <c:ext uri="{C3380CC4-5D6E-409C-BE32-E72D297353CC}">
                  <c16:uniqueId xmlns:c16="http://schemas.microsoft.com/office/drawing/2014/chart" val="{00000013-B226-437B-914F-103FE1D75C99}"/>
                </c:ext>
              </c:extLst>
            </c:dLbl>
            <c:dLbl>
              <c:idx val="9"/>
              <c:delete val="1"/>
              <c:extLst>
                <c:ext uri="{CE6537A1-D6FC-4f65-9D91-7224C49458BB}"/>
                <c:ext uri="{C3380CC4-5D6E-409C-BE32-E72D297353CC}">
                  <c16:uniqueId xmlns:c16="http://schemas.microsoft.com/office/drawing/2014/chart" val="{00000014-B226-437B-914F-103FE1D75C99}"/>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B226-437B-914F-103FE1D75C99}"/>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B226-437B-914F-103FE1D75C99}"/>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4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488F-428E-A63B-FD6A90C4D092}"/>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488F-428E-A63B-FD6A90C4D092}"/>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488F-428E-A63B-FD6A90C4D092}"/>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488F-428E-A63B-FD6A90C4D092}"/>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488F-428E-A63B-FD6A90C4D092}"/>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488F-428E-A63B-FD6A90C4D092}"/>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488F-428E-A63B-FD6A90C4D092}"/>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488F-428E-A63B-FD6A90C4D092}"/>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488F-428E-A63B-FD6A90C4D092}"/>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488F-428E-A63B-FD6A90C4D092}"/>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488F-428E-A63B-FD6A90C4D092}"/>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58E6-40C5-90D6-21C53AC9A9F0}"/>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AC78-45FA-828F-F2776F22ECDF}"/>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AC78-45FA-828F-F2776F22ECDF}"/>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AC78-45FA-828F-F2776F22ECDF}"/>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AC78-45FA-828F-F2776F22ECDF}"/>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AC78-45FA-828F-F2776F22ECDF}"/>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AC78-45FA-828F-F2776F22ECDF}"/>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AC78-45FA-828F-F2776F22ECDF}"/>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AC78-45FA-828F-F2776F22ECDF}"/>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AC78-45FA-828F-F2776F22ECDF}"/>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AC78-45FA-828F-F2776F22ECDF}"/>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AC78-45FA-828F-F2776F22ECDF}"/>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AC78-45FA-828F-F2776F22ECDF}"/>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AC78-45FA-828F-F2776F22ECDF}"/>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D-AC78-45FA-828F-F2776F22ECDF}"/>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AC78-45FA-828F-F2776F22ECDF}"/>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F-AC78-45FA-828F-F2776F22ECDF}"/>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AC78-45FA-828F-F2776F22ECDF}"/>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AC78-45FA-828F-F2776F22ECDF}"/>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0F83-4326-A162-75D5346A94EC}"/>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0F83-4326-A162-75D5346A94EC}"/>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C3C6-40FA-AC4C-75C053756E34}"/>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C3C6-40FA-AC4C-75C053756E34}"/>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C3C6-40FA-AC4C-75C053756E34}"/>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C3C6-40FA-AC4C-75C053756E34}"/>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C3C6-40FA-AC4C-75C053756E34}"/>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C3C6-40FA-AC4C-75C053756E34}"/>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C3C6-40FA-AC4C-75C053756E34}"/>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C3C6-40FA-AC4C-75C053756E34}"/>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C3C6-40FA-AC4C-75C053756E34}"/>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5683-414A-B59B-26194C16E987}"/>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5683-414A-B59B-26194C16E987}"/>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5683-414A-B59B-26194C16E987}"/>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5683-414A-B59B-26194C16E987}"/>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5683-414A-B59B-26194C16E987}"/>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5683-414A-B59B-26194C16E987}"/>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5683-414A-B59B-26194C16E987}"/>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5683-414A-B59B-26194C16E987}"/>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5683-414A-B59B-26194C16E987}"/>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5683-414A-B59B-26194C16E987}"/>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5683-414A-B59B-26194C16E987}"/>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9102-44A0-9B3B-1D473327F6AB}"/>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9102-44A0-9B3B-1D473327F6AB}"/>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9102-44A0-9B3B-1D473327F6AB}"/>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9102-44A0-9B3B-1D473327F6AB}"/>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9102-44A0-9B3B-1D473327F6AB}"/>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9102-44A0-9B3B-1D473327F6AB}"/>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9102-44A0-9B3B-1D473327F6AB}"/>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9102-44A0-9B3B-1D473327F6AB}"/>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9102-44A0-9B3B-1D473327F6AB}"/>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9102-44A0-9B3B-1D473327F6AB}"/>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9102-44A0-9B3B-1D473327F6AB}"/>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FF6D-4833-9585-3C61D2144F62}"/>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FF6D-4833-9585-3C61D2144F62}"/>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6334-42A9-A3DB-3FD085E40F8B}"/>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6334-42A9-A3DB-3FD085E40F8B}"/>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6334-42A9-A3DB-3FD085E40F8B}"/>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6334-42A9-A3DB-3FD085E40F8B}"/>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6334-42A9-A3DB-3FD085E40F8B}"/>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6334-42A9-A3DB-3FD085E40F8B}"/>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6334-42A9-A3DB-3FD085E40F8B}"/>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6334-42A9-A3DB-3FD085E40F8B}"/>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6334-42A9-A3DB-3FD085E40F8B}"/>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6334-42A9-A3DB-3FD085E40F8B}"/>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6334-42A9-A3DB-3FD085E40F8B}"/>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6334-42A9-A3DB-3FD085E40F8B}"/>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6334-42A9-A3DB-3FD085E40F8B}"/>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6334-42A9-A3DB-3FD085E40F8B}"/>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6334-42A9-A3DB-3FD085E40F8B}"/>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D89F-4EDD-B3AF-FBD028C517BB}"/>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D89F-4EDD-B3AF-FBD028C517BB}"/>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layout/>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5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6FD3-4540-ACCC-CDC2FA9B5E01}"/>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6FD3-4540-ACCC-CDC2FA9B5E01}"/>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6FD3-4540-ACCC-CDC2FA9B5E01}"/>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6FD3-4540-ACCC-CDC2FA9B5E01}"/>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5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2B72-4AF3-BCA7-77E28895F975}"/>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2B72-4AF3-BCA7-77E28895F975}"/>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2B72-4AF3-BCA7-77E28895F975}"/>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2B72-4AF3-BCA7-77E28895F975}"/>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2B72-4AF3-BCA7-77E28895F975}"/>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2B72-4AF3-BCA7-77E28895F975}"/>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2B72-4AF3-BCA7-77E28895F975}"/>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7-2B72-4AF3-BCA7-77E28895F975}"/>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2B72-4AF3-BCA7-77E28895F975}"/>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2B72-4AF3-BCA7-77E28895F975}"/>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2B72-4AF3-BCA7-77E28895F975}"/>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2B72-4AF3-BCA7-77E28895F975}"/>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2B72-4AF3-BCA7-77E28895F975}"/>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D-2B72-4AF3-BCA7-77E28895F975}"/>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E-2B72-4AF3-BCA7-77E28895F975}"/>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F-2B72-4AF3-BCA7-77E28895F975}"/>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0-2B72-4AF3-BCA7-77E28895F975}"/>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1-2B72-4AF3-BCA7-77E28895F975}"/>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2-2B72-4AF3-BCA7-77E28895F975}"/>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2B72-4AF3-BCA7-77E28895F975}"/>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4-2B72-4AF3-BCA7-77E28895F975}"/>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5-2B72-4AF3-BCA7-77E28895F975}"/>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6-2B72-4AF3-BCA7-77E28895F975}"/>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7-2B72-4AF3-BCA7-77E28895F975}"/>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8-2B72-4AF3-BCA7-77E28895F975}"/>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9-2B72-4AF3-BCA7-77E28895F975}"/>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A-2B72-4AF3-BCA7-77E28895F975}"/>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B-2B72-4AF3-BCA7-77E28895F975}"/>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C-2B72-4AF3-BCA7-77E28895F975}"/>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2B72-4AF3-BCA7-77E28895F975}"/>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E-2B72-4AF3-BCA7-77E28895F975}"/>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F-2B72-4AF3-BCA7-77E28895F975}"/>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0-2B72-4AF3-BCA7-77E28895F975}"/>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1-2B72-4AF3-BCA7-77E28895F975}"/>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2-2B72-4AF3-BCA7-77E28895F975}"/>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3-2B72-4AF3-BCA7-77E28895F975}"/>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4-2B72-4AF3-BCA7-77E28895F975}"/>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5-2B72-4AF3-BCA7-77E28895F975}"/>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6-2B72-4AF3-BCA7-77E28895F975}"/>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2B72-4AF3-BCA7-77E28895F975}"/>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8-2B72-4AF3-BCA7-77E28895F975}"/>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9-2B72-4AF3-BCA7-77E28895F975}"/>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A-2B72-4AF3-BCA7-77E28895F975}"/>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B-2B72-4AF3-BCA7-77E28895F975}"/>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C-2B72-4AF3-BCA7-77E28895F975}"/>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D-2B72-4AF3-BCA7-77E28895F975}"/>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E-2B72-4AF3-BCA7-77E28895F975}"/>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F-2B72-4AF3-BCA7-77E28895F975}"/>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30-2B72-4AF3-BCA7-77E28895F975}"/>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2B72-4AF3-BCA7-77E28895F975}"/>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5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62FC-4B49-8A2B-2C4F99EA9BD1}"/>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62FC-4B49-8A2B-2C4F99EA9BD1}"/>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62FC-4B49-8A2B-2C4F99EA9BD1}"/>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62FC-4B49-8A2B-2C4F99EA9BD1}"/>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62FC-4B49-8A2B-2C4F99EA9BD1}"/>
                </c:ext>
              </c:extLst>
            </c:dLbl>
            <c:dLbl>
              <c:idx val="5"/>
              <c:delete val="1"/>
              <c:extLst>
                <c:ext uri="{CE6537A1-D6FC-4f65-9D91-7224C49458BB}"/>
                <c:ext uri="{C3380CC4-5D6E-409C-BE32-E72D297353CC}">
                  <c16:uniqueId xmlns:c16="http://schemas.microsoft.com/office/drawing/2014/chart" val="{00000005-62FC-4B49-8A2B-2C4F99EA9BD1}"/>
                </c:ext>
              </c:extLst>
            </c:dLbl>
            <c:dLbl>
              <c:idx val="6"/>
              <c:delete val="1"/>
              <c:extLst>
                <c:ext uri="{CE6537A1-D6FC-4f65-9D91-7224C49458BB}"/>
                <c:ext uri="{C3380CC4-5D6E-409C-BE32-E72D297353CC}">
                  <c16:uniqueId xmlns:c16="http://schemas.microsoft.com/office/drawing/2014/chart" val="{00000006-62FC-4B49-8A2B-2C4F99EA9BD1}"/>
                </c:ext>
              </c:extLst>
            </c:dLbl>
            <c:dLbl>
              <c:idx val="7"/>
              <c:delete val="1"/>
              <c:extLst>
                <c:ext uri="{CE6537A1-D6FC-4f65-9D91-7224C49458BB}"/>
                <c:ext uri="{C3380CC4-5D6E-409C-BE32-E72D297353CC}">
                  <c16:uniqueId xmlns:c16="http://schemas.microsoft.com/office/drawing/2014/chart" val="{00000007-62FC-4B49-8A2B-2C4F99EA9BD1}"/>
                </c:ext>
              </c:extLst>
            </c:dLbl>
            <c:dLbl>
              <c:idx val="8"/>
              <c:delete val="1"/>
              <c:extLst>
                <c:ext uri="{CE6537A1-D6FC-4f65-9D91-7224C49458BB}"/>
                <c:ext uri="{C3380CC4-5D6E-409C-BE32-E72D297353CC}">
                  <c16:uniqueId xmlns:c16="http://schemas.microsoft.com/office/drawing/2014/chart" val="{00000008-62FC-4B49-8A2B-2C4F99EA9BD1}"/>
                </c:ext>
              </c:extLst>
            </c:dLbl>
            <c:dLbl>
              <c:idx val="9"/>
              <c:delete val="1"/>
              <c:extLst>
                <c:ext uri="{CE6537A1-D6FC-4f65-9D91-7224C49458BB}"/>
                <c:ext uri="{C3380CC4-5D6E-409C-BE32-E72D297353CC}">
                  <c16:uniqueId xmlns:c16="http://schemas.microsoft.com/office/drawing/2014/chart" val="{00000009-62FC-4B49-8A2B-2C4F99EA9BD1}"/>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62FC-4B49-8A2B-2C4F99EA9BD1}"/>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62FC-4B49-8A2B-2C4F99EA9BD1}"/>
                </c:ext>
              </c:extLst>
            </c:dLbl>
            <c:dLbl>
              <c:idx val="1"/>
              <c:delete val="1"/>
              <c:extLst>
                <c:ext uri="{CE6537A1-D6FC-4f65-9D91-7224C49458BB}"/>
                <c:ext uri="{C3380CC4-5D6E-409C-BE32-E72D297353CC}">
                  <c16:uniqueId xmlns:c16="http://schemas.microsoft.com/office/drawing/2014/chart" val="{0000000C-62FC-4B49-8A2B-2C4F99EA9BD1}"/>
                </c:ext>
              </c:extLst>
            </c:dLbl>
            <c:dLbl>
              <c:idx val="2"/>
              <c:delete val="1"/>
              <c:extLst>
                <c:ext uri="{CE6537A1-D6FC-4f65-9D91-7224C49458BB}"/>
                <c:ext uri="{C3380CC4-5D6E-409C-BE32-E72D297353CC}">
                  <c16:uniqueId xmlns:c16="http://schemas.microsoft.com/office/drawing/2014/chart" val="{0000000D-62FC-4B49-8A2B-2C4F99EA9BD1}"/>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62FC-4B49-8A2B-2C4F99EA9BD1}"/>
                </c:ext>
              </c:extLst>
            </c:dLbl>
            <c:dLbl>
              <c:idx val="4"/>
              <c:delete val="1"/>
              <c:extLst>
                <c:ext uri="{CE6537A1-D6FC-4f65-9D91-7224C49458BB}"/>
                <c:ext uri="{C3380CC4-5D6E-409C-BE32-E72D297353CC}">
                  <c16:uniqueId xmlns:c16="http://schemas.microsoft.com/office/drawing/2014/chart" val="{0000000F-62FC-4B49-8A2B-2C4F99EA9BD1}"/>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62FC-4B49-8A2B-2C4F99EA9BD1}"/>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62FC-4B49-8A2B-2C4F99EA9BD1}"/>
                </c:ext>
              </c:extLst>
            </c:dLbl>
            <c:dLbl>
              <c:idx val="7"/>
              <c:delete val="1"/>
              <c:extLst>
                <c:ext uri="{CE6537A1-D6FC-4f65-9D91-7224C49458BB}"/>
                <c:ext uri="{C3380CC4-5D6E-409C-BE32-E72D297353CC}">
                  <c16:uniqueId xmlns:c16="http://schemas.microsoft.com/office/drawing/2014/chart" val="{00000012-62FC-4B49-8A2B-2C4F99EA9BD1}"/>
                </c:ext>
              </c:extLst>
            </c:dLbl>
            <c:dLbl>
              <c:idx val="8"/>
              <c:delete val="1"/>
              <c:extLst>
                <c:ext uri="{CE6537A1-D6FC-4f65-9D91-7224C49458BB}"/>
                <c:ext uri="{C3380CC4-5D6E-409C-BE32-E72D297353CC}">
                  <c16:uniqueId xmlns:c16="http://schemas.microsoft.com/office/drawing/2014/chart" val="{00000013-62FC-4B49-8A2B-2C4F99EA9BD1}"/>
                </c:ext>
              </c:extLst>
            </c:dLbl>
            <c:dLbl>
              <c:idx val="9"/>
              <c:delete val="1"/>
              <c:extLst>
                <c:ext uri="{CE6537A1-D6FC-4f65-9D91-7224C49458BB}"/>
                <c:ext uri="{C3380CC4-5D6E-409C-BE32-E72D297353CC}">
                  <c16:uniqueId xmlns:c16="http://schemas.microsoft.com/office/drawing/2014/chart" val="{00000014-62FC-4B49-8A2B-2C4F99EA9BD1}"/>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62FC-4B49-8A2B-2C4F99EA9BD1}"/>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62FC-4B49-8A2B-2C4F99EA9BD1}"/>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5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F5B2-4587-A5E4-CD7AA02503D2}"/>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F5B2-4587-A5E4-CD7AA02503D2}"/>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F5B2-4587-A5E4-CD7AA02503D2}"/>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F5B2-4587-A5E4-CD7AA02503D2}"/>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F5B2-4587-A5E4-CD7AA02503D2}"/>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F5B2-4587-A5E4-CD7AA02503D2}"/>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F5B2-4587-A5E4-CD7AA02503D2}"/>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F5B2-4587-A5E4-CD7AA02503D2}"/>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F5B2-4587-A5E4-CD7AA02503D2}"/>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F5B2-4587-A5E4-CD7AA02503D2}"/>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F5B2-4587-A5E4-CD7AA02503D2}"/>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A3CF-4BE6-A498-7712D0D1633C}"/>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A3CF-4BE6-A498-7712D0D1633C}"/>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A3CF-4BE6-A498-7712D0D1633C}"/>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A3CF-4BE6-A498-7712D0D1633C}"/>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A3CF-4BE6-A498-7712D0D1633C}"/>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A3CF-4BE6-A498-7712D0D1633C}"/>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A3CF-4BE6-A498-7712D0D1633C}"/>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A3CF-4BE6-A498-7712D0D1633C}"/>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A3CF-4BE6-A498-7712D0D1633C}"/>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A3CF-4BE6-A498-7712D0D1633C}"/>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A3CF-4BE6-A498-7712D0D1633C}"/>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A3CF-4BE6-A498-7712D0D1633C}"/>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A3CF-4BE6-A498-7712D0D1633C}"/>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A3CF-4BE6-A498-7712D0D1633C}"/>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A3CF-4BE6-A498-7712D0D1633C}"/>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6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3D67-4D27-9DFE-B66F1BD88C52}"/>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7818-42A1-AFE0-A3737C1D2A32}"/>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7818-42A1-AFE0-A3737C1D2A32}"/>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layout/>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8CC2-4D88-AEBA-CD838DB998F3}"/>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8CC2-4D88-AEBA-CD838DB998F3}"/>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8CC2-4D88-AEBA-CD838DB998F3}"/>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8CC2-4D88-AEBA-CD838DB998F3}"/>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9F12-437C-B67A-E0149CB6E286}"/>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9F12-437C-B67A-E0149CB6E286}"/>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9F12-437C-B67A-E0149CB6E286}"/>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9F12-437C-B67A-E0149CB6E286}"/>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9F12-437C-B67A-E0149CB6E286}"/>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9F12-437C-B67A-E0149CB6E286}"/>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9F12-437C-B67A-E0149CB6E286}"/>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9F12-437C-B67A-E0149CB6E286}"/>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9F12-437C-B67A-E0149CB6E286}"/>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9F12-437C-B67A-E0149CB6E286}"/>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9F12-437C-B67A-E0149CB6E286}"/>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9F12-437C-B67A-E0149CB6E286}"/>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9F12-437C-B67A-E0149CB6E286}"/>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D-9F12-437C-B67A-E0149CB6E286}"/>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9F12-437C-B67A-E0149CB6E286}"/>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F-9F12-437C-B67A-E0149CB6E286}"/>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9F12-437C-B67A-E0149CB6E286}"/>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9F12-437C-B67A-E0149CB6E286}"/>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2-9F12-437C-B67A-E0149CB6E286}"/>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9F12-437C-B67A-E0149CB6E286}"/>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4-9F12-437C-B67A-E0149CB6E286}"/>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5-9F12-437C-B67A-E0149CB6E286}"/>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6-9F12-437C-B67A-E0149CB6E286}"/>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7-9F12-437C-B67A-E0149CB6E286}"/>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8-9F12-437C-B67A-E0149CB6E286}"/>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9-9F12-437C-B67A-E0149CB6E286}"/>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A-9F12-437C-B67A-E0149CB6E286}"/>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B-9F12-437C-B67A-E0149CB6E286}"/>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C-9F12-437C-B67A-E0149CB6E286}"/>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9F12-437C-B67A-E0149CB6E286}"/>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E-9F12-437C-B67A-E0149CB6E286}"/>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F-9F12-437C-B67A-E0149CB6E286}"/>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0-9F12-437C-B67A-E0149CB6E286}"/>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1-9F12-437C-B67A-E0149CB6E286}"/>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2-9F12-437C-B67A-E0149CB6E286}"/>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3-9F12-437C-B67A-E0149CB6E286}"/>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4-9F12-437C-B67A-E0149CB6E286}"/>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5-9F12-437C-B67A-E0149CB6E286}"/>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6-9F12-437C-B67A-E0149CB6E286}"/>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9F12-437C-B67A-E0149CB6E286}"/>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8-9F12-437C-B67A-E0149CB6E286}"/>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9-9F12-437C-B67A-E0149CB6E286}"/>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A-9F12-437C-B67A-E0149CB6E286}"/>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B-9F12-437C-B67A-E0149CB6E286}"/>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C-9F12-437C-B67A-E0149CB6E286}"/>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D-9F12-437C-B67A-E0149CB6E286}"/>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E-9F12-437C-B67A-E0149CB6E286}"/>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F-9F12-437C-B67A-E0149CB6E286}"/>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30-9F12-437C-B67A-E0149CB6E286}"/>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9F12-437C-B67A-E0149CB6E286}"/>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71b5fc8f252479a8ba6f7b54befe277" PartId="d0b4a9b76b95446cb1ac1b09d428037c">
    <Part Type="preambule" DocPartId="7bef239c1f0549c3ada7d6b0c622c9d6" PartId="6137284f9627421eace717f9d23e20c6"/>
    <Part Type="pastraipa" DocPartId="7e6ca69e6e9843c8a86e10b2bd3d610b" PartId="17cfbe0472d1442c91a084d23cf430db"/>
    <Part Type="signatura" DocPartId="18ff90b4e4534e0c8c9bde07f65126aa" PartId="40b03603aaa1467fbd306f770a00f4bb"/>
  </Part>
  <Part Type="forma" Nr="1" Abbr="1 frm." Title="ALYTAUS RAJONO SAVIVALDYBĖS 2022–2024 METŲ STRATEGINIS VEIKLOS PLANAS" DocPartId="8956cc5913664696a90d2355564c8e62" PartId="da43e705ed8a451e9d28fdcca7f9cd8f"/>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5D87B2B-94D9-44A0-9ABA-39F2B23044CE}">
  <ds:schemaRefs>
    <ds:schemaRef ds:uri="http://lrs.lt/TAIS/DocParts"/>
  </ds:schemaRefs>
</ds:datastoreItem>
</file>

<file path=customXml/itemProps3.xml><?xml version="1.0" encoding="utf-8"?>
<ds:datastoreItem xmlns:ds="http://schemas.openxmlformats.org/officeDocument/2006/customXml" ds:itemID="{99237088-743D-4D66-A258-6861E7CBFB4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97</Pages>
  <Words>38656</Words>
  <Characters>278803</Characters>
  <Application>Microsoft Office Word</Application>
  <DocSecurity>0</DocSecurity>
  <Lines>2323</Lines>
  <Paragraphs>633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Savivaldybe</Company>
  <LinksUpToDate>false</LinksUpToDate>
  <CharactersWithSpaces>316826</CharactersWithSpaces>
  <SharedDoc>false</SharedDoc>
  <HyperlinkBase/>
  <HLinks>
    <vt:vector xmlns:vt="http://schemas.openxmlformats.org/officeDocument/2006/docPropsVTypes" size="60" baseType="variant">
      <vt:variant>
        <vt:i4>6488111</vt:i4>
      </vt:variant>
      <vt:variant>
        <vt:i4>45</vt:i4>
      </vt:variant>
      <vt:variant>
        <vt:i4>0</vt:i4>
      </vt:variant>
      <vt:variant>
        <vt:i4>5</vt:i4>
      </vt:variant>
      <vt:variant>
        <vt:lpwstr>http://www.arsa.lt/</vt:lpwstr>
      </vt:variant>
      <vt:variant>
        <vt:lpwstr/>
      </vt:variant>
      <vt:variant>
        <vt:i4>4259852</vt:i4>
      </vt:variant>
      <vt:variant>
        <vt:i4>36</vt:i4>
      </vt:variant>
      <vt:variant>
        <vt:i4>0</vt:i4>
      </vt:variant>
      <vt:variant>
        <vt:i4>5</vt:i4>
      </vt:variant>
      <vt:variant>
        <vt:lpwstr>http://www.delfi.lt/verslas/verslas/n-maciulis-kada-nedarbo-lygis-lietuvoje-sumazes-iki-5-procentu.d?id=64007668</vt:lpwstr>
      </vt:variant>
      <vt:variant>
        <vt:lpwstr>ixzz3I66BgG7B</vt:lpwstr>
      </vt:variant>
      <vt:variant>
        <vt:i4>5767181</vt:i4>
      </vt:variant>
      <vt:variant>
        <vt:i4>33</vt:i4>
      </vt:variant>
      <vt:variant>
        <vt:i4>0</vt:i4>
      </vt:variant>
      <vt:variant>
        <vt:i4>5</vt:i4>
      </vt:variant>
      <vt:variant>
        <vt:lpwstr>http://www.delfi.lt/temos/nt</vt:lpwstr>
      </vt:variant>
      <vt:variant>
        <vt:lpwstr/>
      </vt:variant>
      <vt:variant>
        <vt:i4>5439585</vt:i4>
      </vt:variant>
      <vt:variant>
        <vt:i4>18</vt:i4>
      </vt:variant>
      <vt:variant>
        <vt:i4>0</vt:i4>
      </vt:variant>
      <vt:variant>
        <vt:i4>5</vt:i4>
      </vt:variant>
      <vt:variant>
        <vt:lpwstr>https://www.lb.lt/makroekonomines_prognozes</vt:lpwstr>
      </vt:variant>
      <vt:variant>
        <vt:lpwstr/>
      </vt:variant>
      <vt:variant>
        <vt:i4>589836</vt:i4>
      </vt:variant>
      <vt:variant>
        <vt:i4>15</vt:i4>
      </vt:variant>
      <vt:variant>
        <vt:i4>0</vt:i4>
      </vt:variant>
      <vt:variant>
        <vt:i4>5</vt:i4>
      </vt:variant>
      <vt:variant>
        <vt:lpwstr>http://www.esinvesticijos.lt/lt/dokumentai/2014-2020-metu-europos-sajungos-fondu-investiciju-veiksmu-programa</vt:lpwstr>
      </vt:variant>
      <vt:variant>
        <vt:lpwstr/>
      </vt:variant>
      <vt:variant>
        <vt:i4>4587534</vt:i4>
      </vt:variant>
      <vt:variant>
        <vt:i4>12</vt:i4>
      </vt:variant>
      <vt:variant>
        <vt:i4>0</vt:i4>
      </vt:variant>
      <vt:variant>
        <vt:i4>5</vt:i4>
      </vt:variant>
      <vt:variant>
        <vt:lpwstr>http://www.esinvesticijos.lt/lt/dokumentai/lietuvos-respublikos-partnerystes-sutartis</vt:lpwstr>
      </vt:variant>
      <vt:variant>
        <vt:lpwstr/>
      </vt:variant>
      <vt:variant>
        <vt:i4>4718619</vt:i4>
      </vt:variant>
      <vt:variant>
        <vt:i4>9</vt:i4>
      </vt:variant>
      <vt:variant>
        <vt:i4>0</vt:i4>
      </vt:variant>
      <vt:variant>
        <vt:i4>5</vt:i4>
      </vt:variant>
      <vt:variant>
        <vt:lpwstr>http://eur-lex.europa.eu/legal-content/LT/TXT/PDF/?uri=CELEX:32013R1304&amp;qid=1427871129501&amp;from=EN</vt:lpwstr>
      </vt:variant>
      <vt:variant>
        <vt:lpwstr/>
      </vt:variant>
      <vt:variant>
        <vt:i4>4128822</vt:i4>
      </vt:variant>
      <vt:variant>
        <vt:i4>6</vt:i4>
      </vt:variant>
      <vt:variant>
        <vt:i4>0</vt:i4>
      </vt:variant>
      <vt:variant>
        <vt:i4>5</vt:i4>
      </vt:variant>
      <vt:variant>
        <vt:lpwstr>http://eur-lex.europa.eu/legal-content/LT/TXT/PDF/?uri=CELEX:32013R1300&amp;from=LT</vt:lpwstr>
      </vt:variant>
      <vt:variant>
        <vt:lpwstr/>
      </vt:variant>
      <vt:variant>
        <vt:i4>4325496</vt:i4>
      </vt:variant>
      <vt:variant>
        <vt:i4>3</vt:i4>
      </vt:variant>
      <vt:variant>
        <vt:i4>0</vt:i4>
      </vt:variant>
      <vt:variant>
        <vt:i4>5</vt:i4>
      </vt:variant>
      <vt:variant>
        <vt:lpwstr>http://www.esinvesticijos.lt/uploads/documents/files/20111018_general_proposal_en.pdf</vt:lpwstr>
      </vt:variant>
      <vt:variant>
        <vt:lpwstr/>
      </vt:variant>
      <vt:variant>
        <vt:i4>4325496</vt:i4>
      </vt:variant>
      <vt:variant>
        <vt:i4>0</vt:i4>
      </vt:variant>
      <vt:variant>
        <vt:i4>0</vt:i4>
      </vt:variant>
      <vt:variant>
        <vt:i4>5</vt:i4>
      </vt:variant>
      <vt:variant>
        <vt:lpwstr>http://www.esinvesticijos.lt/uploads/documents/files/20111018_general_proposal_en.pdf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Robertas Zubrus</dc:creator>
  <lastModifiedBy>DZIKAITĖ Jolanta</lastModifiedBy>
  <lastPrinted>2021-12-16T09:35:00Z</lastPrinted>
  <dcterms:modified xsi:type="dcterms:W3CDTF">2023-01-04T08:39:00Z</dcterms:modified>
  <revision>8</revision>
</coreProperties>
</file>