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d58170c02fc41aaae9895449c2b64e1"/>
        <w:lock w:val="sdtLocked"/>
        <w:richText/>
      </w:sdtPr>
      <w:sdtContent>
        <w:p>
          <w:pPr>
            <w:jc w:val="both"/>
            <w:rPr>
              <w:rFonts w:ascii="Times New Roman" w:hAnsi="Times New Roman"/>
            </w:rPr>
          </w:pPr>
          <w:r>
            <w:rPr>
              <w:rFonts w:ascii="Times New Roman" w:hAnsi="Times New Roman"/>
              <w:b/>
              <w:i/>
            </w:rPr>
            <w:t>Suvestinė redakcija nuo 2026-05-01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2015-07-02, i. k. 2015-10613</w:t>
          </w:r>
        </w:p>
        <w:p>
          <w:pPr>
            <w:jc w:val="both"/>
            <w:rPr>
              <w:rFonts w:ascii="Times New Roman" w:hAnsi="Times New Roman"/>
              <w:sz w:val="20"/>
            </w:rPr>
          </w:pPr>
        </w:p>
        <w:p>
          <w:pPr>
            <w:tabs>
              <w:tab w:val="center" w:pos="4153"/>
              <w:tab w:val="right" w:pos="8306"/>
            </w:tabs>
            <w:jc w:val="center"/>
            <w:rPr>
              <w:lang w:eastAsia="lt-LT"/>
            </w:rPr>
          </w:pPr>
        </w:p>
        <w:p>
          <w:pPr>
            <w:jc w:val="center"/>
            <w:rPr>
              <w:lang w:eastAsia="lt-LT"/>
            </w:rPr>
          </w:pPr>
        </w:p>
        <w:p>
          <w:pPr>
            <w:jc w:val="center"/>
            <w:rPr>
              <w:lang w:eastAsia="lt-LT"/>
            </w:rPr>
          </w:pPr>
          <w:r>
            <w:rPr>
              <w:lang w:eastAsia="lt-LT"/>
            </w:rPr>
            <w:drawing>
              <wp:inline distT="0" distB="0" distL="0" distR="0">
                <wp:extent cx="542925" cy="44767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447675"/>
                        </a:xfrm>
                        <a:prstGeom prst="rect">
                          <a:avLst/>
                        </a:prstGeom>
                        <a:noFill/>
                        <a:ln>
                          <a:noFill/>
                        </a:ln>
                      </pic:spPr>
                    </pic:pic>
                  </a:graphicData>
                </a:graphic>
              </wp:inline>
            </w:drawing>
          </w:r>
        </w:p>
        <w:p>
          <w:pPr>
            <w:jc w:val="cente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sdt>
          <w:sdtPr>
            <w:alias w:val="Pavadinimas"/>
            <w:tag w:val="title_9d58170c02fc41aaae9895449c2b64e1"/>
            <w:lock w:val="sdtLocked"/>
            <w:richText/>
          </w:sdtPr>
          <w:sdtContent>
            <w:p>
              <w:pPr>
                <w:tabs>
                  <w:tab w:val="left" w:pos="-284"/>
                </w:tabs>
                <w:jc w:val="center"/>
                <w:rPr>
                  <w:b/>
                  <w:caps/>
                  <w:lang w:eastAsia="lt-LT"/>
                </w:rPr>
              </w:pPr>
              <w:r>
                <w:rPr>
                  <w:b/>
                  <w:caps/>
                  <w:lang w:eastAsia="lt-LT"/>
                </w:rPr>
                <w:t xml:space="preserve">DĖL GAZOLIŲ, SKIRTŲ NAUDOTI ŽEMĖS ŪKIO VEIKLOS SUBJEKTAMS ŽEMĖS ŪKIO PRODUKTŲ GAMYBAI, ĮSIGIJIMO TAISYKLIŲ PATVIRTINIMO </w:t>
              </w:r>
            </w:p>
          </w:sdtContent>
        </w:sdt>
        <w:p>
          <w:pPr>
            <w:tabs>
              <w:tab w:val="left" w:pos="-426"/>
            </w:tabs>
            <w:jc w:val="center"/>
            <w:rPr>
              <w:lang w:eastAsia="lt-LT"/>
            </w:rPr>
          </w:pPr>
        </w:p>
        <w:p>
          <w:pPr>
            <w:tabs>
              <w:tab w:val="left" w:pos="6804"/>
            </w:tabs>
            <w:jc w:val="center"/>
            <w:rPr>
              <w:lang w:eastAsia="lt-LT"/>
            </w:rPr>
          </w:pPr>
          <w:r>
            <w:rPr>
              <w:lang w:eastAsia="lt-LT"/>
            </w:rPr>
            <w:t>2015 m. birželio 26 d.</w:t>
          </w:r>
          <w:r>
            <w:rPr>
              <w:color w:val="000000"/>
              <w:lang w:eastAsia="ar-SA"/>
            </w:rPr>
            <w:t xml:space="preserve"> Nr. </w:t>
          </w:r>
          <w:r>
            <w:rPr>
              <w:lang w:eastAsia="lt-LT"/>
            </w:rPr>
            <w:t>667</w:t>
          </w:r>
        </w:p>
        <w:p>
          <w:pPr>
            <w:tabs>
              <w:tab w:val="left" w:pos="6804"/>
            </w:tabs>
            <w:jc w:val="center"/>
            <w:rPr>
              <w:color w:val="000000"/>
              <w:lang w:eastAsia="ar-SA"/>
            </w:rPr>
          </w:pPr>
          <w:r>
            <w:rPr>
              <w:color w:val="000000"/>
              <w:lang w:eastAsia="ar-SA"/>
            </w:rPr>
            <w:t>Vilnius</w:t>
          </w:r>
        </w:p>
        <w:p>
          <w:pPr>
            <w:tabs>
              <w:tab w:val="left" w:pos="-284"/>
            </w:tabs>
            <w:jc w:val="center"/>
            <w:rPr>
              <w:color w:val="000000"/>
              <w:lang w:eastAsia="lt-LT"/>
            </w:rPr>
          </w:pPr>
        </w:p>
        <w:p>
          <w:pPr>
            <w:tabs>
              <w:tab w:val="left" w:pos="-284"/>
            </w:tabs>
            <w:jc w:val="center"/>
            <w:rPr>
              <w:color w:val="000000"/>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56e040ef6d11e58deaaf0783ebf65b">
            <w:r w:rsidRPr="00532B9F">
              <w:rPr>
                <w:rFonts w:ascii="Times New Roman" w:eastAsia="MS Mincho" w:hAnsi="Times New Roman"/>
                <w:sz w:val="20"/>
                <w:i/>
                <w:iCs/>
                <w:color w:val="0000FF" w:themeColor="hyperlink"/>
                <w:u w:val="single"/>
              </w:rPr>
              <w:t>260</w:t>
            </w:r>
          </w:fldSimple>
          <w:r>
            <w:rPr>
              <w:rFonts w:ascii="Times New Roman" w:eastAsia="MS Mincho" w:hAnsi="Times New Roman"/>
              <w:sz w:val="20"/>
              <w:i/>
              <w:iCs/>
            </w:rPr>
            <w:t>,
2016-03-18,
paskelbta TAR 2016-03-21, i. k. 2016-05483        </w:t>
          </w:r>
        </w:p>
        <w:p/>
        <w:sdt>
          <w:sdtPr>
            <w:alias w:val="preambule"/>
            <w:tag w:val="part_3c49ca6fca974ffb96a2ed84ddbb60c4"/>
            <w:lock w:val="sdtLocked"/>
            <w:richText/>
          </w:sdtPr>
          <w:sdtContent>
            <w:p>
              <w:pPr>
                <w:tabs>
                  <w:tab w:val="left" w:pos="993"/>
                </w:tabs>
                <w:ind w:firstLine="720"/>
                <w:jc w:val="both"/>
              </w:pPr>
              <w:r>
                <w:rPr>
                  <w:szCs w:val="24"/>
                  <w:lang w:eastAsia="lt-LT"/>
                </w:rPr>
                <w:t>Vadovaudamasi Lietuvos Respublikos akcizų įstatymo 37 straipsnio 3 ir 4</w:t>
              </w:r>
              <w:r>
                <w:rPr>
                  <w:b/>
                  <w:bCs/>
                  <w:szCs w:val="24"/>
                  <w:lang w:eastAsia="lt-LT"/>
                </w:rPr>
                <w:t xml:space="preserve"> </w:t>
              </w:r>
              <w:r>
                <w:rPr>
                  <w:szCs w:val="24"/>
                  <w:lang w:eastAsia="lt-LT"/>
                </w:rPr>
                <w:t>dalimis ir 2014 m. birželio 17 d. Komisijos reglamento (ES) Nr. 651/2014, kuriuo tam tikrų kategorijų pagalba skelbiama suderinama su vidaus rinka taikant Sutarties 107 ir 108 straipsnius, su paskutiniais pakeitimais, padarytais 2023 m. birželio 23 d. Komisijos reglamentu (ES) 2023/1315, I skyriumi ir 44 straipsniu, Lietuvos Respublikos Vyriausybė n u t a r i 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788c70f61911ed9978886e85107ab2">
                <w:r w:rsidRPr="00532B9F">
                  <w:rPr>
                    <w:rFonts w:ascii="Times New Roman" w:eastAsia="MS Mincho" w:hAnsi="Times New Roman"/>
                    <w:sz w:val="20"/>
                    <w:i/>
                    <w:iCs/>
                    <w:color w:val="0000FF" w:themeColor="hyperlink"/>
                    <w:u w:val="single"/>
                  </w:rPr>
                  <w:t>374</w:t>
                </w:r>
              </w:fldSimple>
              <w:r>
                <w:rPr>
                  <w:rFonts w:ascii="Times New Roman" w:eastAsia="MS Mincho" w:hAnsi="Times New Roman"/>
                  <w:sz w:val="20"/>
                  <w:i/>
                  <w:iCs/>
                </w:rPr>
                <w:t>,
2023-05-17,
paskelbta TAR 2023-05-19, i. k. 2023-09469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9ad140402011efbdaea558de59136c">
                <w:r w:rsidRPr="00532B9F">
                  <w:rPr>
                    <w:rFonts w:ascii="Times New Roman" w:eastAsia="MS Mincho" w:hAnsi="Times New Roman"/>
                    <w:sz w:val="20"/>
                    <w:i/>
                    <w:iCs/>
                    <w:color w:val="0000FF" w:themeColor="hyperlink"/>
                    <w:u w:val="single"/>
                  </w:rPr>
                  <w:t>576</w:t>
                </w:r>
              </w:fldSimple>
              <w:r>
                <w:rPr>
                  <w:rFonts w:ascii="Times New Roman" w:eastAsia="MS Mincho" w:hAnsi="Times New Roman"/>
                  <w:sz w:val="20"/>
                  <w:i/>
                  <w:iCs/>
                </w:rPr>
                <w:t>,
2024-07-10,
paskelbta TAR 2024-07-12, i. k. 2024-12972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519182ef9011ef8bf78f8ccc0e0474">
                <w:r w:rsidRPr="00532B9F">
                  <w:rPr>
                    <w:rFonts w:ascii="Times New Roman" w:eastAsia="MS Mincho" w:hAnsi="Times New Roman"/>
                    <w:sz w:val="20"/>
                    <w:i/>
                    <w:iCs/>
                    <w:color w:val="0000FF" w:themeColor="hyperlink"/>
                    <w:u w:val="single"/>
                  </w:rPr>
                  <w:t>86</w:t>
                </w:r>
              </w:fldSimple>
              <w:r>
                <w:rPr>
                  <w:rFonts w:ascii="Times New Roman" w:eastAsia="MS Mincho" w:hAnsi="Times New Roman"/>
                  <w:sz w:val="20"/>
                  <w:i/>
                  <w:iCs/>
                </w:rPr>
                <w:t>,
2025-02-19,
paskelbta TAR 2025-02-20, i. k. 2025-02728            </w:t>
              </w:r>
            </w:p>
            <w:p/>
          </w:sdtContent>
        </w:sdt>
        <w:sdt>
          <w:sdtPr>
            <w:alias w:val="1 p."/>
            <w:tag w:val="part_3ccc51e2237f44efa71d4bcd68f5dddc"/>
            <w:lock w:val="sdtLocked"/>
            <w:richText/>
          </w:sdtPr>
          <w:sdtContent>
            <w:p>
              <w:pPr>
                <w:tabs>
                  <w:tab w:val="left" w:pos="1296"/>
                  <w:tab w:val="center" w:pos="4153"/>
                  <w:tab w:val="right" w:pos="8306"/>
                </w:tabs>
                <w:ind w:firstLine="720"/>
                <w:jc w:val="both"/>
                <w:rPr>
                  <w:bCs/>
                  <w:szCs w:val="24"/>
                  <w:highlight w:val="yellow"/>
                </w:rPr>
              </w:pPr>
              <w:sdt>
                <w:sdtPr>
                  <w:alias w:val="Numeris"/>
                  <w:tag w:val="nr_3ccc51e2237f44efa71d4bcd68f5dddc"/>
                  <w:lock w:val="sdtLocked"/>
                  <w:richText/>
                </w:sdtPr>
                <w:sdtContent>
                  <w:r>
                    <w:rPr>
                      <w:szCs w:val="24"/>
                      <w:lang w:eastAsia="lt-LT"/>
                    </w:rPr>
                    <w:t>1</w:t>
                  </w:r>
                </w:sdtContent>
              </w:sdt>
              <w:r>
                <w:rPr>
                  <w:szCs w:val="24"/>
                  <w:lang w:eastAsia="lt-LT"/>
                </w:rPr>
                <w:t xml:space="preserve">. Patvirtinti </w:t>
              </w:r>
              <w:r>
                <w:rPr>
                  <w:lang w:eastAsia="lt-LT"/>
                </w:rPr>
                <w:t>Gazolių, skirtų naudoti žemės ūkio veiklos subjektams žemės ūkio produktų gamybai</w:t>
              </w:r>
              <w:r>
                <w:rPr>
                  <w:bCs/>
                  <w:szCs w:val="24"/>
                  <w:lang w:eastAsia="lt-LT"/>
                </w:rPr>
                <w:t xml:space="preserve">, įsigijimo taisykles </w:t>
              </w:r>
              <w:r>
                <w:rPr>
                  <w:szCs w:val="24"/>
                  <w:lang w:eastAsia="lt-LT"/>
                </w:rPr>
                <w:t>(pridedama).</w:t>
              </w:r>
            </w:p>
          </w:sdtContent>
        </w:sdt>
        <w:sdt>
          <w:sdtPr>
            <w:alias w:val="2 p."/>
            <w:tag w:val="part_db62be9a4abe450680a020b694f4e5f8"/>
            <w:lock w:val="sdtLocked"/>
            <w:richText/>
          </w:sdtPr>
          <w:sdtContent>
            <w:p>
              <w:pPr>
                <w:ind w:firstLine="720"/>
                <w:jc w:val="both"/>
                <w:rPr>
                  <w:szCs w:val="24"/>
                  <w:lang w:eastAsia="lt-LT"/>
                </w:rPr>
              </w:pPr>
              <w:sdt>
                <w:sdtPr>
                  <w:alias w:val="Numeris"/>
                  <w:tag w:val="nr_db62be9a4abe450680a020b694f4e5f8"/>
                  <w:lock w:val="sdtLocked"/>
                  <w:richText/>
                </w:sdtPr>
                <w:sdtContent>
                  <w:r>
                    <w:rPr>
                      <w:szCs w:val="24"/>
                      <w:lang w:eastAsia="lt-LT"/>
                    </w:rPr>
                    <w:t>2</w:t>
                  </w:r>
                </w:sdtContent>
              </w:sdt>
              <w:r>
                <w:rPr>
                  <w:szCs w:val="24"/>
                  <w:lang w:eastAsia="lt-LT"/>
                </w:rPr>
                <w:t>. Nustatyti, kad gazoliai, skirti naudoti žemės ūkio veiklos subjektams žemės ūkio produktų gamybai, turi būti pažymėti laikantis energetikos ministro patvirtintos jų žymėjimo tvarkos.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56e040ef6d11e58deaaf0783ebf65b">
                <w:r w:rsidRPr="00532B9F">
                  <w:rPr>
                    <w:rFonts w:ascii="Times New Roman" w:eastAsia="MS Mincho" w:hAnsi="Times New Roman"/>
                    <w:sz w:val="20"/>
                    <w:i/>
                    <w:iCs/>
                    <w:color w:val="0000FF" w:themeColor="hyperlink"/>
                    <w:u w:val="single"/>
                  </w:rPr>
                  <w:t>260</w:t>
                </w:r>
              </w:fldSimple>
              <w:r>
                <w:rPr>
                  <w:rFonts w:ascii="Times New Roman" w:eastAsia="MS Mincho" w:hAnsi="Times New Roman"/>
                  <w:sz w:val="20"/>
                  <w:i/>
                  <w:iCs/>
                </w:rPr>
                <w:t>,
2016-03-18,
paskelbta TAR 2016-03-21, i. k. 2016-05483            </w:t>
              </w:r>
            </w:p>
            <w:p/>
          </w:sdtContent>
        </w:sdt>
        <w:sdt>
          <w:sdtPr>
            <w:alias w:val="3 p."/>
            <w:tag w:val="part_19118385f3e94d49bd63ea593fead536"/>
            <w:lock w:val="sdtLocked"/>
            <w:richText/>
          </w:sdtPr>
          <w:sdtContent>
            <w:p>
              <w:pPr>
                <w:ind w:firstLine="720"/>
                <w:jc w:val="both"/>
                <w:rPr>
                  <w:color w:val="000000"/>
                  <w:lang w:eastAsia="lt-LT"/>
                </w:rPr>
              </w:pPr>
              <w:sdt>
                <w:sdtPr>
                  <w:alias w:val="Numeris"/>
                  <w:tag w:val="nr_19118385f3e94d49bd63ea593fead536"/>
                  <w:lock w:val="sdtLocked"/>
                  <w:richText/>
                </w:sdtPr>
                <w:sdtContent>
                  <w:r>
                    <w:rPr>
                      <w:bCs/>
                      <w:szCs w:val="24"/>
                      <w:lang w:eastAsia="lt-LT"/>
                    </w:rPr>
                    <w:t>3</w:t>
                  </w:r>
                </w:sdtContent>
              </w:sdt>
              <w:r>
                <w:rPr>
                  <w:bCs/>
                  <w:szCs w:val="24"/>
                  <w:lang w:eastAsia="lt-LT"/>
                </w:rPr>
                <w:t>. Pripažinti netekusiu galios Lietuvos Respublikos Vyriausybės 2003 m. vasario 3 d. nutarimą Nr. 145 „Dėl Atleistų nuo akcizų dyzelinių degalų, skirtų naudoti žemės ūkyje, taip pat tvenkinių ir kitų vidaus vandenų žuvininkystėje, įsigijimo taisyklių patvirtinimo“ su visais pakeitimais ir papildymais.</w:t>
              </w:r>
            </w:p>
          </w:sdtContent>
        </w:sdt>
        <w:sdt>
          <w:sdtPr>
            <w:alias w:val="signatura"/>
            <w:tag w:val="part_c93c7e4dbd6e4b05817f9f25d5a54fef"/>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Algirdas Butkevičius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3686"/>
                  <w:tab w:val="left" w:pos="6237"/>
                  <w:tab w:val="right" w:pos="8306"/>
                </w:tabs>
                <w:rPr>
                  <w:lang w:eastAsia="lt-LT"/>
                </w:rPr>
              </w:pPr>
              <w:r>
                <w:rPr>
                  <w:szCs w:val="24"/>
                  <w:lang w:eastAsia="lt-LT"/>
                </w:rPr>
                <w:t>Finansų ministras</w:t>
              </w:r>
              <w:r>
                <w:rPr>
                  <w:lang w:eastAsia="lt-LT"/>
                </w:rPr>
                <w:tab/>
                <w:t>Rimantas Šadžius</w:t>
              </w:r>
            </w:p>
          </w:sdtContent>
        </w:sdt>
      </w:sdtContent>
    </w:sdt>
    <w:sdt>
      <w:sdtPr>
        <w:alias w:val="patvirtinta"/>
        <w:tag w:val="part_8c5980ccd46d4a9fa8309b9c9d3f57a0"/>
        <w:lock w:val="sdtLocked"/>
        <w:richText/>
      </w:sdtPr>
      <w:sdtContent>
        <w:p>
          <w:pPr>
            <w:ind w:left="4320" w:firstLine="567"/>
            <w:jc w:val="both"/>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pPr>
        </w:p>
        <w:p>
          <w:pPr>
            <w:ind w:left="4320" w:firstLine="567"/>
            <w:jc w:val="both"/>
            <w:rPr>
              <w:lang w:eastAsia="lt-LT"/>
            </w:rPr>
          </w:pPr>
          <w:r>
            <w:rPr>
              <w:lang w:eastAsia="lt-LT"/>
            </w:rPr>
            <w:t>PATVIRTINTA</w:t>
          </w:r>
        </w:p>
        <w:p>
          <w:pPr>
            <w:ind w:left="4320" w:firstLine="567"/>
            <w:jc w:val="both"/>
            <w:rPr>
              <w:lang w:eastAsia="lt-LT"/>
            </w:rPr>
          </w:pPr>
          <w:r>
            <w:rPr>
              <w:lang w:eastAsia="lt-LT"/>
            </w:rPr>
            <w:t>Lietuvos Respublikos Vyriausybės</w:t>
          </w:r>
        </w:p>
        <w:p>
          <w:pPr>
            <w:ind w:left="4320" w:firstLine="567"/>
            <w:jc w:val="both"/>
            <w:rPr>
              <w:szCs w:val="24"/>
              <w:lang w:eastAsia="lt-LT"/>
            </w:rPr>
          </w:pPr>
          <w:r>
            <w:rPr>
              <w:szCs w:val="24"/>
              <w:lang w:eastAsia="lt-LT"/>
            </w:rPr>
            <w:t>2015 m. birželio 26 d. nutarimu Nr. 667</w:t>
          </w:r>
        </w:p>
        <w:p>
          <w:pPr>
            <w:ind w:left="4887"/>
            <w:rPr>
              <w:color w:val="000000"/>
              <w:szCs w:val="24"/>
              <w:lang w:eastAsia="lt-LT"/>
            </w:rPr>
          </w:pPr>
          <w:r>
            <w:rPr>
              <w:szCs w:val="24"/>
              <w:lang w:eastAsia="lt-LT"/>
            </w:rPr>
            <w:t>(</w:t>
          </w:r>
          <w:r>
            <w:rPr>
              <w:color w:val="000000"/>
              <w:szCs w:val="24"/>
              <w:lang w:eastAsia="lt-LT"/>
            </w:rPr>
            <w:t>Lietuvos Respublikos Vyriausybės</w:t>
          </w:r>
        </w:p>
        <w:p>
          <w:pPr>
            <w:ind w:left="4887"/>
            <w:rPr>
              <w:color w:val="000000"/>
              <w:szCs w:val="24"/>
              <w:lang w:eastAsia="lt-LT"/>
            </w:rPr>
          </w:pPr>
          <w:r>
            <w:rPr>
              <w:color w:val="000000"/>
              <w:szCs w:val="24"/>
              <w:lang w:eastAsia="lt-LT"/>
            </w:rPr>
            <w:t>2024 m. liepos 10 d. nutarimo Nr. 576</w:t>
          </w:r>
        </w:p>
        <w:p>
          <w:pPr>
            <w:ind w:left="4887"/>
            <w:rPr>
              <w:color w:val="000000"/>
              <w:szCs w:val="24"/>
              <w:lang w:eastAsia="lt-LT"/>
            </w:rPr>
          </w:pPr>
          <w:r>
            <w:rPr>
              <w:color w:val="000000"/>
              <w:szCs w:val="24"/>
              <w:lang w:eastAsia="lt-LT"/>
            </w:rPr>
            <w:t>redakcija)</w:t>
          </w:r>
        </w:p>
        <w:p>
          <w:pPr>
            <w:ind w:firstLine="567"/>
            <w:jc w:val="center"/>
            <w:rPr>
              <w:lang w:eastAsia="lt-LT"/>
            </w:rPr>
          </w:pPr>
        </w:p>
        <w:p>
          <w:pPr>
            <w:ind w:firstLine="567"/>
            <w:jc w:val="center"/>
            <w:rPr>
              <w:lang w:eastAsia="lt-LT"/>
            </w:rPr>
          </w:pPr>
        </w:p>
        <w:p>
          <w:pPr>
            <w:jc w:val="center"/>
            <w:rPr>
              <w:szCs w:val="24"/>
              <w:lang w:eastAsia="lt-LT"/>
            </w:rPr>
          </w:pPr>
          <w:sdt>
            <w:sdtPr>
              <w:alias w:val="Pavadinimas"/>
              <w:tag w:val="title_8c5980ccd46d4a9fa8309b9c9d3f57a0"/>
              <w:lock w:val="sdtLocked"/>
              <w:richText/>
            </w:sdtPr>
            <w:sdtContent>
              <w:r>
                <w:rPr>
                  <w:b/>
                  <w:szCs w:val="24"/>
                  <w:lang w:eastAsia="lt-LT"/>
                </w:rPr>
                <w:t xml:space="preserve">GAZOLIŲ, SKIRTŲ NAUDOTI ŽEMĖS ŪKIO VEIKLOS SUBJEKTAMS ŽEMĖS ŪKIO PRODUKTŲ GAMYBAI, </w:t>
              </w:r>
              <w:r>
                <w:rPr>
                  <w:b/>
                  <w:bCs/>
                  <w:szCs w:val="24"/>
                  <w:lang w:eastAsia="lt-LT"/>
                </w:rPr>
                <w:t>ĮSIGIJIMO TAISYKLĖS</w:t>
              </w:r>
            </w:sdtContent>
          </w:sdt>
        </w:p>
        <w:p>
          <w:pPr>
            <w:jc w:val="center"/>
            <w:rPr>
              <w:sz w:val="8"/>
              <w:szCs w:val="8"/>
            </w:rPr>
          </w:pPr>
        </w:p>
        <w:sdt>
          <w:sdtPr>
            <w:alias w:val="skyrius"/>
            <w:tag w:val="part_1f657ac540fb48d787cbe9cb31e2ec2a"/>
            <w:lock w:val="sdtLocked"/>
            <w:richText/>
          </w:sdtPr>
          <w:sdtContent>
            <w:p>
              <w:pPr>
                <w:jc w:val="center"/>
                <w:rPr>
                  <w:szCs w:val="24"/>
                  <w:lang w:eastAsia="lt-LT"/>
                </w:rPr>
              </w:pPr>
              <w:sdt>
                <w:sdtPr>
                  <w:alias w:val="Numeris"/>
                  <w:tag w:val="nr_1f657ac540fb48d787cbe9cb31e2ec2a"/>
                  <w:lock w:val="sdtLocked"/>
                  <w:richText/>
                </w:sdtPr>
                <w:sdtContent>
                  <w:r>
                    <w:rPr>
                      <w:b/>
                      <w:szCs w:val="24"/>
                      <w:lang w:eastAsia="lt-LT"/>
                    </w:rPr>
                    <w:t>I</w:t>
                  </w:r>
                </w:sdtContent>
              </w:sdt>
              <w:r>
                <w:rPr>
                  <w:b/>
                  <w:szCs w:val="24"/>
                  <w:lang w:eastAsia="lt-LT"/>
                </w:rPr>
                <w:t xml:space="preserve"> SKYRIUS</w:t>
              </w:r>
            </w:p>
            <w:p>
              <w:pPr>
                <w:jc w:val="center"/>
                <w:rPr>
                  <w:szCs w:val="24"/>
                  <w:lang w:eastAsia="lt-LT"/>
                </w:rPr>
              </w:pPr>
              <w:sdt>
                <w:sdtPr>
                  <w:alias w:val="Pavadinimas"/>
                  <w:tag w:val="title_1f657ac540fb48d787cbe9cb31e2ec2a"/>
                  <w:lock w:val="sdtLocked"/>
                  <w:richText/>
                </w:sdtPr>
                <w:sdtContent>
                  <w:r>
                    <w:rPr>
                      <w:b/>
                      <w:szCs w:val="24"/>
                      <w:lang w:eastAsia="lt-LT"/>
                    </w:rPr>
                    <w:t>BENDROSIOS NUOSTATOS</w:t>
                  </w:r>
                </w:sdtContent>
              </w:sdt>
            </w:p>
            <w:p>
              <w:pPr>
                <w:rPr>
                  <w:sz w:val="8"/>
                  <w:szCs w:val="8"/>
                </w:rPr>
              </w:pPr>
            </w:p>
            <w:sdt>
              <w:sdtPr>
                <w:alias w:val="1 p."/>
                <w:tag w:val="part_d9294f5e847142aaac4eddc4cf2030a8"/>
                <w:lock w:val="sdtLocked"/>
                <w:richText/>
              </w:sdtPr>
              <w:sdtContent>
                <w:p>
                  <w:pPr>
                    <w:tabs>
                      <w:tab w:val="left" w:pos="709"/>
                    </w:tabs>
                    <w:ind w:firstLine="720"/>
                    <w:jc w:val="both"/>
                    <w:rPr>
                      <w:szCs w:val="24"/>
                      <w:lang w:eastAsia="lt-LT"/>
                    </w:rPr>
                  </w:pPr>
                  <w:sdt>
                    <w:sdtPr>
                      <w:alias w:val="Numeris"/>
                      <w:tag w:val="nr_d9294f5e847142aaac4eddc4cf2030a8"/>
                      <w:lock w:val="sdtLocked"/>
                      <w:richText/>
                    </w:sdtPr>
                    <w:sdtContent>
                      <w:r>
                        <w:rPr>
                          <w:rFonts w:eastAsia="Calibri"/>
                          <w:szCs w:val="24"/>
                          <w:lang w:eastAsia="lt-LT"/>
                        </w:rPr>
                        <w:t>1</w:t>
                      </w:r>
                    </w:sdtContent>
                  </w:sdt>
                  <w:r>
                    <w:rPr>
                      <w:rFonts w:eastAsia="Calibri"/>
                      <w:szCs w:val="24"/>
                      <w:lang w:eastAsia="lt-LT"/>
                    </w:rPr>
                    <w:t xml:space="preserve">. </w:t>
                  </w:r>
                  <w:r>
                    <w:rPr>
                      <w:color w:val="000000"/>
                      <w:lang w:eastAsia="lt-LT"/>
                    </w:rPr>
                    <w:t xml:space="preserve">Gazolių, skirtų naudoti žemės ūkio veiklos subjektams žemės ūkio produktų gamybai, įsigijimo taisyklės (toliau – Taisyklės) nustato valstybės pagalbos teikimo žemės ūkio veiklos subjektams, išskyrus akvakultūros ir </w:t>
                  </w:r>
                  <w:r>
                    <w:rPr>
                      <w:lang w:eastAsia="lt-LT"/>
                    </w:rPr>
                    <w:t>verslinės žvejybos vidaus vandenyse</w:t>
                  </w:r>
                  <w:r>
                    <w:rPr>
                      <w:color w:val="000000"/>
                      <w:lang w:eastAsia="lt-LT"/>
                    </w:rPr>
                    <w:t xml:space="preserve"> veiklą vykdančius ūkio subjektus (toliau – žemės ūkio veiklos subjektai), lengvatinėmis sąlygomis įsigyjant gazolius, skirtus naudoti žemės ūkio veiklos subjektams žemės ūkio produktų gamybai (toliau – gazoliai, skirti naudoti žemės ūkio produktų gamybai), tvarką</w:t>
                  </w:r>
                  <w:r>
                    <w:rPr>
                      <w:lang w:eastAsia="lt-LT"/>
                    </w:rPr>
                    <w:t>.</w:t>
                  </w:r>
                </w:p>
              </w:sdtContent>
            </w:sdt>
            <w:sdt>
              <w:sdtPr>
                <w:alias w:val="2 p."/>
                <w:tag w:val="part_78fe64d1920c44ca8a45ddc03a108c3b"/>
                <w:lock w:val="sdtLocked"/>
                <w:richText/>
              </w:sdtPr>
              <w:sdtContent>
                <w:p>
                  <w:pPr>
                    <w:tabs>
                      <w:tab w:val="left" w:pos="709"/>
                    </w:tabs>
                    <w:ind w:firstLine="720"/>
                    <w:jc w:val="both"/>
                    <w:rPr>
                      <w:szCs w:val="24"/>
                      <w:lang w:eastAsia="lt-LT"/>
                    </w:rPr>
                  </w:pPr>
                  <w:sdt>
                    <w:sdtPr>
                      <w:alias w:val="Numeris"/>
                      <w:tag w:val="nr_78fe64d1920c44ca8a45ddc03a108c3b"/>
                      <w:lock w:val="sdtLocked"/>
                      <w:richText/>
                    </w:sdtPr>
                    <w:sdtContent>
                      <w:r>
                        <w:rPr>
                          <w:rFonts w:eastAsia="Calibri"/>
                          <w:szCs w:val="24"/>
                          <w:lang w:eastAsia="lt-LT"/>
                        </w:rPr>
                        <w:t>2</w:t>
                      </w:r>
                    </w:sdtContent>
                  </w:sdt>
                  <w:r>
                    <w:rPr>
                      <w:rFonts w:eastAsia="Calibri"/>
                      <w:szCs w:val="24"/>
                      <w:lang w:eastAsia="lt-LT"/>
                    </w:rPr>
                    <w:t xml:space="preserve">. </w:t>
                  </w:r>
                  <w:r>
                    <w:rPr>
                      <w:lang w:eastAsia="lt-LT"/>
                    </w:rPr>
                    <w:t>Taisyklėse ūkiniais metais vadinamas laikotarpis nuo einamųjų metų liepos 1 d. iki kitų metų birželio 30 dienos.</w:t>
                  </w:r>
                </w:p>
              </w:sdtContent>
            </w:sdt>
            <w:sdt>
              <w:sdtPr>
                <w:alias w:val="3 p."/>
                <w:tag w:val="part_8a1093904a8b46ac8e237d95f886938d"/>
                <w:lock w:val="sdtLocked"/>
                <w:richText/>
              </w:sdtPr>
              <w:sdtContent>
                <w:p>
                  <w:pPr>
                    <w:ind w:firstLine="720"/>
                    <w:jc w:val="both"/>
                    <w:rPr>
                      <w:color w:val="000000"/>
                      <w:lang w:eastAsia="lt-LT"/>
                    </w:rPr>
                  </w:pPr>
                  <w:sdt>
                    <w:sdtPr>
                      <w:alias w:val="Numeris"/>
                      <w:tag w:val="nr_8a1093904a8b46ac8e237d95f886938d"/>
                      <w:lock w:val="sdtLocked"/>
                      <w:richText/>
                    </w:sdtPr>
                    <w:sdtContent>
                      <w:r>
                        <w:rPr>
                          <w:color w:val="000000"/>
                          <w:lang w:eastAsia="lt-LT"/>
                        </w:rPr>
                        <w:t>3</w:t>
                      </w:r>
                    </w:sdtContent>
                  </w:sdt>
                  <w:r>
                    <w:rPr>
                      <w:color w:val="000000"/>
                      <w:lang w:eastAsia="lt-LT"/>
                    </w:rPr>
                    <w:t>. Taisyklėse vartojamos sąvokos:</w:t>
                  </w:r>
                </w:p>
                <w:sdt>
                  <w:sdtPr>
                    <w:alias w:val="3.1 pp."/>
                    <w:tag w:val="part_145ad5924c5341549a5622c4e501f817"/>
                    <w:lock w:val="sdtLocked"/>
                    <w:richText/>
                  </w:sdtPr>
                  <w:sdtContent>
                    <w:p>
                      <w:pPr>
                        <w:ind w:firstLine="720"/>
                        <w:jc w:val="both"/>
                        <w:rPr>
                          <w:color w:val="000000"/>
                          <w:lang w:eastAsia="lt-LT"/>
                        </w:rPr>
                      </w:pPr>
                      <w:sdt>
                        <w:sdtPr>
                          <w:alias w:val="Numeris"/>
                          <w:tag w:val="nr_145ad5924c5341549a5622c4e501f817"/>
                          <w:lock w:val="sdtLocked"/>
                          <w:richText/>
                        </w:sdtPr>
                        <w:sdtContent>
                          <w:r>
                            <w:rPr>
                              <w:color w:val="000000"/>
                              <w:lang w:eastAsia="lt-LT"/>
                            </w:rPr>
                            <w:t>3.1</w:t>
                          </w:r>
                        </w:sdtContent>
                      </w:sdt>
                      <w:r>
                        <w:rPr>
                          <w:color w:val="000000"/>
                          <w:lang w:eastAsia="lt-LT"/>
                        </w:rPr>
                        <w:t xml:space="preserve">. </w:t>
                      </w:r>
                      <w:r>
                        <w:rPr>
                          <w:b/>
                          <w:bCs/>
                          <w:color w:val="000000"/>
                          <w:lang w:eastAsia="lt-LT"/>
                        </w:rPr>
                        <w:t>Žemės ūkio valdos partneriai</w:t>
                      </w:r>
                      <w:r>
                        <w:rPr>
                          <w:color w:val="000000"/>
                          <w:lang w:eastAsia="lt-LT"/>
                        </w:rPr>
                        <w:t xml:space="preserve"> – žemės ūkio ir (ar) alternatyviąja veikla užsiimantys fiziniai ir (ar) juridiniai asmenys arba Lietuvoje registruoti užsienio juridinių asmenų filialai, kurie įstatymų nustatyta tvarka sudarę rašytinę jungtinės veiklos (partnerystės) sutartį naudoja vieną žemės ūkio valdą.</w:t>
                      </w:r>
                    </w:p>
                  </w:sdtContent>
                </w:sdt>
                <w:sdt>
                  <w:sdtPr>
                    <w:alias w:val="3.2 pp."/>
                    <w:tag w:val="part_8f904a2795504662a5bce8a0a5db1851"/>
                    <w:lock w:val="sdtLocked"/>
                    <w:richText/>
                  </w:sdtPr>
                  <w:sdtContent>
                    <w:p>
                      <w:pPr>
                        <w:ind w:firstLine="720"/>
                        <w:jc w:val="both"/>
                        <w:rPr>
                          <w:color w:val="000000"/>
                          <w:lang w:eastAsia="lt-LT"/>
                        </w:rPr>
                      </w:pPr>
                      <w:sdt>
                        <w:sdtPr>
                          <w:alias w:val="Numeris"/>
                          <w:tag w:val="nr_8f904a2795504662a5bce8a0a5db1851"/>
                          <w:lock w:val="sdtLocked"/>
                          <w:richText/>
                        </w:sdtPr>
                        <w:sdtContent>
                          <w:r>
                            <w:rPr>
                              <w:color w:val="000000"/>
                              <w:lang w:eastAsia="lt-LT"/>
                            </w:rPr>
                            <w:t>3.2</w:t>
                          </w:r>
                        </w:sdtContent>
                      </w:sdt>
                      <w:r>
                        <w:rPr>
                          <w:color w:val="000000"/>
                          <w:lang w:eastAsia="lt-LT"/>
                        </w:rPr>
                        <w:t xml:space="preserve">. </w:t>
                      </w:r>
                      <w:r>
                        <w:rPr>
                          <w:b/>
                          <w:bCs/>
                          <w:color w:val="000000"/>
                          <w:lang w:eastAsia="lt-LT"/>
                        </w:rPr>
                        <w:t>Žemės ūkio valdos valdytojas</w:t>
                      </w:r>
                      <w:r>
                        <w:rPr>
                          <w:color w:val="000000"/>
                          <w:lang w:eastAsia="lt-LT"/>
                        </w:rPr>
                        <w:t xml:space="preserve"> – žemės ūkio ir (ar) alternatyviąja veikla užsiimantis fizinis ar juridinis asmuo, nuosavybės, nuomos, panaudos teise ar kitais teisiniais pagrindais valdantis žemės ūkio valdą arba, jei žemės ūkio valdą naudoja keli žemės ūkio valdos partneriai,  jų rašytine tarpusavio sutartimi vadovauti jungtinei veiklai paskirtas žemės ūkio valdos partneris.</w:t>
                      </w:r>
                    </w:p>
                  </w:sdtContent>
                </w:sdt>
                <w:sdt>
                  <w:sdtPr>
                    <w:alias w:val="3.3 pp."/>
                    <w:tag w:val="part_601398abf696468192d44a1f36055822"/>
                    <w:lock w:val="sdtLocked"/>
                    <w:richText/>
                  </w:sdtPr>
                  <w:sdtContent>
                    <w:p>
                      <w:pPr>
                        <w:ind w:firstLine="720"/>
                        <w:jc w:val="both"/>
                        <w:rPr>
                          <w:szCs w:val="24"/>
                          <w:lang w:eastAsia="lt-LT"/>
                        </w:rPr>
                      </w:pPr>
                      <w:sdt>
                        <w:sdtPr>
                          <w:alias w:val="Numeris"/>
                          <w:tag w:val="nr_601398abf696468192d44a1f36055822"/>
                          <w:lock w:val="sdtLocked"/>
                          <w:richText/>
                        </w:sdtPr>
                        <w:sdtContent>
                          <w:r>
                            <w:rPr>
                              <w:color w:val="000000"/>
                              <w:lang w:eastAsia="lt-LT"/>
                            </w:rPr>
                            <w:t>3.3</w:t>
                          </w:r>
                        </w:sdtContent>
                      </w:sdt>
                      <w:r>
                        <w:rPr>
                          <w:color w:val="000000"/>
                          <w:lang w:eastAsia="lt-LT"/>
                        </w:rPr>
                        <w:t xml:space="preserve">. Kitos Taisyklėse vartojamos sąvokos suprantamos taip, kaip apibrėžiamos </w:t>
                      </w:r>
                      <w:r>
                        <w:rPr>
                          <w:color w:val="000000"/>
                          <w:spacing w:val="-2"/>
                          <w:lang w:eastAsia="lt-LT"/>
                        </w:rPr>
                        <w:t xml:space="preserve">2014 m. birželio 17 d. Komisijos </w:t>
                      </w:r>
                      <w:r>
                        <w:rPr>
                          <w:spacing w:val="-2"/>
                          <w:lang w:eastAsia="lt-LT"/>
                        </w:rPr>
                        <w:t>reglamente (ES) Nr. 651/2014, kuriuo tam tikrų kategorijų pagalba skelbiama suderinama su vidaus rinka taikant Sutarties 107 ir 108 straipsnius, su</w:t>
                      </w:r>
                      <w:r>
                        <w:rPr>
                          <w:lang w:eastAsia="lt-LT"/>
                        </w:rPr>
                        <w:t xml:space="preserve"> paskutiniais pakeitimais, padarytais 2023 m. birželio 23 d. Komisijos reglamentu (ES) 2023/1315, Lietuvos </w:t>
                      </w:r>
                      <w:r>
                        <w:rPr>
                          <w:color w:val="000000"/>
                          <w:lang w:eastAsia="lt-LT"/>
                        </w:rPr>
                        <w:t>Respublikos akcizų įstatyme, Lietuvos Respublikos žemės ūkio, maisto ūkio ir kaimo plėtros įstatyme ir Lietuvos Respublikos žuvininkystės įstatyme.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519182ef9011ef8bf78f8ccc0e0474">
                    <w:r w:rsidRPr="00532B9F">
                      <w:rPr>
                        <w:rFonts w:ascii="Times New Roman" w:eastAsia="MS Mincho" w:hAnsi="Times New Roman"/>
                        <w:sz w:val="20"/>
                        <w:i/>
                        <w:iCs/>
                        <w:color w:val="0000FF" w:themeColor="hyperlink"/>
                        <w:u w:val="single"/>
                      </w:rPr>
                      <w:t>86</w:t>
                    </w:r>
                  </w:fldSimple>
                  <w:r>
                    <w:rPr>
                      <w:rFonts w:ascii="Times New Roman" w:eastAsia="MS Mincho" w:hAnsi="Times New Roman"/>
                      <w:sz w:val="20"/>
                      <w:i/>
                      <w:iCs/>
                    </w:rPr>
                    <w:t>,
2025-02-19,
paskelbta TAR 2025-02-20, i. k. 2025-02728            </w:t>
                  </w:r>
                </w:p>
                <w:p/>
              </w:sdtContent>
            </w:sdt>
          </w:sdtContent>
        </w:sdt>
        <w:sdt>
          <w:sdtPr>
            <w:alias w:val="skyrius"/>
            <w:tag w:val="part_90d4c574ae224cffaa2009704f7057d7"/>
            <w:lock w:val="sdtLocked"/>
            <w:richText/>
          </w:sdtPr>
          <w:sdtContent>
            <w:p>
              <w:pPr>
                <w:jc w:val="center"/>
                <w:rPr>
                  <w:rFonts w:eastAsia="Calibri"/>
                  <w:b/>
                  <w:szCs w:val="24"/>
                  <w:lang w:eastAsia="lt-LT"/>
                </w:rPr>
              </w:pPr>
              <w:sdt>
                <w:sdtPr>
                  <w:alias w:val="Numeris"/>
                  <w:tag w:val="nr_90d4c574ae224cffaa2009704f7057d7"/>
                  <w:lock w:val="sdtLocked"/>
                  <w:richText/>
                </w:sdtPr>
                <w:sdtContent>
                  <w:r>
                    <w:rPr>
                      <w:rFonts w:eastAsia="Calibri"/>
                      <w:b/>
                      <w:szCs w:val="24"/>
                      <w:lang w:eastAsia="lt-LT"/>
                    </w:rPr>
                    <w:t>II</w:t>
                  </w:r>
                </w:sdtContent>
              </w:sdt>
              <w:r>
                <w:rPr>
                  <w:rFonts w:eastAsia="Calibri"/>
                  <w:b/>
                  <w:szCs w:val="24"/>
                  <w:lang w:eastAsia="lt-LT"/>
                </w:rPr>
                <w:t xml:space="preserve"> SKYRIUS</w:t>
              </w:r>
            </w:p>
            <w:p>
              <w:pPr>
                <w:jc w:val="center"/>
                <w:rPr>
                  <w:rFonts w:eastAsia="Calibri"/>
                  <w:b/>
                  <w:bCs/>
                  <w:lang w:eastAsia="lt-LT"/>
                </w:rPr>
              </w:pPr>
              <w:sdt>
                <w:sdtPr>
                  <w:alias w:val="Pavadinimas"/>
                  <w:tag w:val="title_90d4c574ae224cffaa2009704f7057d7"/>
                  <w:lock w:val="sdtLocked"/>
                  <w:richText/>
                </w:sdtPr>
                <w:sdtContent>
                  <w:r>
                    <w:rPr>
                      <w:rFonts w:eastAsia="Calibri"/>
                      <w:b/>
                      <w:bCs/>
                      <w:lang w:eastAsia="lt-LT"/>
                    </w:rPr>
                    <w:t>GAZOLIŲ, SKIRTŲ NAUDOTI ŽEMĖS ŪKIO PRODUKTŲ GAMYBAI, ĮSIGIJIMO SĄLYGOS IR NAUDOJIMO TVARKA</w:t>
                  </w:r>
                </w:sdtContent>
              </w:sdt>
            </w:p>
            <w:p>
              <w:pPr>
                <w:rPr>
                  <w:sz w:val="8"/>
                  <w:szCs w:val="8"/>
                </w:rPr>
              </w:pPr>
            </w:p>
            <w:sdt>
              <w:sdtPr>
                <w:alias w:val="4 p."/>
                <w:tag w:val="part_d2e3636504ea4d1aa96a841db726a97f"/>
                <w:lock w:val="sdtLocked"/>
                <w:richText/>
              </w:sdtPr>
              <w:sdtContent>
                <w:p>
                  <w:pPr>
                    <w:tabs>
                      <w:tab w:val="left" w:pos="1134"/>
                    </w:tabs>
                    <w:ind w:firstLine="720"/>
                    <w:jc w:val="both"/>
                    <w:rPr>
                      <w:szCs w:val="24"/>
                      <w:lang w:eastAsia="lt-LT"/>
                    </w:rPr>
                  </w:pPr>
                  <w:sdt>
                    <w:sdtPr>
                      <w:alias w:val="Numeris"/>
                      <w:tag w:val="nr_d2e3636504ea4d1aa96a841db726a97f"/>
                      <w:lock w:val="sdtLocked"/>
                      <w:richText/>
                    </w:sdtPr>
                    <w:sdtContent>
                      <w:r>
                        <w:rPr>
                          <w:szCs w:val="24"/>
                          <w:lang w:eastAsia="lt-LT"/>
                        </w:rPr>
                        <w:t>4</w:t>
                      </w:r>
                    </w:sdtContent>
                  </w:sdt>
                  <w:r>
                    <w:rPr>
                      <w:szCs w:val="24"/>
                      <w:lang w:eastAsia="lt-LT"/>
                    </w:rPr>
                    <w:t>. Žemės ūkio veiklos subjektai einamaisiais ūkiniais metais turi teisę įsigyti gazolių, skirtų naudoti žemės ūkio produktų gamybai, kiekį, apskaičiuojamą pagal Taisyklių priede nurodytus dydžius, sumuojant žemės ūkio valdos valdytojo ir žemės ūkio valdos partnerių deklaruotus ir (ar) pateiktus duomenis valstybės įmonei Žemės ūkio duomenų centrui (toliau – Centras):</w:t>
                  </w:r>
                </w:p>
                <w:sdt>
                  <w:sdtPr>
                    <w:alias w:val="4.1 pp."/>
                    <w:tag w:val="part_cba2b626afdc4752b31b41c248859279"/>
                    <w:lock w:val="sdtLocked"/>
                    <w:richText/>
                  </w:sdtPr>
                  <w:sdtContent>
                    <w:p>
                      <w:pPr>
                        <w:tabs>
                          <w:tab w:val="left" w:pos="1134"/>
                        </w:tabs>
                        <w:ind w:firstLine="720"/>
                        <w:jc w:val="both"/>
                        <w:rPr>
                          <w:szCs w:val="24"/>
                          <w:lang w:eastAsia="lt-LT"/>
                        </w:rPr>
                      </w:pPr>
                      <w:sdt>
                        <w:sdtPr>
                          <w:alias w:val="Numeris"/>
                          <w:tag w:val="nr_cba2b626afdc4752b31b41c248859279"/>
                          <w:lock w:val="sdtLocked"/>
                          <w:richText/>
                        </w:sdtPr>
                        <w:sdtContent>
                          <w:r>
                            <w:rPr>
                              <w:szCs w:val="24"/>
                              <w:lang w:eastAsia="lt-LT"/>
                            </w:rPr>
                            <w:t>4.1</w:t>
                          </w:r>
                        </w:sdtContent>
                      </w:sdt>
                      <w:r>
                        <w:rPr>
                          <w:szCs w:val="24"/>
                          <w:lang w:eastAsia="lt-LT"/>
                        </w:rPr>
                        <w:t xml:space="preserve">. einamaisiais ūkiniais metais nuosavybės, nuomos, panaudos teisės ar kitais pagrindais valdomą ir naudojamą deklaruotą žemės ūkio naudmenų plotą (ha), tinkamą tiesioginėms išmokoms gauti, pagal žemės ūkio augalų rūšis (pagal paramos už žemės ūkio naudmenų ir kitus plotus paraiškos, kurios formą nustato žemės ūkio ministras, duomenis). Pievų plotas, kurio vienam hektarui tenka 260 eurų parduotos produkcijos pajamų, priskiriamas prie pievų, skirtų prekinių žolinių pašarų produkcijos gamybai. Pievų plotas, kurį padengia žemės ūkio veiklos subjekto laikomų ūkinių gyvūnų sutartinių gyvulių (toliau – SG) skaičiumi santykiu 1 SG/1 ha, pievoms, skirtoms prekinių žolinių pašarų produkcijos gamybai, nepriskiriamas. Pievų plotai, skirti prekinių žolinių pašarų produkcijos gamybai, apskaičiuojami žemės ūkio ministro nustatyta tvarka; </w:t>
                      </w:r>
                    </w:p>
                  </w:sdtContent>
                </w:sdt>
                <w:sdt>
                  <w:sdtPr>
                    <w:alias w:val="4.2 pp."/>
                    <w:tag w:val="part_dcab12dd29c84fbd94f356d09d332ab5"/>
                    <w:lock w:val="sdtLocked"/>
                    <w:richText/>
                  </w:sdtPr>
                  <w:sdtContent>
                    <w:p>
                      <w:pPr>
                        <w:tabs>
                          <w:tab w:val="left" w:pos="1134"/>
                        </w:tabs>
                        <w:ind w:firstLine="720"/>
                        <w:jc w:val="both"/>
                        <w:rPr>
                          <w:szCs w:val="24"/>
                          <w:lang w:eastAsia="lt-LT"/>
                        </w:rPr>
                      </w:pPr>
                      <w:sdt>
                        <w:sdtPr>
                          <w:alias w:val="Numeris"/>
                          <w:tag w:val="nr_dcab12dd29c84fbd94f356d09d332ab5"/>
                          <w:lock w:val="sdtLocked"/>
                          <w:richText/>
                        </w:sdtPr>
                        <w:sdtContent>
                          <w:r>
                            <w:rPr>
                              <w:szCs w:val="24"/>
                              <w:lang w:eastAsia="lt-LT"/>
                            </w:rPr>
                            <w:t>4.2</w:t>
                          </w:r>
                        </w:sdtContent>
                      </w:sdt>
                      <w:r>
                        <w:rPr>
                          <w:szCs w:val="24"/>
                          <w:lang w:eastAsia="lt-LT"/>
                        </w:rPr>
                        <w:t>. iki einamųjų ūkinių metų liepos 1 d. pateiktų grybų, auginamų šiltnamiuose, kurie yra registruoti Nekilnojamojo turto registro informacinėje sistemoje, auginimą įrodančius duomenis – auginamų grybų plotą (kv. m.), įregistruoto Nekilnojamojo turto registro informacinėje sistemoje statinio unikalų numerį ir per „NMA agro“ programą dvi kiekvieno statinio kokybiškas nuotraukas, kuriose aiškiai matomi auginami grybai, su laiko ir koordinačių žymomis. Jeigu gaminamas substratas grybams auginti, pateikiami grybų substrato gaminimo įrodymo duomenys – laisvos formos nubraižytas ir žemės ūkio veiklos subjekto ar jo vadovo parašu patvirtintas planas su substrato gaminimo vietos matmenimis (substrato gaminimui reikalingas plotas (kv. m.)), unikalus žemės sklypo numeris ir per „NMA agro“ programą dvi kokybiškas nuotraukas, kuriose aiškiai matomas gaminamas substratas, su laiko ir koordinačių žymomis. Už grybus, auginamus ne stacionariuose (nuolatiniuose, ilgalaikiuose, kilnojamuose) neregistruotuose Nekilnojamojo turto registro informacinėje sistemoje, statiniuose, gazolis neskiriamas;</w:t>
                      </w:r>
                    </w:p>
                  </w:sdtContent>
                </w:sdt>
                <w:sdt>
                  <w:sdtPr>
                    <w:alias w:val="4.3 pp."/>
                    <w:tag w:val="part_822ee611dde94c178dcf8de7ce05170e"/>
                    <w:lock w:val="sdtLocked"/>
                    <w:richText/>
                  </w:sdtPr>
                  <w:sdtContent>
                    <w:p>
                      <w:pPr>
                        <w:tabs>
                          <w:tab w:val="left" w:pos="1134"/>
                        </w:tabs>
                        <w:ind w:firstLine="720"/>
                        <w:jc w:val="both"/>
                        <w:rPr>
                          <w:szCs w:val="24"/>
                          <w:lang w:eastAsia="lt-LT"/>
                        </w:rPr>
                      </w:pPr>
                      <w:sdt>
                        <w:sdtPr>
                          <w:alias w:val="Numeris"/>
                          <w:tag w:val="nr_822ee611dde94c178dcf8de7ce05170e"/>
                          <w:lock w:val="sdtLocked"/>
                          <w:richText/>
                        </w:sdtPr>
                        <w:sdtContent>
                          <w:r>
                            <w:rPr>
                              <w:szCs w:val="24"/>
                              <w:lang w:eastAsia="lt-LT"/>
                            </w:rPr>
                            <w:t>4.3</w:t>
                          </w:r>
                        </w:sdtContent>
                      </w:sdt>
                      <w:r>
                        <w:rPr>
                          <w:szCs w:val="24"/>
                          <w:lang w:eastAsia="lt-LT"/>
                        </w:rPr>
                        <w:t>. Ūkinių gyvūnų registro informacinėje sistemoje registruotą vidutinį SG skaičių (skaičiuojamas nuo praėjusių kalendorinių metų birželio 1 d. iki einamųjų kalendorinių metų gegužės 31 d. kiekvieno mėnesio paskutinės dienos duomenimis registruotų ūkinių gyvūnų vidurkis);</w:t>
                      </w:r>
                    </w:p>
                  </w:sdtContent>
                </w:sdt>
                <w:sdt>
                  <w:sdtPr>
                    <w:alias w:val="4.4 pp."/>
                    <w:tag w:val="part_09e2464d26f145a2b9ad3597945461e6"/>
                    <w:lock w:val="sdtLocked"/>
                    <w:richText/>
                  </w:sdtPr>
                  <w:sdtContent>
                    <w:p>
                      <w:pPr>
                        <w:tabs>
                          <w:tab w:val="left" w:pos="1134"/>
                        </w:tabs>
                        <w:ind w:firstLine="720"/>
                        <w:jc w:val="both"/>
                        <w:rPr>
                          <w:szCs w:val="24"/>
                          <w:lang w:eastAsia="lt-LT"/>
                        </w:rPr>
                      </w:pPr>
                      <w:sdt>
                        <w:sdtPr>
                          <w:alias w:val="Numeris"/>
                          <w:tag w:val="nr_09e2464d26f145a2b9ad3597945461e6"/>
                          <w:lock w:val="sdtLocked"/>
                          <w:richText/>
                        </w:sdtPr>
                        <w:sdtContent>
                          <w:r>
                            <w:rPr>
                              <w:szCs w:val="24"/>
                              <w:lang w:eastAsia="lt-LT"/>
                            </w:rPr>
                            <w:t>4.4</w:t>
                          </w:r>
                        </w:sdtContent>
                      </w:sdt>
                      <w:r>
                        <w:rPr>
                          <w:szCs w:val="24"/>
                          <w:lang w:eastAsia="lt-LT"/>
                        </w:rPr>
                        <w:t>. Ūkinių gyvūnų registro informacinėje sistemoje įregistruotą vidutinį bičių šeimų skaičių (skaičiuojamas nuo praėjusių kalendorinių metų birželio 1 d. iki einamųjų kalendorinių metų gegužės 31 d. kiekvieno mėnesio paskutinės dienos duomenimis registruotų bičių šeimų vidurkis);</w:t>
                      </w:r>
                    </w:p>
                  </w:sdtContent>
                </w:sdt>
                <w:sdt>
                  <w:sdtPr>
                    <w:alias w:val="4.5 pp."/>
                    <w:tag w:val="part_56ab1635cd7d4e788822de5fc7e25a2e"/>
                    <w:lock w:val="sdtLocked"/>
                    <w:richText/>
                  </w:sdtPr>
                  <w:sdtContent>
                    <w:p>
                      <w:pPr>
                        <w:tabs>
                          <w:tab w:val="left" w:pos="1134"/>
                        </w:tabs>
                        <w:ind w:firstLine="720"/>
                        <w:jc w:val="both"/>
                        <w:rPr>
                          <w:szCs w:val="24"/>
                          <w:lang w:eastAsia="lt-LT"/>
                        </w:rPr>
                      </w:pPr>
                      <w:sdt>
                        <w:sdtPr>
                          <w:alias w:val="Numeris"/>
                          <w:tag w:val="nr_56ab1635cd7d4e788822de5fc7e25a2e"/>
                          <w:lock w:val="sdtLocked"/>
                          <w:richText/>
                        </w:sdtPr>
                        <w:sdtContent>
                          <w:r>
                            <w:rPr>
                              <w:szCs w:val="24"/>
                              <w:lang w:eastAsia="lt-LT"/>
                            </w:rPr>
                            <w:t>4.5</w:t>
                          </w:r>
                        </w:sdtContent>
                      </w:sdt>
                      <w:r>
                        <w:rPr>
                          <w:szCs w:val="24"/>
                          <w:lang w:eastAsia="lt-LT"/>
                        </w:rPr>
                        <w:t>. Ūkinių gyvūnų registro informacinėje sistemoje registruotą plotą (ha), kuriame auginamos sraigės (skaičiuojamas nuo praėjusių kalendorinių metų birželio 1 d. iki einamųjų kalendorinių metų gegužės 31 d. kiekvieno mėnesio paskutinės dienos duomenimis registruoto ploto, kuriame auginamos sraigės, vidurkis);</w:t>
                      </w:r>
                    </w:p>
                  </w:sdtContent>
                </w:sdt>
                <w:sdt>
                  <w:sdtPr>
                    <w:alias w:val="4.6 pp."/>
                    <w:tag w:val="part_f328190db9e94459bae05c8db0aba1da"/>
                    <w:lock w:val="sdtLocked"/>
                    <w:richText/>
                  </w:sdtPr>
                  <w:sdtContent>
                    <w:p>
                      <w:pPr>
                        <w:tabs>
                          <w:tab w:val="left" w:pos="1134"/>
                        </w:tabs>
                        <w:ind w:firstLine="720"/>
                        <w:jc w:val="both"/>
                        <w:rPr>
                          <w:szCs w:val="24"/>
                          <w:lang w:eastAsia="lt-LT"/>
                        </w:rPr>
                      </w:pPr>
                      <w:sdt>
                        <w:sdtPr>
                          <w:alias w:val="Numeris"/>
                          <w:tag w:val="nr_f328190db9e94459bae05c8db0aba1da"/>
                          <w:lock w:val="sdtLocked"/>
                          <w:richText/>
                        </w:sdtPr>
                        <w:sdtContent>
                          <w:r>
                            <w:rPr>
                              <w:szCs w:val="24"/>
                              <w:lang w:eastAsia="lt-LT"/>
                            </w:rPr>
                            <w:t>4.6</w:t>
                          </w:r>
                        </w:sdtContent>
                      </w:sdt>
                      <w:r>
                        <w:rPr>
                          <w:szCs w:val="24"/>
                          <w:lang w:eastAsia="lt-LT"/>
                        </w:rPr>
                        <w:t>. Ūkinių gyvūnų registro informacinėje sistemoje registruotą plotą (kv. m), kuriame auginami sliekai (skaičiuojamas nuo praėjusių kalendorinių metų birželio 1 d. iki einamųjų kalendorinių metų gegužės 31 d. kiekvieno mėnesio paskutinės dienos duomenimis registruoto ploto, kuriame auginami sliekai, vidurkis).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2a9fe2c6ad11f0a6e08c3b04d14d49">
                    <w:r w:rsidRPr="00532B9F">
                      <w:rPr>
                        <w:rFonts w:ascii="Times New Roman" w:eastAsia="MS Mincho" w:hAnsi="Times New Roman"/>
                        <w:sz w:val="20"/>
                        <w:i/>
                        <w:iCs/>
                        <w:color w:val="0000FF" w:themeColor="hyperlink"/>
                        <w:u w:val="single"/>
                      </w:rPr>
                      <w:t>817</w:t>
                    </w:r>
                  </w:fldSimple>
                  <w:r>
                    <w:rPr>
                      <w:rFonts w:ascii="Times New Roman" w:eastAsia="MS Mincho" w:hAnsi="Times New Roman"/>
                      <w:sz w:val="20"/>
                      <w:i/>
                      <w:iCs/>
                    </w:rPr>
                    <w:t>,
2025-11-19,
paskelbta TAR 2025-11-21, i. k. 2025-19484            </w:t>
                  </w:r>
                </w:p>
                <w:p/>
              </w:sdtContent>
            </w:sdt>
            <w:sdt>
              <w:sdtPr>
                <w:alias w:val="5 p."/>
                <w:tag w:val="part_98ea131318f5404eb7bcc2f9c263bfde"/>
                <w:lock w:val="sdtLocked"/>
                <w:richText/>
              </w:sdtPr>
              <w:sdtContent>
                <w:p>
                  <w:pPr>
                    <w:ind w:firstLine="720"/>
                    <w:jc w:val="both"/>
                    <w:rPr>
                      <w:szCs w:val="24"/>
                      <w:lang w:eastAsia="lt-LT"/>
                    </w:rPr>
                  </w:pPr>
                  <w:sdt>
                    <w:sdtPr>
                      <w:alias w:val="Numeris"/>
                      <w:tag w:val="nr_98ea131318f5404eb7bcc2f9c263bfde"/>
                      <w:lock w:val="sdtLocked"/>
                      <w:richText/>
                    </w:sdtPr>
                    <w:sdtContent>
                      <w:r>
                        <w:rPr>
                          <w:rFonts w:eastAsia="Calibri"/>
                          <w:szCs w:val="24"/>
                          <w:lang w:eastAsia="lt-LT"/>
                        </w:rPr>
                        <w:t>5</w:t>
                      </w:r>
                    </w:sdtContent>
                  </w:sdt>
                  <w:r>
                    <w:rPr>
                      <w:rFonts w:eastAsia="Calibri"/>
                      <w:szCs w:val="24"/>
                      <w:lang w:eastAsia="lt-LT"/>
                    </w:rPr>
                    <w:t xml:space="preserve">. </w:t>
                  </w:r>
                  <w:r>
                    <w:rPr>
                      <w:lang w:eastAsia="lt-LT"/>
                    </w:rPr>
                    <w:t>Žemės ūkio veiklos subjektai gali papildomai įsigyti iki 15 procentų einamaisiais ūkiniais metais priklausančio gazolių, skirtų naudoti žemės ūkio produktų gamybai, kiekio (atitinkamai mažinamas ateinančiais ūkiniais metais įsigyjamas minėtų gazolių kiekis).</w:t>
                  </w:r>
                </w:p>
              </w:sdtContent>
            </w:sdt>
            <w:sdt>
              <w:sdtPr>
                <w:alias w:val="6 p."/>
                <w:tag w:val="part_aec5d3afeed746359667c4ffb786d299"/>
                <w:lock w:val="sdtLocked"/>
                <w:richText/>
              </w:sdtPr>
              <w:sdtContent>
                <w:p>
                  <w:pPr>
                    <w:ind w:firstLine="720"/>
                    <w:jc w:val="both"/>
                    <w:rPr>
                      <w:szCs w:val="24"/>
                      <w:lang w:eastAsia="lt-LT"/>
                    </w:rPr>
                  </w:pPr>
                  <w:sdt>
                    <w:sdtPr>
                      <w:alias w:val="Numeris"/>
                      <w:tag w:val="nr_aec5d3afeed746359667c4ffb786d299"/>
                      <w:lock w:val="sdtLocked"/>
                      <w:richText/>
                    </w:sdtPr>
                    <w:sdtContent>
                      <w:r>
                        <w:rPr>
                          <w:rFonts w:eastAsia="Calibri"/>
                          <w:szCs w:val="24"/>
                          <w:lang w:eastAsia="lt-LT"/>
                        </w:rPr>
                        <w:t>6</w:t>
                      </w:r>
                    </w:sdtContent>
                  </w:sdt>
                  <w:r>
                    <w:rPr>
                      <w:rFonts w:eastAsia="Calibri"/>
                      <w:szCs w:val="24"/>
                      <w:lang w:eastAsia="lt-LT"/>
                    </w:rPr>
                    <w:t xml:space="preserve">. </w:t>
                  </w:r>
                  <w:r>
                    <w:rPr>
                      <w:lang w:eastAsia="lt-LT"/>
                    </w:rPr>
                    <w:t>Paskelbus valstybės lygio ekstremaliąją situaciją:</w:t>
                  </w:r>
                </w:p>
                <w:sdt>
                  <w:sdtPr>
                    <w:alias w:val="6.1 pp."/>
                    <w:tag w:val="part_f324e998e9fa4600a379419332e75c61"/>
                    <w:lock w:val="sdtLocked"/>
                    <w:richText/>
                  </w:sdtPr>
                  <w:sdtContent>
                    <w:p>
                      <w:pPr>
                        <w:ind w:firstLine="720"/>
                        <w:jc w:val="both"/>
                        <w:rPr>
                          <w:szCs w:val="24"/>
                          <w:lang w:eastAsia="lt-LT"/>
                        </w:rPr>
                      </w:pPr>
                      <w:sdt>
                        <w:sdtPr>
                          <w:alias w:val="Numeris"/>
                          <w:tag w:val="nr_f324e998e9fa4600a379419332e75c61"/>
                          <w:lock w:val="sdtLocked"/>
                          <w:richText/>
                        </w:sdtPr>
                        <w:sdtContent>
                          <w:r>
                            <w:rPr>
                              <w:rFonts w:eastAsia="Calibri"/>
                              <w:szCs w:val="24"/>
                              <w:lang w:eastAsia="lt-LT"/>
                            </w:rPr>
                            <w:t>6.1</w:t>
                          </w:r>
                        </w:sdtContent>
                      </w:sdt>
                      <w:r>
                        <w:rPr>
                          <w:rFonts w:eastAsia="Calibri"/>
                          <w:szCs w:val="24"/>
                          <w:lang w:eastAsia="lt-LT"/>
                        </w:rPr>
                        <w:t xml:space="preserve">. </w:t>
                      </w:r>
                      <w:r>
                        <w:rPr>
                          <w:lang w:eastAsia="lt-LT"/>
                        </w:rPr>
                        <w:t xml:space="preserve"> žemės ūkio veiklos subjektams Lietuvos Respublikos Vyriausybė gali nustatyti papildomus gazolių, skirtų naudoti žemės ūkio produktų gamybai, konkretiems ūkiniams metams kiekius;</w:t>
                      </w:r>
                    </w:p>
                  </w:sdtContent>
                </w:sdt>
                <w:sdt>
                  <w:sdtPr>
                    <w:alias w:val="6.2 pp."/>
                    <w:tag w:val="part_92dc9c47203d4fc39960342ba8af6f55"/>
                    <w:lock w:val="sdtLocked"/>
                    <w:richText/>
                  </w:sdtPr>
                  <w:sdtContent>
                    <w:p>
                      <w:pPr>
                        <w:ind w:firstLine="720"/>
                        <w:jc w:val="both"/>
                        <w:rPr>
                          <w:szCs w:val="24"/>
                          <w:lang w:eastAsia="lt-LT"/>
                        </w:rPr>
                      </w:pPr>
                      <w:sdt>
                        <w:sdtPr>
                          <w:alias w:val="Numeris"/>
                          <w:tag w:val="nr_92dc9c47203d4fc39960342ba8af6f55"/>
                          <w:lock w:val="sdtLocked"/>
                          <w:richText/>
                        </w:sdtPr>
                        <w:sdtContent>
                          <w:r>
                            <w:rPr>
                              <w:rFonts w:eastAsia="Calibri"/>
                              <w:szCs w:val="24"/>
                              <w:lang w:eastAsia="lt-LT"/>
                            </w:rPr>
                            <w:t>6.2</w:t>
                          </w:r>
                        </w:sdtContent>
                      </w:sdt>
                      <w:r>
                        <w:rPr>
                          <w:rFonts w:eastAsia="Calibri"/>
                          <w:szCs w:val="24"/>
                          <w:lang w:eastAsia="lt-LT"/>
                        </w:rPr>
                        <w:t xml:space="preserve">. </w:t>
                      </w:r>
                      <w:r>
                        <w:rPr>
                          <w:lang w:eastAsia="lt-LT"/>
                        </w:rPr>
                        <w:t xml:space="preserve"> žemės ūkio veiklos subjektams, Taisyklių 5 punkte nustatyta tvarka įsigijusiems gazolių, skirtų naudoti žemės ūkio produktų gamybai, ateinančiais ūkiniais metais leistinas įsigyti gazolių kiekis nemažinamas konkretiems ūkiniams metams nustatomais papildomais gazolių kiekiais.</w:t>
                      </w:r>
                    </w:p>
                  </w:sdtContent>
                </w:sdt>
              </w:sdtContent>
            </w:sdt>
            <w:sdt>
              <w:sdtPr>
                <w:alias w:val="7 p."/>
                <w:tag w:val="part_427d47146f144cd7969510de42f677da"/>
                <w:lock w:val="sdtLocked"/>
                <w:richText/>
              </w:sdtPr>
              <w:sdtContent>
                <w:p>
                  <w:pPr>
                    <w:ind w:firstLine="720"/>
                    <w:jc w:val="both"/>
                    <w:rPr>
                      <w:szCs w:val="24"/>
                      <w:lang w:eastAsia="lt-LT"/>
                    </w:rPr>
                  </w:pPr>
                  <w:sdt>
                    <w:sdtPr>
                      <w:alias w:val="Numeris"/>
                      <w:tag w:val="nr_427d47146f144cd7969510de42f677da"/>
                      <w:lock w:val="sdtLocked"/>
                      <w:richText/>
                    </w:sdtPr>
                    <w:sdtContent>
                      <w:r>
                        <w:rPr>
                          <w:rFonts w:eastAsia="Calibri"/>
                          <w:szCs w:val="24"/>
                          <w:lang w:eastAsia="lt-LT"/>
                        </w:rPr>
                        <w:t>7</w:t>
                      </w:r>
                    </w:sdtContent>
                  </w:sdt>
                  <w:r>
                    <w:rPr>
                      <w:rFonts w:eastAsia="Calibri"/>
                      <w:szCs w:val="24"/>
                      <w:lang w:eastAsia="lt-LT"/>
                    </w:rPr>
                    <w:t xml:space="preserve">. </w:t>
                  </w:r>
                  <w:r>
                    <w:rPr>
                      <w:lang w:eastAsia="lt-LT"/>
                    </w:rPr>
                    <w:t>Pagal Taisykles žemės ūkio veiklos subjektas negali įsigyti gazolių, skirtų naudoti žemės ūkio produktų gamybai, jeigu:</w:t>
                  </w:r>
                </w:p>
                <w:sdt>
                  <w:sdtPr>
                    <w:alias w:val="7.1 pp."/>
                    <w:tag w:val="part_2bc543cfc89340bdaf4d5f2d9c149e10"/>
                    <w:lock w:val="sdtLocked"/>
                    <w:richText/>
                  </w:sdtPr>
                  <w:sdtContent>
                    <w:p>
                      <w:pPr>
                        <w:ind w:firstLine="720"/>
                        <w:jc w:val="both"/>
                        <w:rPr>
                          <w:lang w:eastAsia="lt-LT"/>
                        </w:rPr>
                      </w:pPr>
                      <w:sdt>
                        <w:sdtPr>
                          <w:alias w:val="Numeris"/>
                          <w:tag w:val="nr_2bc543cfc89340bdaf4d5f2d9c149e10"/>
                          <w:lock w:val="sdtLocked"/>
                          <w:richText/>
                        </w:sdtPr>
                        <w:sdtContent>
                          <w:r>
                            <w:rPr>
                              <w:rFonts w:eastAsia="Calibri"/>
                              <w:szCs w:val="22"/>
                              <w:lang w:eastAsia="lt-LT"/>
                            </w:rPr>
                            <w:t>7.1</w:t>
                          </w:r>
                        </w:sdtContent>
                      </w:sdt>
                      <w:r>
                        <w:rPr>
                          <w:rFonts w:eastAsia="Calibri"/>
                          <w:szCs w:val="22"/>
                          <w:lang w:eastAsia="lt-LT"/>
                        </w:rPr>
                        <w:t xml:space="preserve">. </w:t>
                      </w:r>
                      <w:r>
                        <w:rPr>
                          <w:color w:val="000000"/>
                          <w:lang w:eastAsia="lt-LT"/>
                        </w:rPr>
                        <w:t>jis priskiriamas prie sunkumus patiriančių įmonių, kaip apibrėžta Reglamento (ES) Nr. 651/2014 2 straipsnio 18 punkte</w:t>
                      </w:r>
                      <w:r>
                        <w:rPr>
                          <w:lang w:eastAsia="lt-LT"/>
                        </w:rPr>
                        <w:t>;</w:t>
                      </w:r>
                    </w:p>
                  </w:sdtContent>
                </w:sdt>
                <w:sdt>
                  <w:sdtPr>
                    <w:alias w:val="7.2 pp."/>
                    <w:tag w:val="part_03dd99dcc7794c00be7dd1543d96b79d"/>
                    <w:lock w:val="sdtLocked"/>
                    <w:richText/>
                  </w:sdtPr>
                  <w:sdtContent>
                    <w:p>
                      <w:pPr>
                        <w:ind w:firstLine="720"/>
                        <w:jc w:val="both"/>
                        <w:rPr>
                          <w:lang w:eastAsia="lt-LT"/>
                        </w:rPr>
                      </w:pPr>
                      <w:sdt>
                        <w:sdtPr>
                          <w:alias w:val="Numeris"/>
                          <w:tag w:val="nr_03dd99dcc7794c00be7dd1543d96b79d"/>
                          <w:lock w:val="sdtLocked"/>
                          <w:richText/>
                        </w:sdtPr>
                        <w:sdtContent>
                          <w:r>
                            <w:rPr>
                              <w:rFonts w:eastAsia="Calibri"/>
                              <w:szCs w:val="22"/>
                              <w:lang w:eastAsia="lt-LT"/>
                            </w:rPr>
                            <w:t>7.2</w:t>
                          </w:r>
                        </w:sdtContent>
                      </w:sdt>
                      <w:r>
                        <w:rPr>
                          <w:rFonts w:eastAsia="Calibri"/>
                          <w:szCs w:val="22"/>
                          <w:lang w:eastAsia="lt-LT"/>
                        </w:rPr>
                        <w:t xml:space="preserve">. </w:t>
                      </w:r>
                      <w:r>
                        <w:rPr>
                          <w:lang w:eastAsia="lt-LT"/>
                        </w:rPr>
                        <w:t>bendra iš viso per einamuosius kalendorinius metus jo pagal Taisykles gautos valstybės pagalbos vertė ir iš kitų nacionalinių ir (ar) Europos Sąjungos programų ir (ar) priemonių, susijusių su gazolių, skirtų naudoti žemės ūkio produktų gamybai, įsigijimu, paramos vertė yra didesnė už pagalbos vertę, kuri būtų susidariusi per einamuosius kalendorinius metus, jeigu jis valstybės pagalbą būtų gavęs tik pagal Taisykles;</w:t>
                      </w:r>
                    </w:p>
                  </w:sdtContent>
                </w:sdt>
                <w:sdt>
                  <w:sdtPr>
                    <w:alias w:val="7.3 pp."/>
                    <w:tag w:val="part_00ab864b063a4d8ebcc74bb7accd116c"/>
                    <w:lock w:val="sdtLocked"/>
                    <w:richText/>
                  </w:sdtPr>
                  <w:sdtContent>
                    <w:p>
                      <w:pPr>
                        <w:ind w:firstLine="720"/>
                        <w:jc w:val="both"/>
                        <w:rPr>
                          <w:lang w:eastAsia="lt-LT"/>
                        </w:rPr>
                      </w:pPr>
                      <w:sdt>
                        <w:sdtPr>
                          <w:alias w:val="Numeris"/>
                          <w:tag w:val="nr_00ab864b063a4d8ebcc74bb7accd116c"/>
                          <w:lock w:val="sdtLocked"/>
                          <w:richText/>
                        </w:sdtPr>
                        <w:sdtContent>
                          <w:r>
                            <w:rPr>
                              <w:rFonts w:eastAsia="Calibri"/>
                              <w:szCs w:val="22"/>
                              <w:lang w:eastAsia="lt-LT"/>
                            </w:rPr>
                            <w:t>7.3</w:t>
                          </w:r>
                        </w:sdtContent>
                      </w:sdt>
                      <w:r>
                        <w:rPr>
                          <w:rFonts w:eastAsia="Calibri"/>
                          <w:szCs w:val="22"/>
                          <w:lang w:eastAsia="lt-LT"/>
                        </w:rPr>
                        <w:t xml:space="preserve">. </w:t>
                      </w:r>
                      <w:r>
                        <w:rPr>
                          <w:lang w:eastAsia="lt-LT"/>
                        </w:rPr>
                        <w:t>jis yra gavęs valstybės pagalbą, kuri suteikta pagalbos teikėjo Lietuvoje ir Europos Komisijos sprendimu (dėl individualios pagalbos arba pagalbos schemos) buvo pripažinta neteisėta ir (ar) nesuderinama su vidaus rinka ir nėra sugrąžinęs visos neteisėtos ir (ar) nesuderinamos pagalbos sumos, įskaitant palūkanas, Lietuvos Respublikos konkurencijos įstatymo 55</w:t>
                      </w:r>
                      <w:r>
                        <w:rPr>
                          <w:vertAlign w:val="superscript"/>
                          <w:lang w:eastAsia="lt-LT"/>
                        </w:rPr>
                        <w:t>1</w:t>
                      </w:r>
                      <w:r>
                        <w:rPr>
                          <w:lang w:eastAsia="lt-LT"/>
                        </w:rPr>
                        <w:t xml:space="preserve"> straipsnyje nustatyta tvarka.</w:t>
                      </w:r>
                    </w:p>
                  </w:sdtContent>
                </w:sdt>
              </w:sdtContent>
            </w:sdt>
            <w:sdt>
              <w:sdtPr>
                <w:alias w:val="8 p."/>
                <w:tag w:val="part_6a2dec3d8d754ffeae8357dfeca0e912"/>
                <w:lock w:val="sdtLocked"/>
                <w:richText/>
              </w:sdtPr>
              <w:sdtContent>
                <w:p>
                  <w:pPr>
                    <w:ind w:firstLine="720"/>
                    <w:jc w:val="both"/>
                    <w:rPr>
                      <w:lang w:eastAsia="lt-LT"/>
                    </w:rPr>
                  </w:pPr>
                  <w:sdt>
                    <w:sdtPr>
                      <w:alias w:val="Numeris"/>
                      <w:tag w:val="nr_6a2dec3d8d754ffeae8357dfeca0e912"/>
                      <w:lock w:val="sdtLocked"/>
                      <w:richText/>
                    </w:sdtPr>
                    <w:sdtContent>
                      <w:r>
                        <w:rPr>
                          <w:rFonts w:eastAsia="Calibri"/>
                          <w:szCs w:val="22"/>
                          <w:lang w:eastAsia="lt-LT"/>
                        </w:rPr>
                        <w:t>8</w:t>
                      </w:r>
                    </w:sdtContent>
                  </w:sdt>
                  <w:r>
                    <w:rPr>
                      <w:rFonts w:eastAsia="Calibri"/>
                      <w:szCs w:val="22"/>
                      <w:lang w:eastAsia="lt-LT"/>
                    </w:rPr>
                    <w:t xml:space="preserve">. </w:t>
                  </w:r>
                  <w:r>
                    <w:rPr>
                      <w:lang w:eastAsia="lt-LT"/>
                    </w:rPr>
                    <w:t xml:space="preserve">Žemės ūkio veiklos subjektas, pageidaujantis įsigyti gazolių, skirtų naudoti žemės ūkio produktų gamybai, pagal žemės ūkio ministro tvirtinamas paramos už žemės ūkio naudmenas ir kitus plotus bei ūkinius gyvūnus paraiškos ir tiesioginių išmokų administravimo bei kontrolės taisykles, teikdamas Centrui einamųjų metų paramos už žemės ūkio naudmenas ir kitus plotus bei gyvulius paraišką, patvirtina, kad jam netaikomi Taisyklių 7 punkte nustatyti apribojimai. </w:t>
                  </w:r>
                </w:p>
              </w:sdtContent>
            </w:sdt>
            <w:sdt>
              <w:sdtPr>
                <w:alias w:val="9 p."/>
                <w:tag w:val="part_f0a1325ce56b4e3e81d3b696de70e812"/>
                <w:lock w:val="sdtLocked"/>
                <w:richText/>
              </w:sdtPr>
              <w:sdtContent>
                <w:p>
                  <w:pPr>
                    <w:ind w:firstLine="720"/>
                    <w:jc w:val="both"/>
                    <w:rPr>
                      <w:lang w:eastAsia="lt-LT"/>
                    </w:rPr>
                  </w:pPr>
                  <w:sdt>
                    <w:sdtPr>
                      <w:alias w:val="Numeris"/>
                      <w:tag w:val="nr_f0a1325ce56b4e3e81d3b696de70e812"/>
                      <w:lock w:val="sdtLocked"/>
                      <w:richText/>
                    </w:sdtPr>
                    <w:sdtContent>
                      <w:r>
                        <w:rPr>
                          <w:rFonts w:eastAsia="Calibri"/>
                          <w:szCs w:val="22"/>
                          <w:lang w:eastAsia="lt-LT"/>
                        </w:rPr>
                        <w:t>9</w:t>
                      </w:r>
                    </w:sdtContent>
                  </w:sdt>
                  <w:r>
                    <w:rPr>
                      <w:rFonts w:eastAsia="Calibri"/>
                      <w:szCs w:val="22"/>
                      <w:lang w:eastAsia="lt-LT"/>
                    </w:rPr>
                    <w:t xml:space="preserve">. </w:t>
                  </w:r>
                  <w:r>
                    <w:rPr>
                      <w:lang w:eastAsia="lt-LT"/>
                    </w:rPr>
                    <w:t>Valstybinė mokesčių inspekcija prie Lietuvos Respublikos finansų ministerijos (toliau – mokesčių administratorius) savo nustatyta tvarka pagal Centro pateiktus duomenis, nurodytus Taisyklių 4 punkte, teikia žemės ūkio veiklos subjektui valstybės pagalbą išduodama leidimą įsigyti gazolių, skirtų naudoti žemės ūkio produktų gamybai (toliau – leidimas).</w:t>
                  </w:r>
                </w:p>
              </w:sdtContent>
            </w:sdt>
            <w:sdt>
              <w:sdtPr>
                <w:alias w:val="10 p."/>
                <w:tag w:val="part_77bcd993d19d4cb49f2e0664fb08ae81"/>
                <w:lock w:val="sdtLocked"/>
                <w:richText/>
              </w:sdtPr>
              <w:sdtContent>
                <w:p>
                  <w:pPr>
                    <w:ind w:firstLine="720"/>
                    <w:jc w:val="both"/>
                    <w:rPr>
                      <w:lang w:eastAsia="lt-LT"/>
                    </w:rPr>
                  </w:pPr>
                  <w:sdt>
                    <w:sdtPr>
                      <w:alias w:val="Numeris"/>
                      <w:tag w:val="nr_77bcd993d19d4cb49f2e0664fb08ae81"/>
                      <w:lock w:val="sdtLocked"/>
                      <w:richText/>
                    </w:sdtPr>
                    <w:sdtContent>
                      <w:r>
                        <w:rPr>
                          <w:rFonts w:eastAsia="Calibri"/>
                          <w:szCs w:val="22"/>
                          <w:lang w:eastAsia="lt-LT"/>
                        </w:rPr>
                        <w:t>10</w:t>
                      </w:r>
                    </w:sdtContent>
                  </w:sdt>
                  <w:r>
                    <w:rPr>
                      <w:rFonts w:eastAsia="Calibri"/>
                      <w:szCs w:val="22"/>
                      <w:lang w:eastAsia="lt-LT"/>
                    </w:rPr>
                    <w:t xml:space="preserve">. </w:t>
                  </w:r>
                  <w:r>
                    <w:rPr>
                      <w:color w:val="000000"/>
                      <w:lang w:eastAsia="lt-LT"/>
                    </w:rPr>
                    <w:t>Mokesčių administratorius:</w:t>
                  </w:r>
                </w:p>
                <w:sdt>
                  <w:sdtPr>
                    <w:alias w:val="10.1 pp."/>
                    <w:tag w:val="part_f25627edd3d84e7296ebebb96941c8d1"/>
                    <w:lock w:val="sdtLocked"/>
                    <w:richText/>
                  </w:sdtPr>
                  <w:sdtContent>
                    <w:p>
                      <w:pPr>
                        <w:ind w:firstLine="720"/>
                        <w:jc w:val="both"/>
                        <w:rPr>
                          <w:lang w:eastAsia="lt-LT"/>
                        </w:rPr>
                      </w:pPr>
                      <w:sdt>
                        <w:sdtPr>
                          <w:alias w:val="Numeris"/>
                          <w:tag w:val="nr_f25627edd3d84e7296ebebb96941c8d1"/>
                          <w:lock w:val="sdtLocked"/>
                          <w:richText/>
                        </w:sdtPr>
                        <w:sdtContent>
                          <w:r>
                            <w:rPr>
                              <w:rFonts w:eastAsia="Calibri"/>
                              <w:szCs w:val="22"/>
                              <w:lang w:eastAsia="lt-LT"/>
                            </w:rPr>
                            <w:t>10.1</w:t>
                          </w:r>
                        </w:sdtContent>
                      </w:sdt>
                      <w:r>
                        <w:rPr>
                          <w:rFonts w:eastAsia="Calibri"/>
                          <w:szCs w:val="22"/>
                          <w:lang w:eastAsia="lt-LT"/>
                        </w:rPr>
                        <w:t xml:space="preserve">. </w:t>
                      </w:r>
                      <w:r>
                        <w:rPr>
                          <w:color w:val="000000"/>
                          <w:lang w:eastAsia="lt-LT"/>
                        </w:rPr>
                        <w:t xml:space="preserve">per 20 darbo dienų nuo leidimo išdavimo, vadovaudamasis Suteiktos valstybės pagalbos </w:t>
                      </w:r>
                      <w:r>
                        <w:rPr>
                          <w:color w:val="000000"/>
                          <w:shd w:val="clear" w:color="auto" w:fill="FFFFFF"/>
                          <w:lang w:eastAsia="lt-LT"/>
                        </w:rPr>
                        <w:t>ir nereikšmingos (</w:t>
                      </w:r>
                      <w:r>
                        <w:rPr>
                          <w:i/>
                          <w:iCs/>
                          <w:color w:val="000000"/>
                          <w:shd w:val="clear" w:color="auto" w:fill="FFFFFF"/>
                          <w:lang w:eastAsia="lt-LT"/>
                        </w:rPr>
                        <w:t>de</w:t>
                      </w:r>
                      <w:r>
                        <w:rPr>
                          <w:color w:val="000000"/>
                          <w:shd w:val="clear" w:color="auto" w:fill="FFFFFF"/>
                          <w:lang w:eastAsia="lt-LT"/>
                        </w:rPr>
                        <w:t xml:space="preserve"> </w:t>
                      </w:r>
                      <w:r>
                        <w:rPr>
                          <w:i/>
                          <w:iCs/>
                          <w:color w:val="000000"/>
                          <w:shd w:val="clear" w:color="auto" w:fill="FFFFFF"/>
                          <w:lang w:eastAsia="lt-LT"/>
                        </w:rPr>
                        <w:t>minimis</w:t>
                      </w:r>
                      <w:r>
                        <w:rPr>
                          <w:color w:val="000000"/>
                          <w:shd w:val="clear" w:color="auto" w:fill="FFFFFF"/>
                          <w:lang w:eastAsia="lt-LT"/>
                        </w:rPr>
                        <w:t>) pagalbos</w:t>
                      </w:r>
                      <w:r>
                        <w:rPr>
                          <w:color w:val="000000"/>
                          <w:lang w:eastAsia="lt-LT"/>
                        </w:rPr>
                        <w:t xml:space="preserve"> registro nuostatais, patvirtintais Lietuvos Respublikos Vyriausybės 2005 m. sausio 19 d. nutarimu Nr. 35 „Dėl Suteiktos valstybės pagalbos ir nereikšmingos (</w:t>
                      </w:r>
                      <w:r>
                        <w:rPr>
                          <w:i/>
                          <w:iCs/>
                          <w:color w:val="000000"/>
                          <w:lang w:eastAsia="lt-LT"/>
                        </w:rPr>
                        <w:t>de minimis</w:t>
                      </w:r>
                      <w:r>
                        <w:rPr>
                          <w:color w:val="000000"/>
                          <w:lang w:eastAsia="lt-LT"/>
                        </w:rPr>
                        <w:t xml:space="preserve">) pagalbos registro nuostatų patvirtinimo“, pateikia Suteiktos valstybės pagalbos </w:t>
                      </w:r>
                      <w:r>
                        <w:rPr>
                          <w:color w:val="000000"/>
                          <w:shd w:val="clear" w:color="auto" w:fill="FFFFFF"/>
                          <w:lang w:eastAsia="lt-LT"/>
                        </w:rPr>
                        <w:t>ir nereikšmingos (</w:t>
                      </w:r>
                      <w:r>
                        <w:rPr>
                          <w:i/>
                          <w:iCs/>
                          <w:color w:val="000000"/>
                          <w:shd w:val="clear" w:color="auto" w:fill="FFFFFF"/>
                          <w:lang w:eastAsia="lt-LT"/>
                        </w:rPr>
                        <w:t>de</w:t>
                      </w:r>
                      <w:r>
                        <w:rPr>
                          <w:color w:val="000000"/>
                          <w:shd w:val="clear" w:color="auto" w:fill="FFFFFF"/>
                          <w:lang w:eastAsia="lt-LT"/>
                        </w:rPr>
                        <w:t xml:space="preserve"> </w:t>
                      </w:r>
                      <w:r>
                        <w:rPr>
                          <w:i/>
                          <w:iCs/>
                          <w:color w:val="000000"/>
                          <w:shd w:val="clear" w:color="auto" w:fill="FFFFFF"/>
                          <w:lang w:eastAsia="lt-LT"/>
                        </w:rPr>
                        <w:t>minimis</w:t>
                      </w:r>
                      <w:r>
                        <w:rPr>
                          <w:color w:val="000000"/>
                          <w:shd w:val="clear" w:color="auto" w:fill="FFFFFF"/>
                          <w:lang w:eastAsia="lt-LT"/>
                        </w:rPr>
                        <w:t xml:space="preserve">) pagalbos </w:t>
                      </w:r>
                      <w:r>
                        <w:rPr>
                          <w:color w:val="000000"/>
                          <w:lang w:eastAsia="lt-LT"/>
                        </w:rPr>
                        <w:t>registrui duomenis apie žemės ūkio veiklos subjektams suteiktą valstybės pagalbą</w:t>
                      </w:r>
                      <w:r>
                        <w:rPr>
                          <w:szCs w:val="24"/>
                          <w:lang w:eastAsia="lt-LT"/>
                        </w:rPr>
                        <w:t xml:space="preserve">; </w:t>
                      </w:r>
                    </w:p>
                  </w:sdtContent>
                </w:sdt>
                <w:sdt>
                  <w:sdtPr>
                    <w:alias w:val="10.2 pp."/>
                    <w:tag w:val="part_4fa28c76dcfd42fea8a86b3bf15b6d2c"/>
                    <w:lock w:val="sdtLocked"/>
                    <w:richText/>
                  </w:sdtPr>
                  <w:sdtContent>
                    <w:p>
                      <w:pPr>
                        <w:ind w:firstLine="720"/>
                        <w:jc w:val="both"/>
                        <w:rPr>
                          <w:szCs w:val="24"/>
                          <w:lang w:eastAsia="lt-LT"/>
                        </w:rPr>
                      </w:pPr>
                      <w:sdt>
                        <w:sdtPr>
                          <w:alias w:val="Numeris"/>
                          <w:tag w:val="nr_4fa28c76dcfd42fea8a86b3bf15b6d2c"/>
                          <w:lock w:val="sdtLocked"/>
                          <w:richText/>
                        </w:sdtPr>
                        <w:sdtContent>
                          <w:r>
                            <w:rPr>
                              <w:rFonts w:eastAsia="Calibri"/>
                              <w:szCs w:val="24"/>
                              <w:lang w:eastAsia="lt-LT"/>
                            </w:rPr>
                            <w:t>10.2</w:t>
                          </w:r>
                        </w:sdtContent>
                      </w:sdt>
                      <w:r>
                        <w:rPr>
                          <w:rFonts w:eastAsia="Calibri"/>
                          <w:szCs w:val="24"/>
                          <w:lang w:eastAsia="lt-LT"/>
                        </w:rPr>
                        <w:t xml:space="preserve">. </w:t>
                      </w:r>
                      <w:r>
                        <w:rPr>
                          <w:szCs w:val="24"/>
                          <w:lang w:eastAsia="lt-LT"/>
                        </w:rPr>
                        <w:t xml:space="preserve">privalo saugoti visą su valstybės pagalbos teikimu susijusią informaciją ir dokumentus </w:t>
                      </w:r>
                      <w:r>
                        <w:rPr>
                          <w:color w:val="000000"/>
                          <w:szCs w:val="24"/>
                          <w:lang w:eastAsia="lt-LT"/>
                        </w:rPr>
                        <w:t>Reglamento (ES) Nr. 651/2014</w:t>
                      </w:r>
                      <w:r>
                        <w:rPr>
                          <w:szCs w:val="24"/>
                          <w:lang w:eastAsia="lt-LT"/>
                        </w:rPr>
                        <w:t xml:space="preserve"> 12 straipsnio 1 dalyje nustatyta tvarka ir terminais;</w:t>
                      </w:r>
                    </w:p>
                  </w:sdtContent>
                </w:sdt>
                <w:sdt>
                  <w:sdtPr>
                    <w:alias w:val="10.3 pp."/>
                    <w:tag w:val="part_3c171f81c52649f7ae1ce73b9b08d772"/>
                    <w:lock w:val="sdtLocked"/>
                    <w:richText/>
                  </w:sdtPr>
                  <w:sdtContent>
                    <w:p>
                      <w:pPr>
                        <w:ind w:firstLine="720"/>
                        <w:jc w:val="both"/>
                        <w:rPr>
                          <w:szCs w:val="24"/>
                          <w:lang w:eastAsia="lt-LT"/>
                        </w:rPr>
                      </w:pPr>
                      <w:sdt>
                        <w:sdtPr>
                          <w:alias w:val="Numeris"/>
                          <w:tag w:val="nr_3c171f81c52649f7ae1ce73b9b08d772"/>
                          <w:lock w:val="sdtLocked"/>
                          <w:richText/>
                        </w:sdtPr>
                        <w:sdtContent>
                          <w:r>
                            <w:rPr>
                              <w:rFonts w:eastAsia="Calibri"/>
                              <w:szCs w:val="24"/>
                              <w:lang w:eastAsia="lt-LT"/>
                            </w:rPr>
                            <w:t>10.3</w:t>
                          </w:r>
                        </w:sdtContent>
                      </w:sdt>
                      <w:r>
                        <w:rPr>
                          <w:rFonts w:eastAsia="Calibri"/>
                          <w:szCs w:val="24"/>
                          <w:lang w:eastAsia="lt-LT"/>
                        </w:rPr>
                        <w:t xml:space="preserve">. </w:t>
                      </w:r>
                      <w:r>
                        <w:rPr>
                          <w:szCs w:val="24"/>
                          <w:lang w:eastAsia="lt-LT"/>
                        </w:rPr>
                        <w:t>po leidimo išdavimo, paaiškėjus, kad žemės ūkio veiklos subjektas yra gavęs valstybės pagalbą, kuri suteikta pagalbos tiekėjo Lietuvoje ir Europos Komisijos sprendimu (dėl individualios pagalbos arba pagalbos schemos) buvo pripažinta neteisėta ir (ar) nesuderinama su vidaus rinka, stabdo leidimo galiojimą, kol šis grąžina visą neteisėtos ir (ar) nesuderinamos pagalbos sumą, įskaitant palūkanas;</w:t>
                      </w:r>
                    </w:p>
                  </w:sdtContent>
                </w:sdt>
                <w:sdt>
                  <w:sdtPr>
                    <w:alias w:val="10.4 pp."/>
                    <w:tag w:val="part_00b783d15b2e4ba191e754906aba1428"/>
                    <w:lock w:val="sdtLocked"/>
                    <w:richText/>
                  </w:sdtPr>
                  <w:sdtContent>
                    <w:p>
                      <w:pPr>
                        <w:ind w:firstLine="720"/>
                        <w:jc w:val="both"/>
                        <w:rPr>
                          <w:szCs w:val="24"/>
                          <w:lang w:eastAsia="lt-LT"/>
                        </w:rPr>
                      </w:pPr>
                      <w:sdt>
                        <w:sdtPr>
                          <w:alias w:val="Numeris"/>
                          <w:tag w:val="nr_00b783d15b2e4ba191e754906aba1428"/>
                          <w:lock w:val="sdtLocked"/>
                          <w:richText/>
                        </w:sdtPr>
                        <w:sdtContent>
                          <w:r>
                            <w:rPr>
                              <w:rFonts w:eastAsia="Calibri"/>
                              <w:szCs w:val="24"/>
                              <w:lang w:eastAsia="lt-LT"/>
                            </w:rPr>
                            <w:t>10.4</w:t>
                          </w:r>
                        </w:sdtContent>
                      </w:sdt>
                      <w:r>
                        <w:rPr>
                          <w:rFonts w:eastAsia="Calibri"/>
                          <w:szCs w:val="24"/>
                          <w:lang w:eastAsia="lt-LT"/>
                        </w:rPr>
                        <w:t xml:space="preserve">. </w:t>
                      </w:r>
                      <w:r>
                        <w:rPr>
                          <w:szCs w:val="24"/>
                          <w:lang w:eastAsia="lt-LT"/>
                        </w:rPr>
                        <w:t>teikia duomenis apie žemės ūkio veiklos subjektams išduotus leidimus (juridinio asmens kodas ar fizinio asmens kodas, žemės ūkio veiklos subjekto pavadinimas, regionas, kuriame įsisteigęs žemės ūkio veiklos subjektas (apskritis, savivaldybė), valstybės pagalbos priemonės pavadinimas, skirtos valstybės pagalbos suma) (toliau – duomenys) Nacionalinei mokėjimo agentūrai prie Žemės ūkio ministerijos (toliau – Agentūra).</w:t>
                      </w:r>
                    </w:p>
                  </w:sdtContent>
                </w:sdt>
              </w:sdtContent>
            </w:sdt>
            <w:sdt>
              <w:sdtPr>
                <w:alias w:val="11 p."/>
                <w:tag w:val="part_9f73f4dae0924edb95ccbd1de9c23b8e"/>
                <w:lock w:val="sdtLocked"/>
                <w:richText/>
              </w:sdtPr>
              <w:sdtContent>
                <w:p>
                  <w:pPr>
                    <w:ind w:firstLine="720"/>
                    <w:jc w:val="both"/>
                    <w:rPr>
                      <w:szCs w:val="24"/>
                      <w:lang w:eastAsia="lt-LT"/>
                    </w:rPr>
                  </w:pPr>
                  <w:sdt>
                    <w:sdtPr>
                      <w:alias w:val="Numeris"/>
                      <w:tag w:val="nr_9f73f4dae0924edb95ccbd1de9c23b8e"/>
                      <w:lock w:val="sdtLocked"/>
                      <w:richText/>
                    </w:sdtPr>
                    <w:sdtContent>
                      <w:r>
                        <w:rPr>
                          <w:rFonts w:eastAsia="Calibri"/>
                          <w:szCs w:val="24"/>
                          <w:lang w:eastAsia="lt-LT"/>
                        </w:rPr>
                        <w:t>11</w:t>
                      </w:r>
                    </w:sdtContent>
                  </w:sdt>
                  <w:r>
                    <w:rPr>
                      <w:rFonts w:eastAsia="Calibri"/>
                      <w:szCs w:val="24"/>
                      <w:lang w:eastAsia="lt-LT"/>
                    </w:rPr>
                    <w:t xml:space="preserve">. </w:t>
                  </w:r>
                  <w:r>
                    <w:rPr>
                      <w:szCs w:val="24"/>
                      <w:lang w:eastAsia="lt-LT"/>
                    </w:rPr>
                    <w:t>Agentūra pasibaigus ūkiniams metams, iki kitų ūkinių metų rugsėjo 15 d. gavusi iš mokesčių administratoriaus duomenis, savo nustatyta tvarka atsirenka žemės ūkio veiklos subjektus ir iki kitų ūkinių metų birželio 30 d. patikrina, ar žemės ūkio veiklos subjektai įsigydami gazolius, skirtus naudoti žemės ūkio produktų gamybai,</w:t>
                  </w:r>
                  <w:r>
                    <w:rPr>
                      <w:lang w:eastAsia="lt-LT"/>
                    </w:rPr>
                    <w:t xml:space="preserve"> </w:t>
                  </w:r>
                  <w:r>
                    <w:rPr>
                      <w:szCs w:val="24"/>
                      <w:lang w:eastAsia="lt-LT"/>
                    </w:rPr>
                    <w:t>pagal Taisyklių 7 punktą galėjo juos įsigyti. Patikrinimų duomenys saugomi Reglamento (ES) Nr. 651/2014 12 straipsnio 2 dalyje nustatyta tvarka ir terminais. Patikrinama ne mažiau kaip 0,5 proc. žemės ūkio subjektų, kuriems buvo suteikta teisė lengvatinėmis sąlygomis įsigyti gazolių, skirtų žemės ūkio produktų gamybai.</w:t>
                  </w:r>
                </w:p>
              </w:sdtContent>
            </w:sdt>
            <w:sdt>
              <w:sdtPr>
                <w:alias w:val="12 p."/>
                <w:tag w:val="part_6739740333b04f51804801fe5ee421cd"/>
                <w:lock w:val="sdtLocked"/>
                <w:richText/>
              </w:sdtPr>
              <w:sdtContent>
                <w:p>
                  <w:pPr>
                    <w:ind w:firstLine="720"/>
                    <w:jc w:val="both"/>
                    <w:rPr>
                      <w:szCs w:val="24"/>
                      <w:lang w:eastAsia="lt-LT"/>
                    </w:rPr>
                  </w:pPr>
                  <w:sdt>
                    <w:sdtPr>
                      <w:alias w:val="Numeris"/>
                      <w:tag w:val="nr_6739740333b04f51804801fe5ee421cd"/>
                      <w:lock w:val="sdtLocked"/>
                      <w:richText/>
                    </w:sdtPr>
                    <w:sdtContent>
                      <w:r>
                        <w:rPr>
                          <w:rFonts w:eastAsia="Calibri"/>
                          <w:szCs w:val="24"/>
                          <w:lang w:eastAsia="lt-LT"/>
                        </w:rPr>
                        <w:t>12</w:t>
                      </w:r>
                    </w:sdtContent>
                  </w:sdt>
                  <w:r>
                    <w:rPr>
                      <w:rFonts w:eastAsia="Calibri"/>
                      <w:szCs w:val="24"/>
                      <w:lang w:eastAsia="lt-LT"/>
                    </w:rPr>
                    <w:t xml:space="preserve">. </w:t>
                  </w:r>
                  <w:r>
                    <w:rPr>
                      <w:szCs w:val="24"/>
                      <w:lang w:eastAsia="lt-LT"/>
                    </w:rPr>
                    <w:t>Agentūra nustačiusi, kad žemės ūkio veiklos subjektas įsigydamas gazolių, skirtų naudoti žemės ūkio produktų gamybai, pagal Taisyklių 7 punktą negalėjo jų įsigyti, ne vėliau kaip per 5 darbo dienas informuoja mokesčių administratorių apie nustatytus neatitikimus.</w:t>
                  </w:r>
                </w:p>
              </w:sdtContent>
            </w:sdt>
            <w:sdt>
              <w:sdtPr>
                <w:alias w:val="13 p."/>
                <w:tag w:val="part_b07a3f8744e94001a441cf51cc484005"/>
                <w:lock w:val="sdtLocked"/>
                <w:richText/>
              </w:sdtPr>
              <w:sdtContent>
                <w:p>
                  <w:pPr>
                    <w:ind w:firstLine="720"/>
                    <w:jc w:val="both"/>
                    <w:rPr>
                      <w:szCs w:val="24"/>
                      <w:lang w:eastAsia="lt-LT"/>
                    </w:rPr>
                  </w:pPr>
                  <w:sdt>
                    <w:sdtPr>
                      <w:alias w:val="Numeris"/>
                      <w:tag w:val="nr_b07a3f8744e94001a441cf51cc484005"/>
                      <w:lock w:val="sdtLocked"/>
                      <w:richText/>
                    </w:sdtPr>
                    <w:sdtContent>
                      <w:r>
                        <w:rPr>
                          <w:color w:val="000000"/>
                          <w:lang w:eastAsia="lt-LT"/>
                        </w:rPr>
                        <w:t>13</w:t>
                      </w:r>
                    </w:sdtContent>
                  </w:sdt>
                  <w:r>
                    <w:rPr>
                      <w:color w:val="000000"/>
                      <w:lang w:eastAsia="lt-LT"/>
                    </w:rPr>
                    <w:t>. Visos žemės ūkio valdos (toliau – valda) perdavimo atveju valdos perėmėjui gali būti perleistas neįsigytas gazolių, skirtų naudoti žemės ūkio produktų gamybai, kiekis. Perleistas neįsigytas gazolių, skirtų naudoti žemės ūkio produktų gamybai, kiekis perduodamas mokesčių administratoriaus nustatyta tvarka pagal Centro pateiktus</w:t>
                  </w:r>
                  <w:r>
                    <w:rPr>
                      <w:b/>
                      <w:bCs/>
                      <w:color w:val="000000"/>
                      <w:lang w:eastAsia="lt-LT"/>
                    </w:rPr>
                    <w:t> </w:t>
                  </w:r>
                  <w:r>
                    <w:rPr>
                      <w:color w:val="000000"/>
                      <w:lang w:eastAsia="lt-LT"/>
                    </w:rPr>
                    <w:t>duomenis apie visos valdos perdavimą.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519182ef9011ef8bf78f8ccc0e0474">
                    <w:r w:rsidRPr="00532B9F">
                      <w:rPr>
                        <w:rFonts w:ascii="Times New Roman" w:eastAsia="MS Mincho" w:hAnsi="Times New Roman"/>
                        <w:sz w:val="20"/>
                        <w:i/>
                        <w:iCs/>
                        <w:color w:val="0000FF" w:themeColor="hyperlink"/>
                        <w:u w:val="single"/>
                      </w:rPr>
                      <w:t>86</w:t>
                    </w:r>
                  </w:fldSimple>
                  <w:r>
                    <w:rPr>
                      <w:rFonts w:ascii="Times New Roman" w:eastAsia="MS Mincho" w:hAnsi="Times New Roman"/>
                      <w:sz w:val="20"/>
                      <w:i/>
                      <w:iCs/>
                    </w:rPr>
                    <w:t>,
2025-02-19,
paskelbta TAR 2025-02-20, i. k. 2025-02728            </w:t>
                  </w:r>
                </w:p>
                <w:p/>
              </w:sdtContent>
            </w:sdt>
            <w:sdt>
              <w:sdtPr>
                <w:alias w:val="14 p."/>
                <w:tag w:val="part_40dad47acbeb49b2be33db5f4fe58a8c"/>
                <w:lock w:val="sdtLocked"/>
                <w:richText/>
              </w:sdtPr>
              <w:sdtContent>
                <w:p>
                  <w:pPr>
                    <w:ind w:firstLine="720"/>
                    <w:jc w:val="both"/>
                    <w:rPr>
                      <w:lang w:eastAsia="lt-LT"/>
                    </w:rPr>
                  </w:pPr>
                  <w:sdt>
                    <w:sdtPr>
                      <w:alias w:val="Numeris"/>
                      <w:tag w:val="nr_40dad47acbeb49b2be33db5f4fe58a8c"/>
                      <w:lock w:val="sdtLocked"/>
                      <w:richText/>
                    </w:sdtPr>
                    <w:sdtContent>
                      <w:r>
                        <w:rPr>
                          <w:rFonts w:eastAsia="Calibri"/>
                          <w:szCs w:val="24"/>
                          <w:lang w:eastAsia="lt-LT"/>
                        </w:rPr>
                        <w:t>14</w:t>
                      </w:r>
                    </w:sdtContent>
                  </w:sdt>
                  <w:r>
                    <w:rPr>
                      <w:rFonts w:eastAsia="Calibri"/>
                      <w:szCs w:val="24"/>
                      <w:lang w:eastAsia="lt-LT"/>
                    </w:rPr>
                    <w:t xml:space="preserve">. </w:t>
                  </w:r>
                  <w:r>
                    <w:rPr>
                      <w:lang w:eastAsia="lt-LT"/>
                    </w:rPr>
                    <w:t>Pardavėjai gazolius, skirtus naudoti žemės ūkio produktų gamybai, gali parduoti tik žemės ūkio veiklos subjektui, kuriam yra suteiktas leidimas. Kiekvieną kartą patiekęs žemės ūkio veiklos subjektui gazolių, skirtų naudoti žemės ūkio produktų gamybai, pardavėjas privalo tai užfiksuoti mokesčių administratoriaus nustatyta tvarka.</w:t>
                  </w:r>
                </w:p>
                <w:p>
                  <w:pPr>
                    <w:ind w:firstLine="720"/>
                    <w:jc w:val="both"/>
                    <w:rPr>
                      <w:szCs w:val="24"/>
                      <w:lang w:eastAsia="lt-LT"/>
                    </w:rPr>
                  </w:pPr>
                </w:p>
              </w:sdtContent>
            </w:sdt>
          </w:sdtContent>
        </w:sdt>
        <w:sdt>
          <w:sdtPr>
            <w:alias w:val="skyrius"/>
            <w:tag w:val="part_023d471df97b449c8ed2ca9241e95dc6"/>
            <w:lock w:val="sdtLocked"/>
            <w:richText/>
          </w:sdtPr>
          <w:sdtContent>
            <w:p>
              <w:pPr>
                <w:jc w:val="center"/>
                <w:rPr>
                  <w:rFonts w:eastAsia="Calibri"/>
                  <w:b/>
                  <w:szCs w:val="24"/>
                  <w:lang w:eastAsia="lt-LT"/>
                </w:rPr>
              </w:pPr>
              <w:sdt>
                <w:sdtPr>
                  <w:alias w:val="Numeris"/>
                  <w:tag w:val="nr_023d471df97b449c8ed2ca9241e95dc6"/>
                  <w:lock w:val="sdtLocked"/>
                  <w:richText/>
                </w:sdtPr>
                <w:sdtContent>
                  <w:r>
                    <w:rPr>
                      <w:rFonts w:eastAsia="Calibri"/>
                      <w:b/>
                      <w:szCs w:val="24"/>
                      <w:lang w:eastAsia="lt-LT"/>
                    </w:rPr>
                    <w:t>III</w:t>
                  </w:r>
                </w:sdtContent>
              </w:sdt>
              <w:r>
                <w:rPr>
                  <w:rFonts w:eastAsia="Calibri"/>
                  <w:b/>
                  <w:szCs w:val="24"/>
                  <w:lang w:eastAsia="lt-LT"/>
                </w:rPr>
                <w:t xml:space="preserve"> SKYRIUS</w:t>
              </w:r>
            </w:p>
            <w:p>
              <w:pPr>
                <w:jc w:val="center"/>
                <w:rPr>
                  <w:rFonts w:eastAsia="Calibri"/>
                  <w:szCs w:val="24"/>
                  <w:lang w:eastAsia="lt-LT"/>
                </w:rPr>
              </w:pPr>
              <w:sdt>
                <w:sdtPr>
                  <w:alias w:val="Pavadinimas"/>
                  <w:tag w:val="title_023d471df97b449c8ed2ca9241e95dc6"/>
                  <w:lock w:val="sdtLocked"/>
                  <w:richText/>
                </w:sdtPr>
                <w:sdtContent>
                  <w:r>
                    <w:rPr>
                      <w:rFonts w:eastAsia="Calibri"/>
                      <w:b/>
                      <w:szCs w:val="24"/>
                      <w:lang w:eastAsia="lt-LT"/>
                    </w:rPr>
                    <w:t>BAIGIAMOSIOS NUOSTATOS</w:t>
                  </w:r>
                </w:sdtContent>
              </w:sdt>
            </w:p>
            <w:p>
              <w:pPr>
                <w:rPr>
                  <w:sz w:val="8"/>
                  <w:szCs w:val="8"/>
                </w:rPr>
              </w:pPr>
            </w:p>
            <w:sdt>
              <w:sdtPr>
                <w:alias w:val="15 p."/>
                <w:tag w:val="part_05e73be794954cc68080070420413235"/>
                <w:lock w:val="sdtLocked"/>
                <w:richText/>
              </w:sdtPr>
              <w:sdtContent>
                <w:p>
                  <w:pPr>
                    <w:ind w:firstLine="720"/>
                    <w:jc w:val="both"/>
                    <w:rPr>
                      <w:szCs w:val="24"/>
                      <w:lang w:eastAsia="lt-LT"/>
                    </w:rPr>
                  </w:pPr>
                  <w:sdt>
                    <w:sdtPr>
                      <w:alias w:val="Numeris"/>
                      <w:tag w:val="nr_05e73be794954cc68080070420413235"/>
                      <w:lock w:val="sdtLocked"/>
                      <w:richText/>
                    </w:sdtPr>
                    <w:sdtContent>
                      <w:r>
                        <w:rPr>
                          <w:rFonts w:eastAsia="Calibri"/>
                          <w:szCs w:val="24"/>
                          <w:lang w:eastAsia="lt-LT"/>
                        </w:rPr>
                        <w:t>15</w:t>
                      </w:r>
                    </w:sdtContent>
                  </w:sdt>
                  <w:r>
                    <w:rPr>
                      <w:rFonts w:eastAsia="Calibri"/>
                      <w:szCs w:val="24"/>
                      <w:lang w:eastAsia="lt-LT"/>
                    </w:rPr>
                    <w:t xml:space="preserve">. </w:t>
                  </w:r>
                  <w:r>
                    <w:rPr>
                      <w:lang w:eastAsia="lt-LT"/>
                    </w:rPr>
                    <w:t>Gazolius, skirtus naudoti žemės ūkio produktų gamybai, įskaitant žemės ūkio veiklos subjektų naudojamus nuosavybės teise priklausančiose arba pagal raštu sudarytas nuomos, panaudos ar kitas sutartis transporto priemonėse, draudžiama naudoti ne žemės ūkio produktų gamybai.</w:t>
                  </w:r>
                </w:p>
              </w:sdtContent>
            </w:sdt>
            <w:sdt>
              <w:sdtPr>
                <w:alias w:val="16 p."/>
                <w:tag w:val="part_e7797a1463bd41e69c32353cdd0af4cf"/>
                <w:lock w:val="sdtLocked"/>
                <w:richText/>
              </w:sdtPr>
              <w:sdtContent>
                <w:p>
                  <w:pPr>
                    <w:ind w:firstLine="720"/>
                    <w:jc w:val="both"/>
                    <w:rPr>
                      <w:szCs w:val="24"/>
                      <w:lang w:eastAsia="lt-LT"/>
                    </w:rPr>
                  </w:pPr>
                  <w:sdt>
                    <w:sdtPr>
                      <w:alias w:val="Numeris"/>
                      <w:tag w:val="nr_e7797a1463bd41e69c32353cdd0af4cf"/>
                      <w:lock w:val="sdtLocked"/>
                      <w:richText/>
                    </w:sdtPr>
                    <w:sdtContent>
                      <w:r>
                        <w:rPr>
                          <w:rFonts w:eastAsia="Calibri"/>
                          <w:szCs w:val="24"/>
                          <w:lang w:eastAsia="lt-LT"/>
                        </w:rPr>
                        <w:t>16</w:t>
                      </w:r>
                    </w:sdtContent>
                  </w:sdt>
                  <w:r>
                    <w:rPr>
                      <w:rFonts w:eastAsia="Calibri"/>
                      <w:szCs w:val="24"/>
                      <w:lang w:eastAsia="lt-LT"/>
                    </w:rPr>
                    <w:t xml:space="preserve">. </w:t>
                  </w:r>
                  <w:r>
                    <w:rPr>
                      <w:lang w:eastAsia="lt-LT"/>
                    </w:rPr>
                    <w:t>Žemės ūkio veiklos subjektas privalo per Akcizų įstatyme nustatytus terminus sumokėti šio įstatymo 37 straipsnio 1 dalyje nurodyto dydžio akcizus, jeigu:</w:t>
                  </w:r>
                </w:p>
                <w:sdt>
                  <w:sdtPr>
                    <w:alias w:val="16.1 pp."/>
                    <w:tag w:val="part_f5aab5053d564f5d918bdc888d11b14a"/>
                    <w:lock w:val="sdtLocked"/>
                    <w:richText/>
                  </w:sdtPr>
                  <w:sdtContent>
                    <w:p>
                      <w:pPr>
                        <w:ind w:firstLine="720"/>
                        <w:jc w:val="both"/>
                        <w:rPr>
                          <w:szCs w:val="24"/>
                          <w:lang w:eastAsia="lt-LT"/>
                        </w:rPr>
                      </w:pPr>
                      <w:sdt>
                        <w:sdtPr>
                          <w:alias w:val="Numeris"/>
                          <w:tag w:val="nr_f5aab5053d564f5d918bdc888d11b14a"/>
                          <w:lock w:val="sdtLocked"/>
                          <w:richText/>
                        </w:sdtPr>
                        <w:sdtContent>
                          <w:r>
                            <w:rPr>
                              <w:rFonts w:eastAsia="Calibri"/>
                              <w:szCs w:val="24"/>
                              <w:lang w:eastAsia="lt-LT"/>
                            </w:rPr>
                            <w:t>16.1</w:t>
                          </w:r>
                        </w:sdtContent>
                      </w:sdt>
                      <w:r>
                        <w:rPr>
                          <w:rFonts w:eastAsia="Calibri"/>
                          <w:szCs w:val="24"/>
                          <w:lang w:eastAsia="lt-LT"/>
                        </w:rPr>
                        <w:t xml:space="preserve">. </w:t>
                      </w:r>
                      <w:r>
                        <w:rPr>
                          <w:szCs w:val="24"/>
                          <w:lang w:eastAsia="lt-LT"/>
                        </w:rPr>
                        <w:t xml:space="preserve">įsigijo gazolių, skirtų naudoti žemės ūkio produktų gamybai, daugiau, negu jam priklauso pagal Taisykles, – už tą įsigytą gazolių, skirtų naudoti žemės ūkio produktų gamybai, kiekį, kurio pagal Taisykles neturėjo teisės įsigyti; </w:t>
                      </w:r>
                    </w:p>
                  </w:sdtContent>
                </w:sdt>
                <w:sdt>
                  <w:sdtPr>
                    <w:alias w:val="16.2 pp."/>
                    <w:tag w:val="part_36b5a58b0ad74932b15db83358ddd45d"/>
                    <w:lock w:val="sdtLocked"/>
                    <w:richText/>
                  </w:sdtPr>
                  <w:sdtContent>
                    <w:p>
                      <w:pPr>
                        <w:ind w:firstLine="720"/>
                        <w:jc w:val="both"/>
                        <w:rPr>
                          <w:lang w:eastAsia="lt-LT"/>
                        </w:rPr>
                      </w:pPr>
                      <w:sdt>
                        <w:sdtPr>
                          <w:alias w:val="Numeris"/>
                          <w:tag w:val="nr_36b5a58b0ad74932b15db83358ddd45d"/>
                          <w:lock w:val="sdtLocked"/>
                          <w:richText/>
                        </w:sdtPr>
                        <w:sdtContent>
                          <w:r>
                            <w:rPr>
                              <w:rFonts w:eastAsia="Calibri"/>
                              <w:szCs w:val="22"/>
                              <w:lang w:eastAsia="lt-LT"/>
                            </w:rPr>
                            <w:t>16.2</w:t>
                          </w:r>
                        </w:sdtContent>
                      </w:sdt>
                      <w:r>
                        <w:rPr>
                          <w:rFonts w:eastAsia="Calibri"/>
                          <w:szCs w:val="22"/>
                          <w:lang w:eastAsia="lt-LT"/>
                        </w:rPr>
                        <w:t xml:space="preserve">. </w:t>
                      </w:r>
                      <w:r>
                        <w:rPr>
                          <w:lang w:eastAsia="lt-LT"/>
                        </w:rPr>
                        <w:t>naudojo gazolius, skirtus naudoti žemės ūkio produktų gamybai, ne žemės ūkio produktų gamybai, – už tą įsigytą gazolių, skirtų naudoti žemės ūkio produktų gamybai, kiekį, kurį naudojo ne žemės ūkio produktų gamybai;</w:t>
                      </w:r>
                    </w:p>
                  </w:sdtContent>
                </w:sdt>
                <w:sdt>
                  <w:sdtPr>
                    <w:alias w:val="16.3 pp."/>
                    <w:tag w:val="part_b07b06a632ed45d5b9d3d92d7db0874f"/>
                    <w:lock w:val="sdtLocked"/>
                    <w:richText/>
                  </w:sdtPr>
                  <w:sdtContent>
                    <w:p>
                      <w:pPr>
                        <w:ind w:firstLine="720"/>
                        <w:jc w:val="both"/>
                        <w:rPr>
                          <w:lang w:eastAsia="lt-LT"/>
                        </w:rPr>
                      </w:pPr>
                      <w:sdt>
                        <w:sdtPr>
                          <w:alias w:val="Numeris"/>
                          <w:tag w:val="nr_b07b06a632ed45d5b9d3d92d7db0874f"/>
                          <w:lock w:val="sdtLocked"/>
                          <w:richText/>
                        </w:sdtPr>
                        <w:sdtContent>
                          <w:r>
                            <w:rPr>
                              <w:rFonts w:eastAsia="Calibri"/>
                              <w:szCs w:val="22"/>
                              <w:lang w:eastAsia="lt-LT"/>
                            </w:rPr>
                            <w:t>16.3</w:t>
                          </w:r>
                        </w:sdtContent>
                      </w:sdt>
                      <w:r>
                        <w:rPr>
                          <w:rFonts w:eastAsia="Calibri"/>
                          <w:szCs w:val="22"/>
                          <w:lang w:eastAsia="lt-LT"/>
                        </w:rPr>
                        <w:t xml:space="preserve">. </w:t>
                      </w:r>
                      <w:r>
                        <w:rPr>
                          <w:lang w:eastAsia="lt-LT"/>
                        </w:rPr>
                        <w:t>paaiškėja, kad įsigydamas gazolių, skirtų naudoti žemės ūkio produktų gamybai, pagal Taisyklių 7 punktą negalėjo jų įsigyti.</w:t>
                      </w:r>
                    </w:p>
                  </w:sdtContent>
                </w:sdt>
              </w:sdtContent>
            </w:sdt>
            <w:sdt>
              <w:sdtPr>
                <w:alias w:val="17 p."/>
                <w:tag w:val="part_8b314f17aad84aa0811f5eb89cdbb8a6"/>
                <w:lock w:val="sdtLocked"/>
                <w:richText/>
              </w:sdtPr>
              <w:sdtContent>
                <w:p>
                  <w:pPr>
                    <w:ind w:firstLine="720"/>
                    <w:jc w:val="both"/>
                    <w:rPr>
                      <w:lang w:eastAsia="lt-LT"/>
                    </w:rPr>
                  </w:pPr>
                  <w:sdt>
                    <w:sdtPr>
                      <w:alias w:val="Numeris"/>
                      <w:tag w:val="nr_8b314f17aad84aa0811f5eb89cdbb8a6"/>
                      <w:lock w:val="sdtLocked"/>
                      <w:richText/>
                    </w:sdtPr>
                    <w:sdtContent>
                      <w:r>
                        <w:rPr>
                          <w:lang w:eastAsia="lt-LT"/>
                        </w:rPr>
                        <w:t>17</w:t>
                      </w:r>
                    </w:sdtContent>
                  </w:sdt>
                  <w:r>
                    <w:rPr>
                      <w:lang w:eastAsia="lt-LT"/>
                    </w:rPr>
                    <w:t>. Žemės ūkio veiklos subjektas, kuriam pagal Taisykles buvo suteikta neteisėta ir (ar) nesuderinama su vidaus rinka valstybės pagalba, privalo suteiktą valstybės pagalbą sugrąžinti. Pagalba grąžinama vadovaujantis Konkurencijos įstatymo 55</w:t>
                  </w:r>
                  <w:r>
                    <w:rPr>
                      <w:vertAlign w:val="superscript"/>
                      <w:lang w:eastAsia="lt-LT"/>
                    </w:rPr>
                    <w:t>1</w:t>
                  </w:r>
                  <w:r>
                    <w:rPr>
                      <w:lang w:eastAsia="lt-LT"/>
                    </w:rPr>
                    <w:t xml:space="preserve"> straipsnio nuostatomis. </w:t>
                  </w:r>
                </w:p>
              </w:sdtContent>
            </w:sdt>
            <w:sdt>
              <w:sdtPr>
                <w:alias w:val="18 p."/>
                <w:tag w:val="part_3c8144b5e4464138900445368fdcff46"/>
                <w:lock w:val="sdtLocked"/>
                <w:richText/>
              </w:sdtPr>
              <w:sdtContent>
                <w:p>
                  <w:pPr>
                    <w:ind w:firstLine="720"/>
                    <w:jc w:val="both"/>
                    <w:rPr>
                      <w:szCs w:val="24"/>
                      <w:lang w:eastAsia="lt-LT"/>
                    </w:rPr>
                  </w:pPr>
                  <w:sdt>
                    <w:sdtPr>
                      <w:alias w:val="Numeris"/>
                      <w:tag w:val="nr_3c8144b5e4464138900445368fdcff46"/>
                      <w:lock w:val="sdtLocked"/>
                      <w:richText/>
                    </w:sdtPr>
                    <w:sdtContent>
                      <w:r>
                        <w:rPr>
                          <w:szCs w:val="24"/>
                          <w:lang w:eastAsia="lt-LT"/>
                        </w:rPr>
                        <w:t>18</w:t>
                      </w:r>
                    </w:sdtContent>
                  </w:sdt>
                  <w:r>
                    <w:rPr>
                      <w:szCs w:val="24"/>
                      <w:lang w:eastAsia="lt-LT"/>
                    </w:rPr>
                    <w:t xml:space="preserve">. </w:t>
                  </w:r>
                  <w:r>
                    <w:rPr>
                      <w:lang w:eastAsia="lt-LT"/>
                    </w:rPr>
                    <w:t>Agentūra viešai skelbia informaciją apie žemės ūkio veiklos subjektus, kurie yra juridiniai asmenys ir kuriems skirta valstybės pagalba pagal žemės ūkio ministro tvirtinamas valstybės pagalbos žemės ūkiui</w:t>
                  </w:r>
                  <w:r>
                    <w:rPr>
                      <w:color w:val="000000"/>
                      <w:lang w:eastAsia="lt-LT"/>
                    </w:rPr>
                    <w:t>, maisto ūkiui, žuvininkystei ir kaimo plėtrai ir kitų iš valstybės biudžeto lėšų finansuojamų priemonių</w:t>
                  </w:r>
                  <w:r>
                    <w:rPr>
                      <w:lang w:eastAsia="lt-LT"/>
                    </w:rPr>
                    <w:t xml:space="preserve"> bendrąsias administravimo taisykles. Viešinamas juridinio asmens pavadinimas, regionas, kuriame įsisteigęs juridinis asmuo (apskritis, savivaldybė), valstybės pagalbos priemonės pavadinimas, skirtos valstybės pagalbos suma. </w:t>
                  </w:r>
                </w:p>
              </w:sdtContent>
            </w:sdt>
            <w:sdt>
              <w:sdtPr>
                <w:alias w:val="19 p."/>
                <w:tag w:val="part_eb4a8c69792145eab6f2fb012e1c809f"/>
                <w:lock w:val="sdtLocked"/>
                <w:richText/>
              </w:sdtPr>
              <w:sdtContent>
                <w:p>
                  <w:pPr>
                    <w:ind w:firstLine="720"/>
                    <w:jc w:val="both"/>
                    <w:rPr>
                      <w:szCs w:val="24"/>
                      <w:lang w:eastAsia="lt-LT"/>
                    </w:rPr>
                  </w:pPr>
                  <w:sdt>
                    <w:sdtPr>
                      <w:alias w:val="Numeris"/>
                      <w:tag w:val="nr_eb4a8c69792145eab6f2fb012e1c809f"/>
                      <w:lock w:val="sdtLocked"/>
                      <w:richText/>
                    </w:sdtPr>
                    <w:sdtContent>
                      <w:r>
                        <w:rPr>
                          <w:szCs w:val="24"/>
                          <w:lang w:eastAsia="lt-LT"/>
                        </w:rPr>
                        <w:t>19</w:t>
                      </w:r>
                    </w:sdtContent>
                  </w:sdt>
                  <w:r>
                    <w:rPr>
                      <w:szCs w:val="24"/>
                      <w:lang w:eastAsia="lt-LT"/>
                    </w:rPr>
                    <w:t xml:space="preserve">. </w:t>
                  </w:r>
                  <w:r>
                    <w:rPr>
                      <w:lang w:eastAsia="lt-LT"/>
                    </w:rPr>
                    <w:t xml:space="preserve">Tuo atveju, jei vienam žemės ūkio veiklos subjektui skirta individuali pagalba viršijo Reglamento (ES) Nr. 651/2014 9 straipsnio 1 dalies c punkte nurodytą 10 000 Eur ribą, mokesčių administratorius per 30 darbo dienų nuo leidimo išdavimo pateikia Reglamento (ES) Nr. 651/2014 III priede nurodytą informaciją, išskyrus informaciją apie įmonės rūšį, Lietuvos Respublikos žemės ūkio ministerijai. Informaciją apie įmonės rūšį (labai maža, mažoji ir vidutinė ar didelė įmonė), kaip nurodyta Reglamento (ES) Nr. 651/2014 III priede, Žemės ūkio ministerija gauna iš Valstybės duomenų agentūros. Gautą informaciją apie skirtą valstybės pagalbą per 6 mėnesius nuo leidimo išdavimo Žemės ūkio ministerija pateikia į Europos Komisijos valstybės pagalbos skaidrumo svetainę. </w:t>
                  </w:r>
                </w:p>
              </w:sdtContent>
            </w:sdt>
            <w:sdt>
              <w:sdtPr>
                <w:alias w:val="20 p."/>
                <w:tag w:val="part_723e831e430e45df99d4d8b326fe6000"/>
                <w:lock w:val="sdtLocked"/>
                <w:richText/>
              </w:sdtPr>
              <w:sdtContent>
                <w:p>
                  <w:pPr>
                    <w:ind w:firstLine="720"/>
                    <w:jc w:val="both"/>
                    <w:rPr>
                      <w:szCs w:val="24"/>
                      <w:lang w:eastAsia="lt-LT"/>
                    </w:rPr>
                  </w:pPr>
                  <w:sdt>
                    <w:sdtPr>
                      <w:alias w:val="Numeris"/>
                      <w:tag w:val="nr_723e831e430e45df99d4d8b326fe6000"/>
                      <w:lock w:val="sdtLocked"/>
                      <w:richText/>
                    </w:sdtPr>
                    <w:sdtContent>
                      <w:r>
                        <w:rPr>
                          <w:szCs w:val="24"/>
                          <w:lang w:eastAsia="lt-LT"/>
                        </w:rPr>
                        <w:t>20</w:t>
                      </w:r>
                    </w:sdtContent>
                  </w:sdt>
                  <w:r>
                    <w:rPr>
                      <w:szCs w:val="24"/>
                      <w:lang w:eastAsia="lt-LT"/>
                    </w:rPr>
                    <w:t>. Žemės ūkio veiklos subjektų duomenys teikiami ir naudojami vadovaujantis 2016 m. balandžio 27 d. Europos Parlamento ir Tarybos reglamentu (ES) 2016/679 dėl fizinių asmenų apsaugos tvarkant asmens duomenis ir dėl laisvo tokių duomenų judėjimo ir kuriuo panaikinama Direktyva 95/46/EB (Bendrasis duomenų apsaugos reglamentas) ir Lietuvos Respublikos asmens duomenų teisinės apsaugos įstatymu ir kitais teisės aktais, reglamentuojančiais asmens duomenų tvarkymą.</w:t>
                  </w:r>
                </w:p>
              </w:sdtContent>
            </w:sdt>
            <w:sdt>
              <w:sdtPr>
                <w:alias w:val="21 p."/>
                <w:tag w:val="part_10846b562d5d439fa48f5db1bc8f12f5"/>
                <w:lock w:val="sdtLocked"/>
                <w:richText/>
              </w:sdtPr>
              <w:sdtContent>
                <w:p>
                  <w:pPr>
                    <w:ind w:firstLine="720"/>
                    <w:jc w:val="both"/>
                    <w:rPr>
                      <w:szCs w:val="24"/>
                      <w:lang w:eastAsia="lt-LT"/>
                    </w:rPr>
                  </w:pPr>
                  <w:sdt>
                    <w:sdtPr>
                      <w:alias w:val="Numeris"/>
                      <w:tag w:val="nr_10846b562d5d439fa48f5db1bc8f12f5"/>
                      <w:lock w:val="sdtLocked"/>
                      <w:richText/>
                    </w:sdtPr>
                    <w:sdtContent>
                      <w:r>
                        <w:rPr>
                          <w:szCs w:val="24"/>
                          <w:lang w:eastAsia="lt-LT"/>
                        </w:rPr>
                        <w:t>21</w:t>
                      </w:r>
                    </w:sdtContent>
                  </w:sdt>
                  <w:r>
                    <w:rPr>
                      <w:szCs w:val="24"/>
                      <w:lang w:eastAsia="lt-LT"/>
                    </w:rPr>
                    <w:t xml:space="preserve">. </w:t>
                  </w:r>
                  <w:r>
                    <w:rPr>
                      <w:lang w:eastAsia="lt-LT"/>
                    </w:rPr>
                    <w:t>Žemės ūkio veiklos subjekto nesumokėti Taisyklių 16 punkte nurodyti akcizai išieškomi Lietuvos Respublikos mokesčių administravimo įstatymo nustatyta tvarka.</w:t>
                  </w:r>
                </w:p>
              </w:sdtContent>
            </w:sdt>
          </w:sdtContent>
        </w:sdt>
        <w:sdt>
          <w:sdtPr>
            <w:alias w:val="pabaiga"/>
            <w:tag w:val="part_d7142b0516f94f7caf40b1eed8810b63"/>
            <w:lock w:val="sdtLocked"/>
            <w:richText/>
          </w:sdtPr>
          <w:sdtContent>
            <w:p>
              <w:pPr>
                <w:tabs>
                  <w:tab w:val="left" w:pos="6237"/>
                </w:tabs>
                <w:ind w:firstLine="720"/>
                <w:jc w:val="center"/>
                <w:rPr>
                  <w:color w:val="000000"/>
                  <w:szCs w:val="24"/>
                  <w:lang w:eastAsia="lt-LT"/>
                </w:rPr>
              </w:pPr>
            </w:p>
            <w:p>
              <w:pPr>
                <w:tabs>
                  <w:tab w:val="left" w:pos="6237"/>
                </w:tabs>
                <w:ind w:firstLine="720"/>
                <w:jc w:val="center"/>
                <w:rPr>
                  <w:color w:val="000000"/>
                  <w:szCs w:val="24"/>
                  <w:lang w:eastAsia="lt-LT"/>
                </w:rPr>
              </w:pPr>
            </w:p>
            <w:p>
              <w:pPr>
                <w:tabs>
                  <w:tab w:val="left" w:pos="6237"/>
                </w:tabs>
                <w:jc w:val="center"/>
                <w:rPr>
                  <w:color w:val="000000"/>
                  <w:szCs w:val="24"/>
                  <w:lang w:eastAsia="lt-LT"/>
                </w:rPr>
              </w:pPr>
              <w:r>
                <w:rPr>
                  <w:color w:val="000000"/>
                  <w:szCs w:val="24"/>
                  <w:lang w:eastAsia="lt-LT"/>
                </w:rPr>
                <w:t>______________</w:t>
              </w:r>
            </w:p>
            <w:p>
              <w:pPr>
                <w:tabs>
                  <w:tab w:val="center" w:pos="4153"/>
                  <w:tab w:val="right" w:pos="8306"/>
                </w:tabs>
              </w:pPr>
            </w:p>
          </w:sdtContent>
        </w:sdt>
      </w:sdtContent>
    </w:sdt>
    <w:sdt>
      <w:sdtPr>
        <w:alias w:val="pr."/>
        <w:tag w:val="part_a8c002a651cd4074917d335f4dc604a9"/>
        <w:lock w:val="sdtLocked"/>
        <w:richText/>
      </w:sdtPr>
      <w:sdtContent>
        <w:p>
          <w:pPr>
            <w:ind w:left="4320" w:firstLine="567"/>
            <w:sectPr>
              <w:pgSz w:w="11906" w:h="16838" w:code="9"/>
              <w:pgMar w:top="1134" w:right="1134" w:bottom="1134" w:left="1701" w:header="567" w:footer="567" w:gutter="0"/>
              <w:cols w:space="1296"/>
              <w:titlePg/>
            </w:sectPr>
          </w:pPr>
        </w:p>
        <w:p>
          <w:pPr>
            <w:ind w:left="4320" w:firstLine="567"/>
            <w:rPr>
              <w:szCs w:val="24"/>
              <w:lang w:eastAsia="lt-LT"/>
            </w:rPr>
          </w:pPr>
          <w:r>
            <w:rPr>
              <w:szCs w:val="24"/>
              <w:lang w:eastAsia="lt-LT"/>
            </w:rPr>
            <w:t xml:space="preserve">Gazolių, skirtų naudoti žemės ūkio veiklos </w:t>
          </w:r>
        </w:p>
        <w:p>
          <w:pPr>
            <w:ind w:left="4320" w:firstLine="567"/>
            <w:rPr>
              <w:szCs w:val="24"/>
              <w:lang w:eastAsia="lt-LT"/>
            </w:rPr>
          </w:pPr>
          <w:r>
            <w:rPr>
              <w:szCs w:val="24"/>
              <w:lang w:eastAsia="lt-LT"/>
            </w:rPr>
            <w:t xml:space="preserve">subjektams žemės ūkio produktų gamybai, </w:t>
          </w:r>
        </w:p>
        <w:p>
          <w:pPr>
            <w:ind w:left="4320" w:firstLine="567"/>
            <w:rPr>
              <w:szCs w:val="24"/>
              <w:lang w:eastAsia="lt-LT"/>
            </w:rPr>
          </w:pPr>
          <w:r>
            <w:rPr>
              <w:szCs w:val="24"/>
              <w:lang w:eastAsia="lt-LT"/>
            </w:rPr>
            <w:t xml:space="preserve">įsigijimo taisyklių  </w:t>
          </w:r>
        </w:p>
        <w:p>
          <w:pPr>
            <w:ind w:left="4320" w:firstLine="567"/>
            <w:rPr>
              <w:szCs w:val="24"/>
              <w:lang w:eastAsia="lt-LT"/>
            </w:rPr>
          </w:pPr>
          <w:r>
            <w:rPr>
              <w:szCs w:val="24"/>
              <w:lang w:eastAsia="lt-LT"/>
            </w:rPr>
            <w:t>priedas</w:t>
          </w:r>
        </w:p>
        <w:p>
          <w:pPr>
            <w:ind w:left="4320" w:firstLine="567"/>
            <w:rPr>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1E0" w:firstRow="1" w:lastRow="1" w:firstColumn="1" w:lastColumn="1" w:noHBand="0" w:noVBand="0"/>
          </w:tblPr>
          <w:tblGrid>
            <w:gridCol w:w="811"/>
            <w:gridCol w:w="5898"/>
            <w:gridCol w:w="1440"/>
            <w:gridCol w:w="1092"/>
          </w:tblGrid>
          <w:tr>
            <w:trPr>
              <w:trHeight w:val="23"/>
            </w:trPr>
            <w:tc>
              <w:tcPr>
                <w:tcW w:w="439"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vAlign w:val="center"/>
              </w:tcPr>
              <w:p>
                <w:pPr>
                  <w:ind w:firstLine="52"/>
                  <w:jc w:val="center"/>
                  <w:rPr>
                    <w:szCs w:val="24"/>
                    <w:lang w:eastAsia="lt-LT"/>
                  </w:rPr>
                </w:pPr>
                <w:r>
                  <w:rPr>
                    <w:szCs w:val="24"/>
                    <w:lang w:eastAsia="lt-LT"/>
                  </w:rPr>
                  <w:t>Eil. Nr.</w:t>
                </w:r>
              </w:p>
            </w:tc>
            <w:tc>
              <w:tcPr>
                <w:tcW w:w="3191"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vAlign w:val="center"/>
              </w:tcPr>
              <w:p>
                <w:pPr>
                  <w:ind w:firstLine="567"/>
                  <w:jc w:val="center"/>
                  <w:rPr>
                    <w:szCs w:val="24"/>
                    <w:lang w:eastAsia="lt-LT"/>
                  </w:rPr>
                </w:pPr>
                <w:r>
                  <w:rPr>
                    <w:szCs w:val="24"/>
                    <w:lang w:eastAsia="lt-LT"/>
                  </w:rPr>
                  <w:t>Žemės ūkio produkcijos rūšis</w:t>
                </w:r>
              </w:p>
            </w:tc>
            <w:tc>
              <w:tcPr>
                <w:tcW w:w="779" w:type="pct"/>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r>
                  <w:rPr>
                    <w:szCs w:val="24"/>
                    <w:lang w:eastAsia="lt-LT"/>
                  </w:rPr>
                  <w:t>Matavimo vienetas</w:t>
                </w:r>
              </w:p>
            </w:tc>
            <w:tc>
              <w:tcPr>
                <w:tcW w:w="591"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vAlign w:val="center"/>
              </w:tcPr>
              <w:p>
                <w:pPr>
                  <w:jc w:val="center"/>
                  <w:rPr>
                    <w:szCs w:val="24"/>
                    <w:lang w:eastAsia="lt-LT"/>
                  </w:rPr>
                </w:pPr>
                <w:r>
                  <w:rPr>
                    <w:szCs w:val="24"/>
                    <w:lang w:eastAsia="lt-LT"/>
                  </w:rPr>
                  <w:t>Gazolių norma</w:t>
                </w:r>
              </w:p>
            </w:tc>
          </w:tr>
          <w:tr>
            <w:trPr>
              <w:trHeight w:val="23"/>
            </w:trPr>
            <w:tc>
              <w:tcPr>
                <w:tcW w:w="439"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tcPr>
              <w:p>
                <w:pPr>
                  <w:ind w:hanging="90"/>
                  <w:jc w:val="center"/>
                  <w:rPr>
                    <w:szCs w:val="24"/>
                    <w:lang w:eastAsia="lt-LT"/>
                  </w:rPr>
                </w:pPr>
                <w:r>
                  <w:rPr>
                    <w:szCs w:val="24"/>
                    <w:lang w:eastAsia="lt-LT"/>
                  </w:rPr>
                  <w:t>1.</w:t>
                </w:r>
              </w:p>
            </w:tc>
            <w:tc>
              <w:tcPr>
                <w:tcW w:w="3191"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tcPr>
              <w:p>
                <w:pPr>
                  <w:rPr>
                    <w:szCs w:val="24"/>
                    <w:lang w:eastAsia="lt-LT"/>
                  </w:rPr>
                </w:pPr>
                <w:r>
                  <w:rPr>
                    <w:szCs w:val="24"/>
                    <w:lang w:eastAsia="lt-LT"/>
                  </w:rPr>
                  <w:t>Grūdiniai, ankštiniai ir kiti augalai, už kuriuos mokamos tiesioginės išmokos</w:t>
                </w:r>
              </w:p>
            </w:tc>
            <w:tc>
              <w:tcPr>
                <w:tcW w:w="779" w:type="pct"/>
                <w:tcBorders>
                  <w:top w:val="single" w:sz="4" w:space="0" w:color="auto"/>
                  <w:left w:val="single" w:sz="4" w:space="0" w:color="auto"/>
                  <w:bottom w:val="single" w:sz="4" w:space="0" w:color="auto"/>
                  <w:right w:val="single" w:sz="4" w:space="0" w:color="auto"/>
                </w:tcBorders>
              </w:tcPr>
              <w:p>
                <w:pPr>
                  <w:ind w:hanging="58"/>
                  <w:jc w:val="center"/>
                  <w:rPr>
                    <w:szCs w:val="24"/>
                    <w:lang w:eastAsia="lt-LT"/>
                  </w:rPr>
                </w:pPr>
                <w:r>
                  <w:rPr>
                    <w:szCs w:val="24"/>
                    <w:lang w:eastAsia="lt-LT"/>
                  </w:rPr>
                  <w:t>l už ha</w:t>
                </w:r>
              </w:p>
            </w:tc>
            <w:tc>
              <w:tcPr>
                <w:tcW w:w="591"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tcPr>
              <w:p>
                <w:pPr>
                  <w:ind w:firstLine="52"/>
                  <w:jc w:val="center"/>
                  <w:rPr>
                    <w:b/>
                    <w:bCs/>
                    <w:szCs w:val="24"/>
                    <w:lang w:eastAsia="lt-LT"/>
                  </w:rPr>
                </w:pPr>
                <w:r>
                  <w:rPr>
                    <w:szCs w:val="24"/>
                    <w:lang w:eastAsia="lt-LT"/>
                  </w:rPr>
                  <w:t>102</w:t>
                </w:r>
              </w:p>
            </w:tc>
          </w:tr>
          <w:tr>
            <w:trPr>
              <w:trHeight w:val="23"/>
            </w:trPr>
            <w:tc>
              <w:tcPr>
                <w:tcW w:w="439"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tcPr>
              <w:p>
                <w:pPr>
                  <w:ind w:firstLine="52"/>
                  <w:jc w:val="center"/>
                  <w:rPr>
                    <w:szCs w:val="24"/>
                    <w:lang w:eastAsia="lt-LT"/>
                  </w:rPr>
                </w:pPr>
                <w:r>
                  <w:rPr>
                    <w:szCs w:val="24"/>
                    <w:lang w:eastAsia="lt-LT"/>
                  </w:rPr>
                  <w:t>2.</w:t>
                </w:r>
              </w:p>
            </w:tc>
            <w:tc>
              <w:tcPr>
                <w:tcW w:w="3191"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tcPr>
              <w:p>
                <w:pPr>
                  <w:rPr>
                    <w:szCs w:val="24"/>
                    <w:lang w:eastAsia="lt-LT"/>
                  </w:rPr>
                </w:pPr>
                <w:r>
                  <w:rPr>
                    <w:szCs w:val="24"/>
                    <w:lang w:eastAsia="lt-LT"/>
                  </w:rPr>
                  <w:t>Rapsai</w:t>
                </w:r>
              </w:p>
            </w:tc>
            <w:tc>
              <w:tcPr>
                <w:tcW w:w="779" w:type="pct"/>
                <w:tcBorders>
                  <w:top w:val="single" w:sz="4" w:space="0" w:color="auto"/>
                  <w:left w:val="single" w:sz="4" w:space="0" w:color="auto"/>
                  <w:bottom w:val="single" w:sz="4" w:space="0" w:color="auto"/>
                  <w:right w:val="single" w:sz="4" w:space="0" w:color="auto"/>
                </w:tcBorders>
              </w:tcPr>
              <w:p>
                <w:pPr>
                  <w:ind w:hanging="58"/>
                  <w:jc w:val="center"/>
                  <w:rPr>
                    <w:szCs w:val="24"/>
                    <w:lang w:eastAsia="lt-LT"/>
                  </w:rPr>
                </w:pPr>
                <w:r>
                  <w:rPr>
                    <w:szCs w:val="24"/>
                    <w:lang w:eastAsia="lt-LT"/>
                  </w:rPr>
                  <w:t>l už ha</w:t>
                </w:r>
              </w:p>
            </w:tc>
            <w:tc>
              <w:tcPr>
                <w:tcW w:w="591"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tcPr>
              <w:p>
                <w:pPr>
                  <w:ind w:firstLine="52"/>
                  <w:jc w:val="center"/>
                  <w:rPr>
                    <w:szCs w:val="24"/>
                    <w:lang w:eastAsia="lt-LT"/>
                  </w:rPr>
                </w:pPr>
                <w:r>
                  <w:rPr>
                    <w:szCs w:val="24"/>
                    <w:lang w:eastAsia="lt-LT"/>
                  </w:rPr>
                  <w:t>124</w:t>
                </w:r>
              </w:p>
            </w:tc>
          </w:tr>
          <w:tr>
            <w:trPr>
              <w:trHeight w:val="23"/>
            </w:trPr>
            <w:tc>
              <w:tcPr>
                <w:tcW w:w="439"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tcPr>
              <w:p>
                <w:pPr>
                  <w:ind w:firstLine="52"/>
                  <w:jc w:val="center"/>
                  <w:rPr>
                    <w:szCs w:val="24"/>
                    <w:lang w:eastAsia="lt-LT"/>
                  </w:rPr>
                </w:pPr>
                <w:r>
                  <w:rPr>
                    <w:szCs w:val="24"/>
                    <w:lang w:eastAsia="lt-LT"/>
                  </w:rPr>
                  <w:t>3.</w:t>
                </w:r>
              </w:p>
            </w:tc>
            <w:tc>
              <w:tcPr>
                <w:tcW w:w="3191"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tcPr>
              <w:p>
                <w:pPr>
                  <w:rPr>
                    <w:szCs w:val="24"/>
                    <w:lang w:eastAsia="lt-LT"/>
                  </w:rPr>
                </w:pPr>
                <w:r>
                  <w:rPr>
                    <w:szCs w:val="24"/>
                    <w:lang w:eastAsia="lt-LT"/>
                  </w:rPr>
                  <w:t>Bulvės</w:t>
                </w:r>
              </w:p>
            </w:tc>
            <w:tc>
              <w:tcPr>
                <w:tcW w:w="779" w:type="pct"/>
                <w:tcBorders>
                  <w:top w:val="single" w:sz="4" w:space="0" w:color="auto"/>
                  <w:left w:val="single" w:sz="4" w:space="0" w:color="auto"/>
                  <w:bottom w:val="single" w:sz="4" w:space="0" w:color="auto"/>
                  <w:right w:val="single" w:sz="4" w:space="0" w:color="auto"/>
                </w:tcBorders>
              </w:tcPr>
              <w:p>
                <w:pPr>
                  <w:ind w:hanging="58"/>
                  <w:jc w:val="center"/>
                  <w:rPr>
                    <w:szCs w:val="24"/>
                    <w:lang w:eastAsia="lt-LT"/>
                  </w:rPr>
                </w:pPr>
                <w:r>
                  <w:rPr>
                    <w:szCs w:val="24"/>
                    <w:lang w:eastAsia="lt-LT"/>
                  </w:rPr>
                  <w:t>l už ha</w:t>
                </w:r>
              </w:p>
            </w:tc>
            <w:tc>
              <w:tcPr>
                <w:tcW w:w="591"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tcPr>
              <w:p>
                <w:pPr>
                  <w:ind w:firstLine="52"/>
                  <w:jc w:val="center"/>
                  <w:rPr>
                    <w:szCs w:val="24"/>
                    <w:lang w:eastAsia="lt-LT"/>
                  </w:rPr>
                </w:pPr>
                <w:r>
                  <w:rPr>
                    <w:szCs w:val="24"/>
                    <w:lang w:eastAsia="lt-LT"/>
                  </w:rPr>
                  <w:t>294</w:t>
                </w:r>
              </w:p>
            </w:tc>
          </w:tr>
          <w:tr>
            <w:trPr>
              <w:trHeight w:val="23"/>
            </w:trPr>
            <w:tc>
              <w:tcPr>
                <w:tcW w:w="439"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tcPr>
              <w:p>
                <w:pPr>
                  <w:ind w:firstLine="52"/>
                  <w:jc w:val="center"/>
                  <w:rPr>
                    <w:szCs w:val="24"/>
                    <w:lang w:eastAsia="lt-LT"/>
                  </w:rPr>
                </w:pPr>
                <w:r>
                  <w:rPr>
                    <w:szCs w:val="24"/>
                    <w:lang w:eastAsia="lt-LT"/>
                  </w:rPr>
                  <w:t>4.</w:t>
                </w:r>
              </w:p>
            </w:tc>
            <w:tc>
              <w:tcPr>
                <w:tcW w:w="3191"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tcPr>
              <w:p>
                <w:pPr>
                  <w:rPr>
                    <w:szCs w:val="24"/>
                    <w:lang w:eastAsia="lt-LT"/>
                  </w:rPr>
                </w:pPr>
                <w:r>
                  <w:rPr>
                    <w:szCs w:val="24"/>
                    <w:lang w:eastAsia="lt-LT"/>
                  </w:rPr>
                  <w:t>Daržovės</w:t>
                </w:r>
              </w:p>
            </w:tc>
            <w:tc>
              <w:tcPr>
                <w:tcW w:w="779" w:type="pct"/>
                <w:tcBorders>
                  <w:top w:val="single" w:sz="4" w:space="0" w:color="auto"/>
                  <w:left w:val="single" w:sz="4" w:space="0" w:color="auto"/>
                  <w:bottom w:val="single" w:sz="4" w:space="0" w:color="auto"/>
                  <w:right w:val="single" w:sz="4" w:space="0" w:color="auto"/>
                </w:tcBorders>
              </w:tcPr>
              <w:p>
                <w:pPr>
                  <w:ind w:hanging="58"/>
                  <w:jc w:val="center"/>
                  <w:rPr>
                    <w:szCs w:val="24"/>
                    <w:lang w:eastAsia="lt-LT"/>
                  </w:rPr>
                </w:pPr>
                <w:r>
                  <w:rPr>
                    <w:szCs w:val="24"/>
                    <w:lang w:eastAsia="lt-LT"/>
                  </w:rPr>
                  <w:t>l už ha</w:t>
                </w:r>
              </w:p>
            </w:tc>
            <w:tc>
              <w:tcPr>
                <w:tcW w:w="591"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tcPr>
              <w:p>
                <w:pPr>
                  <w:ind w:firstLine="52"/>
                  <w:jc w:val="center"/>
                  <w:rPr>
                    <w:szCs w:val="24"/>
                    <w:lang w:eastAsia="lt-LT"/>
                  </w:rPr>
                </w:pPr>
                <w:r>
                  <w:rPr>
                    <w:szCs w:val="24"/>
                    <w:lang w:eastAsia="lt-LT"/>
                  </w:rPr>
                  <w:t>306</w:t>
                </w:r>
              </w:p>
            </w:tc>
          </w:tr>
          <w:tr>
            <w:trPr>
              <w:trHeight w:val="23"/>
            </w:trPr>
            <w:tc>
              <w:tcPr>
                <w:tcW w:w="439"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tcPr>
              <w:p>
                <w:pPr>
                  <w:ind w:firstLine="52"/>
                  <w:jc w:val="center"/>
                  <w:rPr>
                    <w:szCs w:val="24"/>
                    <w:lang w:eastAsia="lt-LT"/>
                  </w:rPr>
                </w:pPr>
                <w:r>
                  <w:rPr>
                    <w:szCs w:val="24"/>
                    <w:lang w:eastAsia="lt-LT"/>
                  </w:rPr>
                  <w:t>5.</w:t>
                </w:r>
              </w:p>
            </w:tc>
            <w:tc>
              <w:tcPr>
                <w:tcW w:w="3191"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tcPr>
              <w:p>
                <w:pPr>
                  <w:rPr>
                    <w:szCs w:val="24"/>
                    <w:lang w:eastAsia="lt-LT"/>
                  </w:rPr>
                </w:pPr>
                <w:r>
                  <w:rPr>
                    <w:szCs w:val="24"/>
                    <w:lang w:eastAsia="lt-LT"/>
                  </w:rPr>
                  <w:t>Cukriniai runkeliai, pašariniai šakniavaisiai</w:t>
                </w:r>
              </w:p>
            </w:tc>
            <w:tc>
              <w:tcPr>
                <w:tcW w:w="779" w:type="pct"/>
                <w:tcBorders>
                  <w:top w:val="single" w:sz="4" w:space="0" w:color="auto"/>
                  <w:left w:val="single" w:sz="4" w:space="0" w:color="auto"/>
                  <w:bottom w:val="single" w:sz="4" w:space="0" w:color="auto"/>
                  <w:right w:val="single" w:sz="4" w:space="0" w:color="auto"/>
                </w:tcBorders>
              </w:tcPr>
              <w:p>
                <w:pPr>
                  <w:ind w:hanging="58"/>
                  <w:jc w:val="center"/>
                  <w:rPr>
                    <w:szCs w:val="24"/>
                    <w:lang w:eastAsia="lt-LT"/>
                  </w:rPr>
                </w:pPr>
                <w:r>
                  <w:rPr>
                    <w:szCs w:val="24"/>
                    <w:lang w:eastAsia="lt-LT"/>
                  </w:rPr>
                  <w:t>l už ha</w:t>
                </w:r>
              </w:p>
            </w:tc>
            <w:tc>
              <w:tcPr>
                <w:tcW w:w="591"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tcPr>
              <w:p>
                <w:pPr>
                  <w:ind w:firstLine="52"/>
                  <w:jc w:val="center"/>
                  <w:rPr>
                    <w:szCs w:val="24"/>
                    <w:lang w:eastAsia="lt-LT"/>
                  </w:rPr>
                </w:pPr>
                <w:r>
                  <w:rPr>
                    <w:szCs w:val="24"/>
                    <w:lang w:eastAsia="lt-LT"/>
                  </w:rPr>
                  <w:t>199</w:t>
                </w:r>
              </w:p>
            </w:tc>
          </w:tr>
          <w:tr>
            <w:trPr>
              <w:trHeight w:val="23"/>
            </w:trPr>
            <w:tc>
              <w:tcPr>
                <w:tcW w:w="439"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tcPr>
              <w:p>
                <w:pPr>
                  <w:ind w:firstLine="52"/>
                  <w:jc w:val="center"/>
                  <w:rPr>
                    <w:szCs w:val="24"/>
                    <w:lang w:eastAsia="lt-LT"/>
                  </w:rPr>
                </w:pPr>
                <w:r>
                  <w:rPr>
                    <w:szCs w:val="24"/>
                    <w:lang w:eastAsia="lt-LT"/>
                  </w:rPr>
                  <w:t>6.</w:t>
                </w:r>
              </w:p>
            </w:tc>
            <w:tc>
              <w:tcPr>
                <w:tcW w:w="3191"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tcPr>
              <w:p>
                <w:pPr>
                  <w:rPr>
                    <w:szCs w:val="24"/>
                    <w:lang w:eastAsia="lt-LT"/>
                  </w:rPr>
                </w:pPr>
                <w:r>
                  <w:rPr>
                    <w:szCs w:val="24"/>
                    <w:lang w:eastAsia="lt-LT"/>
                  </w:rPr>
                  <w:t>Versliniai (intensyviai prižiūrimi) sodai</w:t>
                </w:r>
              </w:p>
            </w:tc>
            <w:tc>
              <w:tcPr>
                <w:tcW w:w="779" w:type="pct"/>
                <w:tcBorders>
                  <w:top w:val="single" w:sz="4" w:space="0" w:color="auto"/>
                  <w:left w:val="single" w:sz="4" w:space="0" w:color="auto"/>
                  <w:bottom w:val="single" w:sz="4" w:space="0" w:color="auto"/>
                  <w:right w:val="single" w:sz="4" w:space="0" w:color="auto"/>
                </w:tcBorders>
              </w:tcPr>
              <w:p>
                <w:pPr>
                  <w:ind w:hanging="58"/>
                  <w:jc w:val="center"/>
                  <w:rPr>
                    <w:szCs w:val="24"/>
                    <w:lang w:eastAsia="lt-LT"/>
                  </w:rPr>
                </w:pPr>
                <w:r>
                  <w:rPr>
                    <w:szCs w:val="24"/>
                    <w:lang w:eastAsia="lt-LT"/>
                  </w:rPr>
                  <w:t>l už ha</w:t>
                </w:r>
              </w:p>
            </w:tc>
            <w:tc>
              <w:tcPr>
                <w:tcW w:w="591"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tcPr>
              <w:p>
                <w:pPr>
                  <w:ind w:firstLine="52"/>
                  <w:jc w:val="center"/>
                  <w:rPr>
                    <w:szCs w:val="24"/>
                    <w:lang w:eastAsia="lt-LT"/>
                  </w:rPr>
                </w:pPr>
                <w:r>
                  <w:rPr>
                    <w:szCs w:val="24"/>
                    <w:lang w:eastAsia="lt-LT"/>
                  </w:rPr>
                  <w:t>312</w:t>
                </w:r>
              </w:p>
            </w:tc>
          </w:tr>
          <w:tr>
            <w:trPr>
              <w:trHeight w:val="23"/>
            </w:trPr>
            <w:tc>
              <w:tcPr>
                <w:tcW w:w="439"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tcPr>
              <w:p>
                <w:pPr>
                  <w:ind w:firstLine="52"/>
                  <w:jc w:val="center"/>
                  <w:rPr>
                    <w:szCs w:val="24"/>
                    <w:lang w:eastAsia="lt-LT"/>
                  </w:rPr>
                </w:pPr>
                <w:r>
                  <w:rPr>
                    <w:szCs w:val="24"/>
                    <w:lang w:eastAsia="lt-LT"/>
                  </w:rPr>
                  <w:t>7.</w:t>
                </w:r>
              </w:p>
            </w:tc>
            <w:tc>
              <w:tcPr>
                <w:tcW w:w="3191"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tcPr>
              <w:p>
                <w:pPr>
                  <w:rPr>
                    <w:szCs w:val="24"/>
                    <w:lang w:eastAsia="lt-LT"/>
                  </w:rPr>
                </w:pPr>
                <w:r>
                  <w:rPr>
                    <w:szCs w:val="24"/>
                    <w:lang w:eastAsia="lt-LT"/>
                  </w:rPr>
                  <w:t>Versliniai (intensyviai prižiūrimi) uogynai</w:t>
                </w:r>
              </w:p>
            </w:tc>
            <w:tc>
              <w:tcPr>
                <w:tcW w:w="779" w:type="pct"/>
                <w:tcBorders>
                  <w:top w:val="single" w:sz="4" w:space="0" w:color="auto"/>
                  <w:left w:val="single" w:sz="4" w:space="0" w:color="auto"/>
                  <w:bottom w:val="single" w:sz="4" w:space="0" w:color="auto"/>
                  <w:right w:val="single" w:sz="4" w:space="0" w:color="auto"/>
                </w:tcBorders>
              </w:tcPr>
              <w:p>
                <w:pPr>
                  <w:ind w:hanging="58"/>
                  <w:jc w:val="center"/>
                  <w:rPr>
                    <w:szCs w:val="24"/>
                    <w:lang w:eastAsia="lt-LT"/>
                  </w:rPr>
                </w:pPr>
                <w:r>
                  <w:rPr>
                    <w:szCs w:val="24"/>
                    <w:lang w:eastAsia="lt-LT"/>
                  </w:rPr>
                  <w:t>l už ha</w:t>
                </w:r>
              </w:p>
            </w:tc>
            <w:tc>
              <w:tcPr>
                <w:tcW w:w="591"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tcPr>
              <w:p>
                <w:pPr>
                  <w:ind w:firstLine="52"/>
                  <w:jc w:val="center"/>
                  <w:rPr>
                    <w:szCs w:val="24"/>
                    <w:lang w:eastAsia="lt-LT"/>
                  </w:rPr>
                </w:pPr>
                <w:r>
                  <w:rPr>
                    <w:szCs w:val="24"/>
                    <w:lang w:eastAsia="lt-LT"/>
                  </w:rPr>
                  <w:t>229</w:t>
                </w:r>
              </w:p>
            </w:tc>
          </w:tr>
          <w:tr>
            <w:trPr>
              <w:trHeight w:val="23"/>
            </w:trPr>
            <w:tc>
              <w:tcPr>
                <w:tcW w:w="439"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tcPr>
              <w:p>
                <w:pPr>
                  <w:ind w:firstLine="52"/>
                  <w:jc w:val="center"/>
                  <w:rPr>
                    <w:szCs w:val="24"/>
                    <w:lang w:eastAsia="lt-LT"/>
                  </w:rPr>
                </w:pPr>
                <w:r>
                  <w:rPr>
                    <w:szCs w:val="24"/>
                    <w:lang w:eastAsia="lt-LT"/>
                  </w:rPr>
                  <w:t>8.</w:t>
                </w:r>
              </w:p>
            </w:tc>
            <w:tc>
              <w:tcPr>
                <w:tcW w:w="3191"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tcPr>
              <w:p>
                <w:pPr>
                  <w:rPr>
                    <w:szCs w:val="24"/>
                    <w:lang w:eastAsia="lt-LT"/>
                  </w:rPr>
                </w:pPr>
                <w:r>
                  <w:rPr>
                    <w:szCs w:val="24"/>
                    <w:lang w:eastAsia="lt-LT"/>
                  </w:rPr>
                  <w:t>Linai, pluoštinės kanapės</w:t>
                </w:r>
              </w:p>
            </w:tc>
            <w:tc>
              <w:tcPr>
                <w:tcW w:w="779" w:type="pct"/>
                <w:tcBorders>
                  <w:top w:val="single" w:sz="4" w:space="0" w:color="auto"/>
                  <w:left w:val="single" w:sz="4" w:space="0" w:color="auto"/>
                  <w:bottom w:val="single" w:sz="4" w:space="0" w:color="auto"/>
                  <w:right w:val="single" w:sz="4" w:space="0" w:color="auto"/>
                </w:tcBorders>
              </w:tcPr>
              <w:p>
                <w:pPr>
                  <w:ind w:hanging="58"/>
                  <w:jc w:val="center"/>
                  <w:rPr>
                    <w:szCs w:val="24"/>
                    <w:lang w:eastAsia="lt-LT"/>
                  </w:rPr>
                </w:pPr>
                <w:r>
                  <w:rPr>
                    <w:szCs w:val="24"/>
                    <w:lang w:eastAsia="lt-LT"/>
                  </w:rPr>
                  <w:t>l už ha</w:t>
                </w:r>
              </w:p>
            </w:tc>
            <w:tc>
              <w:tcPr>
                <w:tcW w:w="591"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tcPr>
              <w:p>
                <w:pPr>
                  <w:ind w:firstLine="52"/>
                  <w:jc w:val="center"/>
                  <w:rPr>
                    <w:szCs w:val="24"/>
                    <w:lang w:eastAsia="lt-LT"/>
                  </w:rPr>
                </w:pPr>
                <w:r>
                  <w:rPr>
                    <w:szCs w:val="24"/>
                    <w:lang w:eastAsia="lt-LT"/>
                  </w:rPr>
                  <w:t>133</w:t>
                </w:r>
              </w:p>
            </w:tc>
          </w:tr>
          <w:tr>
            <w:trPr>
              <w:trHeight w:val="23"/>
            </w:trPr>
            <w:tc>
              <w:tcPr>
                <w:tcW w:w="439"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tcPr>
              <w:p>
                <w:pPr>
                  <w:ind w:firstLine="52"/>
                  <w:jc w:val="center"/>
                  <w:rPr>
                    <w:szCs w:val="24"/>
                    <w:lang w:eastAsia="lt-LT"/>
                  </w:rPr>
                </w:pPr>
                <w:r>
                  <w:rPr>
                    <w:szCs w:val="24"/>
                    <w:lang w:eastAsia="lt-LT"/>
                  </w:rPr>
                  <w:t>9.</w:t>
                </w:r>
              </w:p>
            </w:tc>
            <w:tc>
              <w:tcPr>
                <w:tcW w:w="3191"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tcPr>
              <w:p>
                <w:pPr>
                  <w:rPr>
                    <w:szCs w:val="24"/>
                    <w:lang w:eastAsia="lt-LT"/>
                  </w:rPr>
                </w:pPr>
                <w:r>
                  <w:rPr>
                    <w:szCs w:val="24"/>
                  </w:rPr>
                  <w:t xml:space="preserve">Pūdymai </w:t>
                </w:r>
              </w:p>
            </w:tc>
            <w:tc>
              <w:tcPr>
                <w:tcW w:w="779" w:type="pct"/>
                <w:tcBorders>
                  <w:top w:val="single" w:sz="4" w:space="0" w:color="auto"/>
                  <w:left w:val="single" w:sz="4" w:space="0" w:color="auto"/>
                  <w:bottom w:val="single" w:sz="4" w:space="0" w:color="auto"/>
                  <w:right w:val="single" w:sz="4" w:space="0" w:color="auto"/>
                </w:tcBorders>
              </w:tcPr>
              <w:p>
                <w:pPr>
                  <w:ind w:hanging="58"/>
                  <w:jc w:val="center"/>
                  <w:rPr>
                    <w:szCs w:val="24"/>
                    <w:lang w:eastAsia="lt-LT"/>
                  </w:rPr>
                </w:pPr>
                <w:r>
                  <w:rPr>
                    <w:szCs w:val="24"/>
                  </w:rPr>
                  <w:t>l už ha</w:t>
                </w:r>
              </w:p>
            </w:tc>
            <w:tc>
              <w:tcPr>
                <w:tcW w:w="591"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tcPr>
              <w:p>
                <w:pPr>
                  <w:ind w:firstLine="52"/>
                  <w:jc w:val="center"/>
                  <w:rPr>
                    <w:szCs w:val="24"/>
                    <w:lang w:eastAsia="lt-LT"/>
                  </w:rPr>
                </w:pPr>
                <w:r>
                  <w:rPr>
                    <w:szCs w:val="24"/>
                  </w:rPr>
                  <w:t>102</w:t>
                </w:r>
              </w:p>
            </w:tc>
          </w:tr>
          <w:tr>
            <w:trPr>
              <w:trHeight w:val="23"/>
            </w:trPr>
            <w:tc>
              <w:tcPr>
                <w:tcW w:w="439"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tcPr>
              <w:p>
                <w:pPr>
                  <w:ind w:firstLine="52"/>
                  <w:jc w:val="center"/>
                  <w:rPr>
                    <w:szCs w:val="24"/>
                    <w:lang w:eastAsia="lt-LT"/>
                  </w:rPr>
                </w:pPr>
                <w:r>
                  <w:rPr>
                    <w:szCs w:val="24"/>
                    <w:lang w:eastAsia="lt-LT"/>
                  </w:rPr>
                  <w:t>10.</w:t>
                </w:r>
              </w:p>
            </w:tc>
            <w:tc>
              <w:tcPr>
                <w:tcW w:w="3191"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tcPr>
              <w:p>
                <w:pPr>
                  <w:rPr>
                    <w:szCs w:val="24"/>
                  </w:rPr>
                </w:pPr>
                <w:r>
                  <w:rPr>
                    <w:szCs w:val="24"/>
                    <w:lang w:eastAsia="lt-LT"/>
                  </w:rPr>
                  <w:t>Trumpos rotacijos želdiniai</w:t>
                </w:r>
              </w:p>
            </w:tc>
            <w:tc>
              <w:tcPr>
                <w:tcW w:w="779" w:type="pct"/>
                <w:tcBorders>
                  <w:top w:val="single" w:sz="4" w:space="0" w:color="auto"/>
                  <w:left w:val="single" w:sz="4" w:space="0" w:color="auto"/>
                  <w:bottom w:val="single" w:sz="4" w:space="0" w:color="auto"/>
                  <w:right w:val="single" w:sz="4" w:space="0" w:color="auto"/>
                </w:tcBorders>
              </w:tcPr>
              <w:p>
                <w:pPr>
                  <w:ind w:hanging="58"/>
                  <w:jc w:val="center"/>
                  <w:rPr>
                    <w:szCs w:val="24"/>
                  </w:rPr>
                </w:pPr>
                <w:r>
                  <w:rPr>
                    <w:szCs w:val="24"/>
                    <w:lang w:eastAsia="lt-LT"/>
                  </w:rPr>
                  <w:t>l už ha</w:t>
                </w:r>
              </w:p>
            </w:tc>
            <w:tc>
              <w:tcPr>
                <w:tcW w:w="591"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tcPr>
              <w:p>
                <w:pPr>
                  <w:ind w:firstLine="52"/>
                  <w:jc w:val="center"/>
                  <w:rPr>
                    <w:szCs w:val="24"/>
                  </w:rPr>
                </w:pPr>
                <w:r>
                  <w:rPr>
                    <w:szCs w:val="24"/>
                    <w:lang w:eastAsia="lt-LT"/>
                  </w:rPr>
                  <w:t>40</w:t>
                </w:r>
              </w:p>
            </w:tc>
          </w:tr>
          <w:tr>
            <w:trPr>
              <w:trHeight w:val="23"/>
            </w:trPr>
            <w:tc>
              <w:tcPr>
                <w:tcW w:w="439"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tcPr>
              <w:p>
                <w:pPr>
                  <w:ind w:firstLine="52"/>
                  <w:jc w:val="center"/>
                  <w:rPr>
                    <w:szCs w:val="24"/>
                    <w:lang w:eastAsia="lt-LT"/>
                  </w:rPr>
                </w:pPr>
                <w:r>
                  <w:rPr>
                    <w:szCs w:val="24"/>
                    <w:lang w:eastAsia="lt-LT"/>
                  </w:rPr>
                  <w:t>11.</w:t>
                </w:r>
              </w:p>
            </w:tc>
            <w:tc>
              <w:tcPr>
                <w:tcW w:w="3191"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tcPr>
              <w:p>
                <w:pPr>
                  <w:rPr>
                    <w:szCs w:val="24"/>
                    <w:lang w:eastAsia="lt-LT"/>
                  </w:rPr>
                </w:pPr>
                <w:r>
                  <w:rPr>
                    <w:szCs w:val="24"/>
                    <w:lang w:eastAsia="lt-LT"/>
                  </w:rPr>
                  <w:t>Kukurūzai pašarui</w:t>
                </w:r>
              </w:p>
            </w:tc>
            <w:tc>
              <w:tcPr>
                <w:tcW w:w="779" w:type="pct"/>
                <w:tcBorders>
                  <w:top w:val="single" w:sz="4" w:space="0" w:color="auto"/>
                  <w:left w:val="single" w:sz="4" w:space="0" w:color="auto"/>
                  <w:bottom w:val="single" w:sz="4" w:space="0" w:color="auto"/>
                  <w:right w:val="single" w:sz="4" w:space="0" w:color="auto"/>
                </w:tcBorders>
              </w:tcPr>
              <w:p>
                <w:pPr>
                  <w:ind w:hanging="58"/>
                  <w:jc w:val="center"/>
                  <w:rPr>
                    <w:szCs w:val="24"/>
                    <w:lang w:eastAsia="lt-LT"/>
                  </w:rPr>
                </w:pPr>
                <w:r>
                  <w:rPr>
                    <w:szCs w:val="24"/>
                    <w:lang w:eastAsia="lt-LT"/>
                  </w:rPr>
                  <w:t>1 už ha</w:t>
                </w:r>
              </w:p>
            </w:tc>
            <w:tc>
              <w:tcPr>
                <w:tcW w:w="591"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tcPr>
              <w:p>
                <w:pPr>
                  <w:ind w:firstLine="52"/>
                  <w:jc w:val="center"/>
                  <w:rPr>
                    <w:szCs w:val="24"/>
                    <w:lang w:eastAsia="lt-LT"/>
                  </w:rPr>
                </w:pPr>
                <w:r>
                  <w:rPr>
                    <w:szCs w:val="24"/>
                    <w:lang w:eastAsia="lt-LT"/>
                  </w:rPr>
                  <w:t>181</w:t>
                </w:r>
              </w:p>
            </w:tc>
          </w:tr>
          <w:tr>
            <w:trPr>
              <w:trHeight w:val="23"/>
            </w:trPr>
            <w:tc>
              <w:tcPr>
                <w:tcW w:w="439"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tcPr>
              <w:p>
                <w:pPr>
                  <w:ind w:firstLine="52"/>
                  <w:jc w:val="center"/>
                  <w:rPr>
                    <w:szCs w:val="24"/>
                    <w:lang w:eastAsia="lt-LT"/>
                  </w:rPr>
                </w:pPr>
                <w:r>
                  <w:rPr>
                    <w:szCs w:val="24"/>
                    <w:lang w:eastAsia="lt-LT"/>
                  </w:rPr>
                  <w:t>12.</w:t>
                </w:r>
              </w:p>
            </w:tc>
            <w:tc>
              <w:tcPr>
                <w:tcW w:w="3191"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tcPr>
              <w:p>
                <w:pPr>
                  <w:rPr>
                    <w:szCs w:val="24"/>
                    <w:lang w:eastAsia="lt-LT"/>
                  </w:rPr>
                </w:pPr>
                <w:r>
                  <w:rPr>
                    <w:szCs w:val="24"/>
                    <w:lang w:eastAsia="lt-LT"/>
                  </w:rPr>
                  <w:t>Pievos, skirtos prekinių žolinių pašarų produkcijos gamybai</w:t>
                </w:r>
              </w:p>
            </w:tc>
            <w:tc>
              <w:tcPr>
                <w:tcW w:w="779" w:type="pct"/>
                <w:tcBorders>
                  <w:top w:val="single" w:sz="4" w:space="0" w:color="auto"/>
                  <w:left w:val="single" w:sz="4" w:space="0" w:color="auto"/>
                  <w:bottom w:val="single" w:sz="4" w:space="0" w:color="auto"/>
                  <w:right w:val="single" w:sz="4" w:space="0" w:color="auto"/>
                </w:tcBorders>
              </w:tcPr>
              <w:p>
                <w:pPr>
                  <w:ind w:hanging="58"/>
                  <w:jc w:val="center"/>
                  <w:rPr>
                    <w:szCs w:val="24"/>
                    <w:lang w:eastAsia="lt-LT"/>
                  </w:rPr>
                </w:pPr>
                <w:r>
                  <w:rPr>
                    <w:szCs w:val="24"/>
                    <w:lang w:eastAsia="lt-LT"/>
                  </w:rPr>
                  <w:t>1 už ha</w:t>
                </w:r>
              </w:p>
            </w:tc>
            <w:tc>
              <w:tcPr>
                <w:tcW w:w="591"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tcPr>
              <w:p>
                <w:pPr>
                  <w:ind w:firstLine="52"/>
                  <w:jc w:val="center"/>
                  <w:rPr>
                    <w:szCs w:val="24"/>
                    <w:lang w:eastAsia="lt-LT"/>
                  </w:rPr>
                </w:pPr>
                <w:r>
                  <w:rPr>
                    <w:szCs w:val="24"/>
                    <w:lang w:eastAsia="lt-LT"/>
                  </w:rPr>
                  <w:t>125</w:t>
                </w:r>
              </w:p>
            </w:tc>
          </w:tr>
          <w:tr>
            <w:trPr>
              <w:trHeight w:val="23"/>
            </w:trPr>
            <w:tc>
              <w:tcPr>
                <w:tcW w:w="439"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tcPr>
              <w:p>
                <w:pPr>
                  <w:ind w:firstLine="52"/>
                  <w:jc w:val="center"/>
                  <w:rPr>
                    <w:szCs w:val="24"/>
                    <w:lang w:eastAsia="lt-LT"/>
                  </w:rPr>
                </w:pPr>
                <w:r>
                  <w:rPr>
                    <w:szCs w:val="24"/>
                    <w:lang w:eastAsia="lt-LT"/>
                  </w:rPr>
                  <w:t>13.</w:t>
                </w:r>
              </w:p>
            </w:tc>
            <w:tc>
              <w:tcPr>
                <w:tcW w:w="3191"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tcPr>
              <w:p>
                <w:pPr>
                  <w:rPr>
                    <w:szCs w:val="24"/>
                    <w:lang w:eastAsia="lt-LT"/>
                  </w:rPr>
                </w:pPr>
                <w:r>
                  <w:rPr>
                    <w:szCs w:val="24"/>
                    <w:lang w:eastAsia="lt-LT"/>
                  </w:rPr>
                  <w:t>Grybai (grybų auginimas)</w:t>
                </w:r>
              </w:p>
            </w:tc>
            <w:tc>
              <w:tcPr>
                <w:tcW w:w="779" w:type="pct"/>
                <w:tcBorders>
                  <w:top w:val="single" w:sz="4" w:space="0" w:color="auto"/>
                  <w:left w:val="single" w:sz="4" w:space="0" w:color="auto"/>
                  <w:bottom w:val="single" w:sz="4" w:space="0" w:color="auto"/>
                  <w:right w:val="single" w:sz="4" w:space="0" w:color="auto"/>
                </w:tcBorders>
              </w:tcPr>
              <w:p>
                <w:pPr>
                  <w:ind w:hanging="58"/>
                  <w:jc w:val="center"/>
                  <w:rPr>
                    <w:szCs w:val="24"/>
                    <w:lang w:eastAsia="lt-LT"/>
                  </w:rPr>
                </w:pPr>
                <w:r>
                  <w:rPr>
                    <w:szCs w:val="24"/>
                    <w:lang w:eastAsia="lt-LT"/>
                  </w:rPr>
                  <w:t>l už kv. m</w:t>
                </w:r>
              </w:p>
            </w:tc>
            <w:tc>
              <w:tcPr>
                <w:tcW w:w="591"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tcPr>
              <w:p>
                <w:pPr>
                  <w:ind w:firstLine="52"/>
                  <w:jc w:val="center"/>
                  <w:rPr>
                    <w:szCs w:val="24"/>
                    <w:lang w:eastAsia="lt-LT"/>
                  </w:rPr>
                </w:pPr>
                <w:r>
                  <w:rPr>
                    <w:szCs w:val="24"/>
                    <w:lang w:eastAsia="lt-LT"/>
                  </w:rPr>
                  <w:t>8</w:t>
                </w:r>
              </w:p>
            </w:tc>
          </w:tr>
          <w:tr>
            <w:trPr>
              <w:trHeight w:val="23"/>
            </w:trPr>
            <w:tc>
              <w:tcPr>
                <w:tcW w:w="439"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tcPr>
              <w:p>
                <w:pPr>
                  <w:ind w:firstLine="52"/>
                  <w:jc w:val="center"/>
                  <w:rPr>
                    <w:szCs w:val="24"/>
                    <w:lang w:eastAsia="lt-LT"/>
                  </w:rPr>
                </w:pPr>
                <w:r>
                  <w:rPr>
                    <w:szCs w:val="24"/>
                    <w:lang w:eastAsia="lt-LT"/>
                  </w:rPr>
                  <w:t>14.</w:t>
                </w:r>
              </w:p>
            </w:tc>
            <w:tc>
              <w:tcPr>
                <w:tcW w:w="3191"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tcPr>
              <w:p>
                <w:pPr>
                  <w:tabs>
                    <w:tab w:val="left" w:pos="1560"/>
                  </w:tabs>
                  <w:rPr>
                    <w:szCs w:val="24"/>
                    <w:lang w:eastAsia="lt-LT"/>
                  </w:rPr>
                </w:pPr>
                <w:r>
                  <w:rPr>
                    <w:szCs w:val="24"/>
                    <w:lang w:eastAsia="lt-LT"/>
                  </w:rPr>
                  <w:t>Grybai (substrato gaminimas ir grybų auginimas)</w:t>
                </w:r>
              </w:p>
            </w:tc>
            <w:tc>
              <w:tcPr>
                <w:tcW w:w="779" w:type="pct"/>
                <w:tcBorders>
                  <w:top w:val="single" w:sz="4" w:space="0" w:color="auto"/>
                  <w:left w:val="single" w:sz="4" w:space="0" w:color="auto"/>
                  <w:bottom w:val="single" w:sz="4" w:space="0" w:color="auto"/>
                  <w:right w:val="single" w:sz="4" w:space="0" w:color="auto"/>
                </w:tcBorders>
              </w:tcPr>
              <w:p>
                <w:pPr>
                  <w:ind w:hanging="58"/>
                  <w:jc w:val="center"/>
                  <w:rPr>
                    <w:szCs w:val="24"/>
                    <w:lang w:eastAsia="lt-LT"/>
                  </w:rPr>
                </w:pPr>
                <w:r>
                  <w:rPr>
                    <w:szCs w:val="24"/>
                    <w:lang w:eastAsia="lt-LT"/>
                  </w:rPr>
                  <w:t>l už kv. m</w:t>
                </w:r>
              </w:p>
            </w:tc>
            <w:tc>
              <w:tcPr>
                <w:tcW w:w="591"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tcPr>
              <w:p>
                <w:pPr>
                  <w:ind w:firstLine="52"/>
                  <w:jc w:val="center"/>
                  <w:rPr>
                    <w:szCs w:val="24"/>
                    <w:lang w:eastAsia="lt-LT"/>
                  </w:rPr>
                </w:pPr>
                <w:r>
                  <w:rPr>
                    <w:szCs w:val="24"/>
                    <w:lang w:eastAsia="lt-LT"/>
                  </w:rPr>
                  <w:t>20</w:t>
                </w:r>
              </w:p>
            </w:tc>
          </w:tr>
          <w:tr>
            <w:trPr>
              <w:trHeight w:val="23"/>
            </w:trPr>
            <w:tc>
              <w:tcPr>
                <w:tcW w:w="439" w:type="pct"/>
                <w:tcBorders>
                  <w:top w:val="single" w:sz="4" w:space="0" w:color="auto"/>
                  <w:left w:val="single" w:sz="4" w:space="0" w:color="auto"/>
                  <w:bottom w:val="single" w:sz="4" w:space="0" w:color="auto"/>
                  <w:right w:val="single" w:sz="4" w:space="0" w:color="auto"/>
                </w:tcBorders>
              </w:tcPr>
              <w:p>
                <w:pPr>
                  <w:ind w:firstLine="52"/>
                  <w:jc w:val="center"/>
                  <w:rPr>
                    <w:szCs w:val="24"/>
                    <w:lang w:eastAsia="lt-LT"/>
                  </w:rPr>
                </w:pPr>
                <w:r>
                  <w:rPr>
                    <w:szCs w:val="24"/>
                    <w:lang w:eastAsia="lt-LT"/>
                  </w:rPr>
                  <w:t>15.</w:t>
                </w:r>
              </w:p>
            </w:tc>
            <w:tc>
              <w:tcPr>
                <w:tcW w:w="3191" w:type="pct"/>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Arkliai</w:t>
                </w:r>
              </w:p>
            </w:tc>
            <w:tc>
              <w:tcPr>
                <w:tcW w:w="779" w:type="pct"/>
                <w:tcBorders>
                  <w:top w:val="single" w:sz="4" w:space="0" w:color="auto"/>
                  <w:left w:val="single" w:sz="4" w:space="0" w:color="auto"/>
                  <w:bottom w:val="single" w:sz="4" w:space="0" w:color="auto"/>
                  <w:right w:val="single" w:sz="4" w:space="0" w:color="auto"/>
                </w:tcBorders>
              </w:tcPr>
              <w:p>
                <w:pPr>
                  <w:ind w:hanging="58"/>
                  <w:jc w:val="center"/>
                  <w:rPr>
                    <w:szCs w:val="24"/>
                    <w:lang w:eastAsia="lt-LT"/>
                  </w:rPr>
                </w:pPr>
                <w:r>
                  <w:rPr>
                    <w:szCs w:val="24"/>
                    <w:lang w:eastAsia="lt-LT"/>
                  </w:rPr>
                  <w:t>l už SG</w:t>
                </w:r>
              </w:p>
            </w:tc>
            <w:tc>
              <w:tcPr>
                <w:tcW w:w="591" w:type="pct"/>
                <w:tcBorders>
                  <w:top w:val="single" w:sz="4" w:space="0" w:color="auto"/>
                  <w:left w:val="single" w:sz="4" w:space="0" w:color="auto"/>
                  <w:bottom w:val="single" w:sz="4" w:space="0" w:color="auto"/>
                  <w:right w:val="single" w:sz="4" w:space="0" w:color="auto"/>
                </w:tcBorders>
              </w:tcPr>
              <w:p>
                <w:pPr>
                  <w:ind w:firstLine="52"/>
                  <w:jc w:val="center"/>
                  <w:rPr>
                    <w:szCs w:val="24"/>
                    <w:lang w:eastAsia="lt-LT"/>
                  </w:rPr>
                </w:pPr>
                <w:r>
                  <w:rPr>
                    <w:szCs w:val="24"/>
                    <w:lang w:eastAsia="lt-LT"/>
                  </w:rPr>
                  <w:t>115</w:t>
                </w:r>
              </w:p>
            </w:tc>
          </w:tr>
          <w:tr>
            <w:trPr>
              <w:trHeight w:val="23"/>
            </w:trPr>
            <w:tc>
              <w:tcPr>
                <w:tcW w:w="439" w:type="pct"/>
                <w:tcBorders>
                  <w:top w:val="single" w:sz="4" w:space="0" w:color="auto"/>
                  <w:left w:val="single" w:sz="4" w:space="0" w:color="auto"/>
                  <w:bottom w:val="single" w:sz="4" w:space="0" w:color="auto"/>
                  <w:right w:val="single" w:sz="4" w:space="0" w:color="auto"/>
                </w:tcBorders>
              </w:tcPr>
              <w:p>
                <w:pPr>
                  <w:ind w:firstLine="52"/>
                  <w:jc w:val="center"/>
                  <w:rPr>
                    <w:szCs w:val="24"/>
                    <w:lang w:eastAsia="lt-LT"/>
                  </w:rPr>
                </w:pPr>
                <w:r>
                  <w:rPr>
                    <w:szCs w:val="24"/>
                    <w:lang w:eastAsia="lt-LT"/>
                  </w:rPr>
                  <w:t>16.</w:t>
                </w:r>
              </w:p>
            </w:tc>
            <w:tc>
              <w:tcPr>
                <w:tcW w:w="3191" w:type="pct"/>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Avys, ožkos</w:t>
                </w:r>
              </w:p>
            </w:tc>
            <w:tc>
              <w:tcPr>
                <w:tcW w:w="779" w:type="pct"/>
                <w:tcBorders>
                  <w:top w:val="single" w:sz="4" w:space="0" w:color="auto"/>
                  <w:left w:val="single" w:sz="4" w:space="0" w:color="auto"/>
                  <w:bottom w:val="single" w:sz="4" w:space="0" w:color="auto"/>
                  <w:right w:val="single" w:sz="4" w:space="0" w:color="auto"/>
                </w:tcBorders>
              </w:tcPr>
              <w:p>
                <w:pPr>
                  <w:ind w:hanging="58"/>
                  <w:jc w:val="center"/>
                  <w:rPr>
                    <w:szCs w:val="24"/>
                    <w:lang w:eastAsia="lt-LT"/>
                  </w:rPr>
                </w:pPr>
                <w:r>
                  <w:rPr>
                    <w:szCs w:val="24"/>
                    <w:lang w:eastAsia="lt-LT"/>
                  </w:rPr>
                  <w:t>l už SG</w:t>
                </w:r>
              </w:p>
            </w:tc>
            <w:tc>
              <w:tcPr>
                <w:tcW w:w="591" w:type="pct"/>
                <w:tcBorders>
                  <w:top w:val="single" w:sz="4" w:space="0" w:color="auto"/>
                  <w:left w:val="single" w:sz="4" w:space="0" w:color="auto"/>
                  <w:bottom w:val="single" w:sz="4" w:space="0" w:color="auto"/>
                  <w:right w:val="single" w:sz="4" w:space="0" w:color="auto"/>
                </w:tcBorders>
              </w:tcPr>
              <w:p>
                <w:pPr>
                  <w:ind w:firstLine="52"/>
                  <w:jc w:val="center"/>
                  <w:rPr>
                    <w:szCs w:val="24"/>
                    <w:lang w:eastAsia="lt-LT"/>
                  </w:rPr>
                </w:pPr>
                <w:r>
                  <w:rPr>
                    <w:szCs w:val="24"/>
                    <w:lang w:eastAsia="lt-LT"/>
                  </w:rPr>
                  <w:t>90</w:t>
                </w:r>
              </w:p>
            </w:tc>
          </w:tr>
          <w:tr>
            <w:trPr>
              <w:trHeight w:val="23"/>
            </w:trPr>
            <w:tc>
              <w:tcPr>
                <w:tcW w:w="439" w:type="pct"/>
                <w:tcBorders>
                  <w:top w:val="single" w:sz="4" w:space="0" w:color="auto"/>
                  <w:left w:val="single" w:sz="4" w:space="0" w:color="auto"/>
                  <w:bottom w:val="single" w:sz="4" w:space="0" w:color="auto"/>
                  <w:right w:val="single" w:sz="4" w:space="0" w:color="auto"/>
                </w:tcBorders>
              </w:tcPr>
              <w:p>
                <w:pPr>
                  <w:ind w:firstLine="52"/>
                  <w:jc w:val="center"/>
                  <w:rPr>
                    <w:szCs w:val="24"/>
                    <w:lang w:eastAsia="lt-LT"/>
                  </w:rPr>
                </w:pPr>
                <w:r>
                  <w:rPr>
                    <w:szCs w:val="24"/>
                    <w:lang w:eastAsia="lt-LT"/>
                  </w:rPr>
                  <w:t>17.</w:t>
                </w:r>
              </w:p>
            </w:tc>
            <w:tc>
              <w:tcPr>
                <w:tcW w:w="3191" w:type="pct"/>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Galvijai</w:t>
                </w:r>
              </w:p>
            </w:tc>
            <w:tc>
              <w:tcPr>
                <w:tcW w:w="779" w:type="pct"/>
                <w:tcBorders>
                  <w:top w:val="single" w:sz="4" w:space="0" w:color="auto"/>
                  <w:left w:val="single" w:sz="4" w:space="0" w:color="auto"/>
                  <w:bottom w:val="single" w:sz="4" w:space="0" w:color="auto"/>
                  <w:right w:val="single" w:sz="4" w:space="0" w:color="auto"/>
                </w:tcBorders>
              </w:tcPr>
              <w:p>
                <w:pPr>
                  <w:ind w:hanging="58"/>
                  <w:jc w:val="center"/>
                  <w:rPr>
                    <w:szCs w:val="24"/>
                    <w:lang w:eastAsia="lt-LT"/>
                  </w:rPr>
                </w:pPr>
                <w:r>
                  <w:rPr>
                    <w:szCs w:val="24"/>
                    <w:lang w:eastAsia="lt-LT"/>
                  </w:rPr>
                  <w:t>l už SG</w:t>
                </w:r>
              </w:p>
            </w:tc>
            <w:tc>
              <w:tcPr>
                <w:tcW w:w="591" w:type="pct"/>
                <w:tcBorders>
                  <w:top w:val="single" w:sz="4" w:space="0" w:color="auto"/>
                  <w:left w:val="single" w:sz="4" w:space="0" w:color="auto"/>
                  <w:bottom w:val="single" w:sz="4" w:space="0" w:color="auto"/>
                  <w:right w:val="single" w:sz="4" w:space="0" w:color="auto"/>
                </w:tcBorders>
              </w:tcPr>
              <w:p>
                <w:pPr>
                  <w:ind w:firstLine="52"/>
                  <w:jc w:val="center"/>
                  <w:rPr>
                    <w:szCs w:val="24"/>
                    <w:lang w:eastAsia="lt-LT"/>
                  </w:rPr>
                </w:pPr>
                <w:r>
                  <w:rPr>
                    <w:szCs w:val="24"/>
                    <w:lang w:eastAsia="lt-LT"/>
                  </w:rPr>
                  <w:t>128</w:t>
                </w:r>
              </w:p>
            </w:tc>
          </w:tr>
          <w:tr>
            <w:trPr>
              <w:trHeight w:val="23"/>
            </w:trPr>
            <w:tc>
              <w:tcPr>
                <w:tcW w:w="439"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tcPr>
              <w:p>
                <w:pPr>
                  <w:ind w:firstLine="52"/>
                  <w:jc w:val="center"/>
                  <w:rPr>
                    <w:szCs w:val="24"/>
                    <w:lang w:eastAsia="lt-LT"/>
                  </w:rPr>
                </w:pPr>
                <w:r>
                  <w:rPr>
                    <w:szCs w:val="24"/>
                    <w:lang w:eastAsia="lt-LT"/>
                  </w:rPr>
                  <w:t>18.</w:t>
                </w:r>
              </w:p>
            </w:tc>
            <w:tc>
              <w:tcPr>
                <w:tcW w:w="3191"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tcPr>
              <w:p>
                <w:pPr>
                  <w:rPr>
                    <w:szCs w:val="24"/>
                    <w:lang w:eastAsia="lt-LT"/>
                  </w:rPr>
                </w:pPr>
                <w:r>
                  <w:rPr>
                    <w:szCs w:val="24"/>
                    <w:lang w:eastAsia="lt-LT"/>
                  </w:rPr>
                  <w:t>Kiaulės</w:t>
                </w:r>
              </w:p>
            </w:tc>
            <w:tc>
              <w:tcPr>
                <w:tcW w:w="779" w:type="pct"/>
                <w:tcBorders>
                  <w:top w:val="single" w:sz="4" w:space="0" w:color="auto"/>
                  <w:left w:val="single" w:sz="4" w:space="0" w:color="auto"/>
                  <w:bottom w:val="single" w:sz="4" w:space="0" w:color="auto"/>
                  <w:right w:val="single" w:sz="4" w:space="0" w:color="auto"/>
                </w:tcBorders>
              </w:tcPr>
              <w:p>
                <w:pPr>
                  <w:ind w:hanging="58"/>
                  <w:jc w:val="center"/>
                  <w:rPr>
                    <w:szCs w:val="24"/>
                    <w:lang w:eastAsia="lt-LT"/>
                  </w:rPr>
                </w:pPr>
                <w:r>
                  <w:rPr>
                    <w:szCs w:val="24"/>
                    <w:lang w:eastAsia="lt-LT"/>
                  </w:rPr>
                  <w:t>l už SG</w:t>
                </w:r>
              </w:p>
            </w:tc>
            <w:tc>
              <w:tcPr>
                <w:tcW w:w="591"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tcPr>
              <w:p>
                <w:pPr>
                  <w:ind w:firstLine="52"/>
                  <w:jc w:val="center"/>
                  <w:rPr>
                    <w:szCs w:val="24"/>
                    <w:lang w:eastAsia="lt-LT"/>
                  </w:rPr>
                </w:pPr>
                <w:r>
                  <w:rPr>
                    <w:szCs w:val="24"/>
                    <w:lang w:eastAsia="lt-LT"/>
                  </w:rPr>
                  <w:t>39</w:t>
                </w:r>
              </w:p>
            </w:tc>
          </w:tr>
          <w:tr>
            <w:trPr>
              <w:trHeight w:val="23"/>
            </w:trPr>
            <w:tc>
              <w:tcPr>
                <w:tcW w:w="439"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tcPr>
              <w:p>
                <w:pPr>
                  <w:ind w:firstLine="52"/>
                  <w:jc w:val="center"/>
                  <w:rPr>
                    <w:szCs w:val="24"/>
                    <w:lang w:eastAsia="lt-LT"/>
                  </w:rPr>
                </w:pPr>
                <w:r>
                  <w:rPr>
                    <w:szCs w:val="24"/>
                    <w:lang w:eastAsia="lt-LT"/>
                  </w:rPr>
                  <w:t>19.</w:t>
                </w:r>
              </w:p>
            </w:tc>
            <w:tc>
              <w:tcPr>
                <w:tcW w:w="3191"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tcPr>
              <w:p>
                <w:pPr>
                  <w:rPr>
                    <w:szCs w:val="24"/>
                    <w:lang w:eastAsia="lt-LT"/>
                  </w:rPr>
                </w:pPr>
                <w:r>
                  <w:rPr>
                    <w:szCs w:val="24"/>
                    <w:lang w:eastAsia="lt-LT"/>
                  </w:rPr>
                  <w:t>Paukščiai, išskyrus broilerius</w:t>
                </w:r>
              </w:p>
            </w:tc>
            <w:tc>
              <w:tcPr>
                <w:tcW w:w="779" w:type="pct"/>
                <w:tcBorders>
                  <w:top w:val="single" w:sz="4" w:space="0" w:color="auto"/>
                  <w:left w:val="single" w:sz="4" w:space="0" w:color="auto"/>
                  <w:bottom w:val="single" w:sz="4" w:space="0" w:color="auto"/>
                  <w:right w:val="single" w:sz="4" w:space="0" w:color="auto"/>
                </w:tcBorders>
              </w:tcPr>
              <w:p>
                <w:pPr>
                  <w:ind w:hanging="58"/>
                  <w:jc w:val="center"/>
                  <w:rPr>
                    <w:szCs w:val="24"/>
                    <w:lang w:eastAsia="lt-LT"/>
                  </w:rPr>
                </w:pPr>
                <w:r>
                  <w:rPr>
                    <w:szCs w:val="24"/>
                    <w:lang w:eastAsia="lt-LT"/>
                  </w:rPr>
                  <w:t>l už SG</w:t>
                </w:r>
              </w:p>
            </w:tc>
            <w:tc>
              <w:tcPr>
                <w:tcW w:w="591"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tcPr>
              <w:p>
                <w:pPr>
                  <w:ind w:firstLine="52"/>
                  <w:jc w:val="center"/>
                  <w:rPr>
                    <w:szCs w:val="24"/>
                    <w:lang w:eastAsia="lt-LT"/>
                  </w:rPr>
                </w:pPr>
                <w:r>
                  <w:rPr>
                    <w:szCs w:val="24"/>
                    <w:lang w:eastAsia="lt-LT"/>
                  </w:rPr>
                  <w:t>30</w:t>
                </w:r>
              </w:p>
            </w:tc>
          </w:tr>
          <w:tr>
            <w:trPr>
              <w:trHeight w:val="23"/>
            </w:trPr>
            <w:tc>
              <w:tcPr>
                <w:tcW w:w="439"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tcPr>
              <w:p>
                <w:pPr>
                  <w:ind w:firstLine="52"/>
                  <w:jc w:val="center"/>
                  <w:rPr>
                    <w:szCs w:val="24"/>
                    <w:lang w:eastAsia="lt-LT"/>
                  </w:rPr>
                </w:pPr>
                <w:r>
                  <w:rPr>
                    <w:szCs w:val="24"/>
                    <w:lang w:eastAsia="lt-LT"/>
                  </w:rPr>
                  <w:t>20.</w:t>
                </w:r>
              </w:p>
            </w:tc>
            <w:tc>
              <w:tcPr>
                <w:tcW w:w="3191"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tcPr>
              <w:p>
                <w:pPr>
                  <w:rPr>
                    <w:szCs w:val="24"/>
                    <w:lang w:eastAsia="lt-LT"/>
                  </w:rPr>
                </w:pPr>
                <w:r>
                  <w:rPr>
                    <w:szCs w:val="24"/>
                    <w:lang w:eastAsia="lt-LT"/>
                  </w:rPr>
                  <w:t>Broileriai</w:t>
                </w:r>
              </w:p>
            </w:tc>
            <w:tc>
              <w:tcPr>
                <w:tcW w:w="779" w:type="pct"/>
                <w:tcBorders>
                  <w:top w:val="single" w:sz="4" w:space="0" w:color="auto"/>
                  <w:left w:val="single" w:sz="4" w:space="0" w:color="auto"/>
                  <w:bottom w:val="single" w:sz="4" w:space="0" w:color="auto"/>
                  <w:right w:val="single" w:sz="4" w:space="0" w:color="auto"/>
                </w:tcBorders>
              </w:tcPr>
              <w:p>
                <w:pPr>
                  <w:ind w:hanging="58"/>
                  <w:jc w:val="center"/>
                  <w:rPr>
                    <w:szCs w:val="24"/>
                    <w:lang w:eastAsia="lt-LT"/>
                  </w:rPr>
                </w:pPr>
                <w:r>
                  <w:rPr>
                    <w:szCs w:val="24"/>
                    <w:lang w:eastAsia="lt-LT"/>
                  </w:rPr>
                  <w:t>l už SG</w:t>
                </w:r>
              </w:p>
            </w:tc>
            <w:tc>
              <w:tcPr>
                <w:tcW w:w="591"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tcPr>
              <w:p>
                <w:pPr>
                  <w:ind w:firstLine="52"/>
                  <w:jc w:val="center"/>
                  <w:rPr>
                    <w:szCs w:val="24"/>
                    <w:lang w:eastAsia="lt-LT"/>
                  </w:rPr>
                </w:pPr>
                <w:r>
                  <w:rPr>
                    <w:szCs w:val="24"/>
                    <w:lang w:eastAsia="lt-LT"/>
                  </w:rPr>
                  <w:t>86</w:t>
                </w:r>
              </w:p>
            </w:tc>
          </w:tr>
          <w:tr>
            <w:trPr>
              <w:trHeight w:val="23"/>
            </w:trPr>
            <w:tc>
              <w:tcPr>
                <w:tcW w:w="439"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tcPr>
              <w:p>
                <w:pPr>
                  <w:ind w:firstLine="52"/>
                  <w:jc w:val="center"/>
                  <w:rPr>
                    <w:szCs w:val="24"/>
                    <w:lang w:eastAsia="lt-LT"/>
                  </w:rPr>
                </w:pPr>
                <w:r>
                  <w:rPr>
                    <w:szCs w:val="24"/>
                    <w:lang w:eastAsia="lt-LT"/>
                  </w:rPr>
                  <w:t>21.</w:t>
                </w:r>
              </w:p>
            </w:tc>
            <w:tc>
              <w:tcPr>
                <w:tcW w:w="3191"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tcPr>
              <w:p>
                <w:pPr>
                  <w:rPr>
                    <w:szCs w:val="24"/>
                    <w:lang w:eastAsia="lt-LT"/>
                  </w:rPr>
                </w:pPr>
                <w:r>
                  <w:rPr>
                    <w:szCs w:val="24"/>
                    <w:lang w:eastAsia="lt-LT"/>
                  </w:rPr>
                  <w:t>Kiti gyvūnai</w:t>
                </w:r>
              </w:p>
            </w:tc>
            <w:tc>
              <w:tcPr>
                <w:tcW w:w="779" w:type="pct"/>
                <w:tcBorders>
                  <w:top w:val="single" w:sz="4" w:space="0" w:color="auto"/>
                  <w:left w:val="single" w:sz="4" w:space="0" w:color="auto"/>
                  <w:bottom w:val="single" w:sz="4" w:space="0" w:color="auto"/>
                  <w:right w:val="single" w:sz="4" w:space="0" w:color="auto"/>
                </w:tcBorders>
              </w:tcPr>
              <w:p>
                <w:pPr>
                  <w:ind w:hanging="58"/>
                  <w:jc w:val="center"/>
                  <w:rPr>
                    <w:szCs w:val="24"/>
                    <w:lang w:eastAsia="lt-LT"/>
                  </w:rPr>
                </w:pPr>
                <w:r>
                  <w:rPr>
                    <w:szCs w:val="24"/>
                    <w:lang w:eastAsia="lt-LT"/>
                  </w:rPr>
                  <w:t>l už SG</w:t>
                </w:r>
              </w:p>
            </w:tc>
            <w:tc>
              <w:tcPr>
                <w:tcW w:w="591"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tcPr>
              <w:p>
                <w:pPr>
                  <w:ind w:firstLine="52"/>
                  <w:jc w:val="center"/>
                  <w:rPr>
                    <w:szCs w:val="24"/>
                    <w:lang w:eastAsia="lt-LT"/>
                  </w:rPr>
                </w:pPr>
                <w:r>
                  <w:rPr>
                    <w:szCs w:val="24"/>
                    <w:lang w:eastAsia="lt-LT"/>
                  </w:rPr>
                  <w:t>33</w:t>
                </w:r>
              </w:p>
            </w:tc>
          </w:tr>
          <w:tr>
            <w:trPr>
              <w:trHeight w:val="23"/>
            </w:trPr>
            <w:tc>
              <w:tcPr>
                <w:tcW w:w="439"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tcPr>
              <w:p>
                <w:pPr>
                  <w:ind w:firstLine="52"/>
                  <w:jc w:val="center"/>
                  <w:rPr>
                    <w:szCs w:val="24"/>
                    <w:lang w:eastAsia="lt-LT"/>
                  </w:rPr>
                </w:pPr>
                <w:r>
                  <w:rPr>
                    <w:szCs w:val="24"/>
                    <w:lang w:eastAsia="lt-LT"/>
                  </w:rPr>
                  <w:t>22.</w:t>
                </w:r>
              </w:p>
            </w:tc>
            <w:tc>
              <w:tcPr>
                <w:tcW w:w="3191"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tcPr>
              <w:p>
                <w:pPr>
                  <w:rPr>
                    <w:szCs w:val="24"/>
                    <w:lang w:eastAsia="lt-LT"/>
                  </w:rPr>
                </w:pPr>
                <w:r>
                  <w:rPr>
                    <w:szCs w:val="24"/>
                    <w:lang w:eastAsia="lt-LT"/>
                  </w:rPr>
                  <w:t>Bitės, kai laikoma daugiau kaip 40 bičių šeimų</w:t>
                </w:r>
              </w:p>
            </w:tc>
            <w:tc>
              <w:tcPr>
                <w:tcW w:w="779" w:type="pct"/>
                <w:tcBorders>
                  <w:top w:val="single" w:sz="4" w:space="0" w:color="auto"/>
                  <w:left w:val="single" w:sz="4" w:space="0" w:color="auto"/>
                  <w:bottom w:val="single" w:sz="4" w:space="0" w:color="auto"/>
                  <w:right w:val="single" w:sz="4" w:space="0" w:color="auto"/>
                </w:tcBorders>
              </w:tcPr>
              <w:p>
                <w:pPr>
                  <w:ind w:hanging="58"/>
                  <w:jc w:val="center"/>
                  <w:rPr>
                    <w:szCs w:val="24"/>
                    <w:lang w:eastAsia="lt-LT"/>
                  </w:rPr>
                </w:pPr>
                <w:r>
                  <w:rPr>
                    <w:szCs w:val="24"/>
                    <w:lang w:eastAsia="lt-LT"/>
                  </w:rPr>
                  <w:t xml:space="preserve">l už šeimą </w:t>
                </w:r>
              </w:p>
            </w:tc>
            <w:tc>
              <w:tcPr>
                <w:tcW w:w="591"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tcPr>
              <w:p>
                <w:pPr>
                  <w:ind w:firstLine="52"/>
                  <w:jc w:val="center"/>
                  <w:rPr>
                    <w:szCs w:val="24"/>
                    <w:lang w:eastAsia="lt-LT"/>
                  </w:rPr>
                </w:pPr>
                <w:r>
                  <w:rPr>
                    <w:szCs w:val="24"/>
                    <w:lang w:eastAsia="lt-LT"/>
                  </w:rPr>
                  <w:t>7</w:t>
                </w:r>
              </w:p>
            </w:tc>
          </w:tr>
          <w:tr>
            <w:trPr>
              <w:trHeight w:val="23"/>
            </w:trPr>
            <w:tc>
              <w:tcPr>
                <w:tcW w:w="439"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tcPr>
              <w:p>
                <w:pPr>
                  <w:ind w:firstLine="52"/>
                  <w:jc w:val="center"/>
                  <w:rPr>
                    <w:szCs w:val="24"/>
                    <w:lang w:eastAsia="lt-LT"/>
                  </w:rPr>
                </w:pPr>
                <w:r>
                  <w:rPr>
                    <w:szCs w:val="24"/>
                    <w:lang w:eastAsia="lt-LT"/>
                  </w:rPr>
                  <w:t>23.</w:t>
                </w:r>
              </w:p>
            </w:tc>
            <w:tc>
              <w:tcPr>
                <w:tcW w:w="3191"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tcPr>
              <w:p>
                <w:pPr>
                  <w:rPr>
                    <w:szCs w:val="24"/>
                    <w:lang w:eastAsia="lt-LT"/>
                  </w:rPr>
                </w:pPr>
                <w:r>
                  <w:rPr>
                    <w:szCs w:val="24"/>
                    <w:lang w:eastAsia="lt-LT"/>
                  </w:rPr>
                  <w:t>Sraigės</w:t>
                </w:r>
              </w:p>
            </w:tc>
            <w:tc>
              <w:tcPr>
                <w:tcW w:w="779" w:type="pct"/>
                <w:tcBorders>
                  <w:top w:val="single" w:sz="4" w:space="0" w:color="auto"/>
                  <w:left w:val="single" w:sz="4" w:space="0" w:color="auto"/>
                  <w:bottom w:val="single" w:sz="4" w:space="0" w:color="auto"/>
                  <w:right w:val="single" w:sz="4" w:space="0" w:color="auto"/>
                </w:tcBorders>
              </w:tcPr>
              <w:p>
                <w:pPr>
                  <w:ind w:hanging="58"/>
                  <w:jc w:val="center"/>
                  <w:rPr>
                    <w:szCs w:val="24"/>
                    <w:lang w:eastAsia="lt-LT"/>
                  </w:rPr>
                </w:pPr>
                <w:r>
                  <w:rPr>
                    <w:szCs w:val="24"/>
                    <w:lang w:eastAsia="lt-LT"/>
                  </w:rPr>
                  <w:t>l už ha</w:t>
                </w:r>
              </w:p>
            </w:tc>
            <w:tc>
              <w:tcPr>
                <w:tcW w:w="591"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tcPr>
              <w:p>
                <w:pPr>
                  <w:ind w:firstLine="52"/>
                  <w:jc w:val="center"/>
                  <w:rPr>
                    <w:szCs w:val="24"/>
                    <w:lang w:eastAsia="lt-LT"/>
                  </w:rPr>
                </w:pPr>
                <w:r>
                  <w:rPr>
                    <w:szCs w:val="24"/>
                    <w:lang w:eastAsia="lt-LT"/>
                  </w:rPr>
                  <w:t>60</w:t>
                </w:r>
              </w:p>
            </w:tc>
          </w:tr>
          <w:tr>
            <w:trPr>
              <w:trHeight w:val="23"/>
            </w:trPr>
            <w:tc>
              <w:tcPr>
                <w:tcW w:w="439"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tcPr>
              <w:p>
                <w:pPr>
                  <w:ind w:firstLine="52"/>
                  <w:jc w:val="center"/>
                  <w:rPr>
                    <w:szCs w:val="24"/>
                    <w:lang w:eastAsia="lt-LT"/>
                  </w:rPr>
                </w:pPr>
                <w:r>
                  <w:rPr>
                    <w:szCs w:val="24"/>
                    <w:lang w:eastAsia="lt-LT"/>
                  </w:rPr>
                  <w:t>24.</w:t>
                </w:r>
              </w:p>
            </w:tc>
            <w:tc>
              <w:tcPr>
                <w:tcW w:w="3191"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tcPr>
              <w:p>
                <w:pPr>
                  <w:rPr>
                    <w:szCs w:val="24"/>
                    <w:lang w:eastAsia="lt-LT"/>
                  </w:rPr>
                </w:pPr>
                <w:r>
                  <w:rPr>
                    <w:szCs w:val="24"/>
                    <w:lang w:eastAsia="lt-LT"/>
                  </w:rPr>
                  <w:t>Sliekai</w:t>
                </w:r>
              </w:p>
            </w:tc>
            <w:tc>
              <w:tcPr>
                <w:tcW w:w="779" w:type="pct"/>
                <w:tcBorders>
                  <w:top w:val="single" w:sz="4" w:space="0" w:color="auto"/>
                  <w:left w:val="single" w:sz="4" w:space="0" w:color="auto"/>
                  <w:bottom w:val="single" w:sz="4" w:space="0" w:color="auto"/>
                  <w:right w:val="single" w:sz="4" w:space="0" w:color="auto"/>
                </w:tcBorders>
              </w:tcPr>
              <w:p>
                <w:pPr>
                  <w:ind w:hanging="58"/>
                  <w:jc w:val="center"/>
                  <w:rPr>
                    <w:szCs w:val="24"/>
                    <w:lang w:eastAsia="lt-LT"/>
                  </w:rPr>
                </w:pPr>
                <w:r>
                  <w:rPr>
                    <w:szCs w:val="24"/>
                    <w:lang w:eastAsia="lt-LT"/>
                  </w:rPr>
                  <w:t>l už kv. m</w:t>
                </w:r>
              </w:p>
            </w:tc>
            <w:tc>
              <w:tcPr>
                <w:tcW w:w="591" w:type="pct"/>
                <w:tcBorders>
                  <w:top w:val="single" w:sz="4" w:space="0" w:color="auto"/>
                  <w:left w:val="single" w:sz="4" w:space="0" w:color="auto"/>
                  <w:bottom w:val="single" w:sz="4" w:space="0" w:color="auto"/>
                  <w:right w:val="single" w:sz="4" w:space="0" w:color="auto"/>
                </w:tcBorders>
                <w:tcMar>
                  <w:top w:w="28" w:type="dxa"/>
                  <w:left w:w="85" w:type="dxa"/>
                  <w:bottom w:w="28" w:type="dxa"/>
                  <w:right w:w="85" w:type="dxa"/>
                </w:tcMar>
              </w:tcPr>
              <w:p>
                <w:pPr>
                  <w:ind w:firstLine="52"/>
                  <w:jc w:val="center"/>
                  <w:rPr>
                    <w:szCs w:val="24"/>
                    <w:lang w:eastAsia="lt-LT"/>
                  </w:rPr>
                </w:pPr>
                <w:r>
                  <w:rPr>
                    <w:szCs w:val="24"/>
                    <w:lang w:eastAsia="lt-LT"/>
                  </w:rPr>
                  <w:t>9</w:t>
                </w:r>
              </w:p>
            </w:tc>
          </w:tr>
        </w:tbl>
        <w:sdt>
          <w:sdtPr>
            <w:alias w:val="pabaiga"/>
            <w:tag w:val="part_9ce8437d1e684e568c139f7233ea87c0"/>
            <w:lock w:val="sdtLocked"/>
            <w:richText/>
          </w:sdtPr>
          <w:sdtContent>
            <w:p>
              <w:pPr>
                <w:tabs>
                  <w:tab w:val="left" w:pos="6237"/>
                </w:tabs>
                <w:jc w:val="center"/>
                <w:rPr>
                  <w:color w:val="000000"/>
                  <w:szCs w:val="24"/>
                  <w:lang w:eastAsia="lt-LT"/>
                </w:rPr>
              </w:pPr>
              <w:r>
                <w:rPr>
                  <w:color w:val="000000"/>
                  <w:szCs w:val="24"/>
                  <w:lang w:eastAsia="lt-LT"/>
                </w:rPr>
                <w:t>______________</w:t>
              </w:r>
            </w:p>
            <w:p>
              <w:pPr>
                <w:tabs>
                  <w:tab w:val="center" w:pos="-7800"/>
                  <w:tab w:val="left" w:pos="6237"/>
                  <w:tab w:val="right" w:pos="8306"/>
                </w:tabs>
                <w:rPr>
                  <w:lang w:eastAsia="lt-LT"/>
                </w:rPr>
              </w:pPr>
            </w:p>
          </w:sdtContent>
        </w:sdt>
      </w:sdtContent>
    </w:sdt>
    <w:sdt>
      <w:sdtPr>
        <w:alias w:val="2 pr."/>
        <w:tag w:val="part_5af2258e4a9c485983c9d81700ab3c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w:t>
          </w:r>
          <w:r>
            <w:rPr>
              <w:rFonts w:ascii="Times New Roman" w:hAnsi="Times New Roman"/>
              <w:b/>
              <w:sz w:val="22"/>
            </w:rPr>
            <w:t xml:space="preserve"> priedas.</w:t>
          </w:r>
          <w:r>
            <w:rPr>
              <w:rFonts w:ascii="Times New Roman" w:eastAsia="MS Mincho" w:hAnsi="Times New Roman"/>
              <w:sz w:val="20"/>
              <w:i/>
              <w:iCs/>
            </w:rPr>
            <w:t xml:space="preserve"> Neteko galios nuo 2020-09-22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0a96f0fc0c11ea88f28eae672e5b40">
            <w:r w:rsidRPr="00532B9F">
              <w:rPr>
                <w:rFonts w:ascii="Times New Roman" w:eastAsia="MS Mincho" w:hAnsi="Times New Roman"/>
                <w:sz w:val="20"/>
                <w:i/>
                <w:iCs/>
                <w:color w:val="0000FF" w:themeColor="hyperlink"/>
                <w:u w:val="single"/>
              </w:rPr>
              <w:t>1019</w:t>
            </w:r>
          </w:fldSimple>
          <w:r>
            <w:rPr>
              <w:rFonts w:ascii="Times New Roman" w:eastAsia="MS Mincho" w:hAnsi="Times New Roman"/>
              <w:sz w:val="20"/>
              <w:i/>
              <w:iCs/>
            </w:rPr>
            <w:t>,
2020-09-16,
paskelbta TAR 2020-09-21, i. k. 2020-19569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345180e36711e89acab3ff12d77081">
            <w:r w:rsidRPr="00532B9F">
              <w:rPr>
                <w:rFonts w:ascii="Times New Roman" w:eastAsia="MS Mincho" w:hAnsi="Times New Roman"/>
                <w:sz w:val="20"/>
                <w:i/>
                <w:iCs/>
                <w:color w:val="0000FF" w:themeColor="hyperlink"/>
                <w:u w:val="single"/>
              </w:rPr>
              <w:t>1095</w:t>
            </w:r>
          </w:fldSimple>
          <w:r>
            <w:rPr>
              <w:rFonts w:ascii="Times New Roman" w:eastAsia="MS Mincho" w:hAnsi="Times New Roman"/>
              <w:sz w:val="20"/>
              <w:i/>
              <w:iCs/>
            </w:rPr>
            <w:t>,
2018-11-07,
paskelbta TAR 2018-11-08, i. k. 2018-18117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f56e040ef6d11e58deaaf0783ebf65b">
            <w:r w:rsidRPr="00532B9F">
              <w:rPr>
                <w:rFonts w:ascii="Times New Roman" w:eastAsia="MS Mincho" w:hAnsi="Times New Roman"/>
                <w:sz w:val="20"/>
                <w:iCs/>
                <w:color w:val="0000FF" w:themeColor="hyperlink"/>
                <w:u w:val="single"/>
              </w:rPr>
              <w:t>260</w:t>
            </w:r>
          </w:fldSimple>
          <w:r>
            <w:rPr>
              <w:rFonts w:ascii="Times New Roman" w:eastAsia="MS Mincho" w:hAnsi="Times New Roman"/>
              <w:sz w:val="20"/>
              <w:iCs/>
            </w:rPr>
            <w:t>,
2016-03-18,
paskelbta TAR 2016-03-21, i. k. 2016-05483                </w:t>
          </w:r>
        </w:p>
        <w:p>
          <w:pPr>
            <w:jc w:val="both"/>
            <w:rPr>
              <w:rFonts w:ascii="Times New Roman" w:hAnsi="Times New Roman"/>
            </w:rPr>
          </w:pPr>
          <w:r>
            <w:rPr>
              <w:rFonts w:ascii="Times New Roman" w:hAnsi="Times New Roman"/>
              <w:sz w:val="20"/>
            </w:rPr>
            <w:t>Dėl Lietuvos Respublikos Vyriausybės 2015 m. birželio 26 d. nutarimo Nr. 667 „Dėl Gazolių, skirtų naudoti žemės ūkio veiklos subjektams žemės ūkio produktų gamybai, įsigijimo taisyklių patvirtinimo ir Lietuvos Respublikos Vyriausybės 2003 m. vasario 3 d. nutarimo Nr. 145 „Dėl Atleistų nuo akcizų dyzelinių degalų, skirtų naudoti žemės ūkyje, taip pat tvenkinių ir kitų vidaus vandenų žuvininkystėje, įsigijimo taisyklių patvirtinimo“ pripažinimo netekusiu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80f98e03e9f11e6a8ae9e1795984391">
            <w:r w:rsidRPr="00532B9F">
              <w:rPr>
                <w:rFonts w:ascii="Times New Roman" w:eastAsia="MS Mincho" w:hAnsi="Times New Roman"/>
                <w:sz w:val="20"/>
                <w:iCs/>
                <w:color w:val="0000FF" w:themeColor="hyperlink"/>
                <w:u w:val="single"/>
              </w:rPr>
              <w:t>664</w:t>
            </w:r>
          </w:fldSimple>
          <w:r>
            <w:rPr>
              <w:rFonts w:ascii="Times New Roman" w:eastAsia="MS Mincho" w:hAnsi="Times New Roman"/>
              <w:sz w:val="20"/>
              <w:iCs/>
            </w:rPr>
            <w:t>,
2016-06-29,
paskelbta TAR 2016-06-30, i. k. 2016-17954                </w:t>
          </w:r>
        </w:p>
        <w:p>
          <w:pPr>
            <w:jc w:val="both"/>
            <w:rPr>
              <w:rFonts w:ascii="Times New Roman" w:hAnsi="Times New Roman"/>
            </w:rPr>
          </w:pPr>
          <w:r>
            <w:rPr>
              <w:rFonts w:ascii="Times New Roman" w:hAnsi="Times New Roman"/>
              <w:sz w:val="20"/>
            </w:rPr>
            <w:t>Dėl Lietuvos Respublikos Vyriausybės 2015 m. birželio 26 d. nutarimo Nr. 667 „Dėl Gazolių, skirtų naudoti žemės ūkio veiklos subjektams žemės ūkio produktų gamybai,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37798824ff011e6b72ff16034f7f796">
            <w:r w:rsidRPr="00532B9F">
              <w:rPr>
                <w:rFonts w:ascii="Times New Roman" w:eastAsia="MS Mincho" w:hAnsi="Times New Roman"/>
                <w:sz w:val="20"/>
                <w:iCs/>
                <w:color w:val="0000FF" w:themeColor="hyperlink"/>
                <w:u w:val="single"/>
              </w:rPr>
              <w:t>763</w:t>
            </w:r>
          </w:fldSimple>
          <w:r>
            <w:rPr>
              <w:rFonts w:ascii="Times New Roman" w:eastAsia="MS Mincho" w:hAnsi="Times New Roman"/>
              <w:sz w:val="20"/>
              <w:iCs/>
            </w:rPr>
            <w:t>,
2016-07-20,
paskelbta TAR 2016-07-22, i. k. 2016-20948                </w:t>
          </w:r>
        </w:p>
        <w:p>
          <w:pPr>
            <w:jc w:val="both"/>
            <w:rPr>
              <w:rFonts w:ascii="Times New Roman" w:hAnsi="Times New Roman"/>
            </w:rPr>
          </w:pPr>
          <w:r>
            <w:rPr>
              <w:rFonts w:ascii="Times New Roman" w:hAnsi="Times New Roman"/>
              <w:sz w:val="20"/>
            </w:rPr>
            <w:t>Dėl Lietuvos Respublikos Vyriausybės 2015 m. birželio 26 d. nutarimo Nr. 667 „Dėl Gazolių, skirtų naudoti žemės ūkio veiklos subjektams žemės ūkio produktų gamybai,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1345180e36711e89acab3ff12d77081">
            <w:r w:rsidRPr="00532B9F">
              <w:rPr>
                <w:rFonts w:ascii="Times New Roman" w:eastAsia="MS Mincho" w:hAnsi="Times New Roman"/>
                <w:sz w:val="20"/>
                <w:iCs/>
                <w:color w:val="0000FF" w:themeColor="hyperlink"/>
                <w:u w:val="single"/>
              </w:rPr>
              <w:t>1095</w:t>
            </w:r>
          </w:fldSimple>
          <w:r>
            <w:rPr>
              <w:rFonts w:ascii="Times New Roman" w:eastAsia="MS Mincho" w:hAnsi="Times New Roman"/>
              <w:sz w:val="20"/>
              <w:iCs/>
            </w:rPr>
            <w:t>,
2018-11-07,
paskelbta TAR 2018-11-08, i. k. 2018-18117                </w:t>
          </w:r>
        </w:p>
        <w:p>
          <w:pPr>
            <w:jc w:val="both"/>
            <w:rPr>
              <w:rFonts w:ascii="Times New Roman" w:hAnsi="Times New Roman"/>
            </w:rPr>
          </w:pPr>
          <w:r>
            <w:rPr>
              <w:rFonts w:ascii="Times New Roman" w:hAnsi="Times New Roman"/>
              <w:sz w:val="20"/>
            </w:rPr>
            <w:t>Dėl Lietuvos Respublikos Vyriausybės 2015 m. birželio 26 d. nutarimo Nr. 667 „Dėl Gazolių, skirtų naudoti žemės ūkio veiklos subjektams žemės ūkio produktų gamybai,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d0a96f0fc0c11ea88f28eae672e5b40">
            <w:r w:rsidRPr="00532B9F">
              <w:rPr>
                <w:rFonts w:ascii="Times New Roman" w:eastAsia="MS Mincho" w:hAnsi="Times New Roman"/>
                <w:sz w:val="20"/>
                <w:iCs/>
                <w:color w:val="0000FF" w:themeColor="hyperlink"/>
                <w:u w:val="single"/>
              </w:rPr>
              <w:t>1019</w:t>
            </w:r>
          </w:fldSimple>
          <w:r>
            <w:rPr>
              <w:rFonts w:ascii="Times New Roman" w:eastAsia="MS Mincho" w:hAnsi="Times New Roman"/>
              <w:sz w:val="20"/>
              <w:iCs/>
            </w:rPr>
            <w:t>,
2020-09-16,
paskelbta TAR 2020-09-21, i. k. 2020-19569                </w:t>
          </w:r>
        </w:p>
        <w:p>
          <w:pPr>
            <w:jc w:val="both"/>
            <w:rPr>
              <w:rFonts w:ascii="Times New Roman" w:hAnsi="Times New Roman"/>
            </w:rPr>
          </w:pPr>
          <w:r>
            <w:rPr>
              <w:rFonts w:ascii="Times New Roman" w:hAnsi="Times New Roman"/>
              <w:sz w:val="20"/>
            </w:rPr>
            <w:t>Dėl Lietuvos Respublikos Vyriausybės 2015 m. birželio 26 d. nutarimo Nr. 667 „Dėl Gazolių, skirtų naudoti žemės ūkio veiklos subjektams žemės ūkio produktų gamybai,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e788c70f61911ed9978886e85107ab2">
            <w:r w:rsidRPr="00532B9F">
              <w:rPr>
                <w:rFonts w:ascii="Times New Roman" w:eastAsia="MS Mincho" w:hAnsi="Times New Roman"/>
                <w:sz w:val="20"/>
                <w:iCs/>
                <w:color w:val="0000FF" w:themeColor="hyperlink"/>
                <w:u w:val="single"/>
              </w:rPr>
              <w:t>374</w:t>
            </w:r>
          </w:fldSimple>
          <w:r>
            <w:rPr>
              <w:rFonts w:ascii="Times New Roman" w:eastAsia="MS Mincho" w:hAnsi="Times New Roman"/>
              <w:sz w:val="20"/>
              <w:iCs/>
            </w:rPr>
            <w:t>,
2023-05-17,
paskelbta TAR 2023-05-19, i. k. 2023-09469                </w:t>
          </w:r>
        </w:p>
        <w:p>
          <w:pPr>
            <w:jc w:val="both"/>
            <w:rPr>
              <w:rFonts w:ascii="Times New Roman" w:hAnsi="Times New Roman"/>
            </w:rPr>
          </w:pPr>
          <w:r>
            <w:rPr>
              <w:rFonts w:ascii="Times New Roman" w:hAnsi="Times New Roman"/>
              <w:sz w:val="20"/>
            </w:rPr>
            <w:t>Dėl Lietuvos Respublikos Vyriausybės 2015 m. birželio 26 d. nutarimo Nr. 667 „Dėl Gazolių, skirtų naudoti žemės ūkio veiklos subjektams žemės ūkio produktų gamybai,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39ad140402011efbdaea558de59136c">
            <w:r w:rsidRPr="00532B9F">
              <w:rPr>
                <w:rFonts w:ascii="Times New Roman" w:eastAsia="MS Mincho" w:hAnsi="Times New Roman"/>
                <w:sz w:val="20"/>
                <w:iCs/>
                <w:color w:val="0000FF" w:themeColor="hyperlink"/>
                <w:u w:val="single"/>
              </w:rPr>
              <w:t>576</w:t>
            </w:r>
          </w:fldSimple>
          <w:r>
            <w:rPr>
              <w:rFonts w:ascii="Times New Roman" w:eastAsia="MS Mincho" w:hAnsi="Times New Roman"/>
              <w:sz w:val="20"/>
              <w:iCs/>
            </w:rPr>
            <w:t>,
2024-07-10,
paskelbta TAR 2024-07-12, i. k. 2024-12972                </w:t>
          </w:r>
        </w:p>
        <w:p>
          <w:pPr>
            <w:jc w:val="both"/>
            <w:rPr>
              <w:rFonts w:ascii="Times New Roman" w:hAnsi="Times New Roman"/>
            </w:rPr>
          </w:pPr>
          <w:r>
            <w:rPr>
              <w:rFonts w:ascii="Times New Roman" w:hAnsi="Times New Roman"/>
              <w:sz w:val="20"/>
            </w:rPr>
            <w:t>Dėl dėl Lietuvos Respublikos Vyriausybės 2015 m. birželio 26 d. nutarimo Nr. 667 „Dėl Gazolių, skirtų naudoti žemės ūkio veiklos subjektams žemės ūkio produktų gamybai,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7519182ef9011ef8bf78f8ccc0e0474">
            <w:r w:rsidRPr="00532B9F">
              <w:rPr>
                <w:rFonts w:ascii="Times New Roman" w:eastAsia="MS Mincho" w:hAnsi="Times New Roman"/>
                <w:sz w:val="20"/>
                <w:iCs/>
                <w:color w:val="0000FF" w:themeColor="hyperlink"/>
                <w:u w:val="single"/>
              </w:rPr>
              <w:t>86</w:t>
            </w:r>
          </w:fldSimple>
          <w:r>
            <w:rPr>
              <w:rFonts w:ascii="Times New Roman" w:eastAsia="MS Mincho" w:hAnsi="Times New Roman"/>
              <w:sz w:val="20"/>
              <w:iCs/>
            </w:rPr>
            <w:t>,
2025-02-19,
paskelbta TAR 2025-02-20, i. k. 2025-02728                </w:t>
          </w:r>
        </w:p>
        <w:p>
          <w:pPr>
            <w:jc w:val="both"/>
            <w:rPr>
              <w:rFonts w:ascii="Times New Roman" w:hAnsi="Times New Roman"/>
            </w:rPr>
          </w:pPr>
          <w:r>
            <w:rPr>
              <w:rFonts w:ascii="Times New Roman" w:hAnsi="Times New Roman"/>
              <w:sz w:val="20"/>
            </w:rPr>
            <w:t>Dėl Lietuvos Respublikos Vyriausybės 2015 m. birželio 26 d. nutarimo Nr. 667 „Dėl Gazolių, skirtų naudoti žemės ūkio veiklos subjektams žemės ūkio produktų gamybai,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c2a9fe2c6ad11f0a6e08c3b04d14d49">
            <w:r w:rsidRPr="00532B9F">
              <w:rPr>
                <w:rFonts w:ascii="Times New Roman" w:eastAsia="MS Mincho" w:hAnsi="Times New Roman"/>
                <w:sz w:val="20"/>
                <w:iCs/>
                <w:color w:val="0000FF" w:themeColor="hyperlink"/>
                <w:u w:val="single"/>
              </w:rPr>
              <w:t>817</w:t>
            </w:r>
          </w:fldSimple>
          <w:r>
            <w:rPr>
              <w:rFonts w:ascii="Times New Roman" w:eastAsia="MS Mincho" w:hAnsi="Times New Roman"/>
              <w:sz w:val="20"/>
              <w:iCs/>
            </w:rPr>
            <w:t>,
2025-11-19,
paskelbta TAR 2025-11-21, i. k. 2025-19484                </w:t>
          </w:r>
        </w:p>
        <w:p>
          <w:pPr>
            <w:jc w:val="both"/>
            <w:rPr>
              <w:rFonts w:ascii="Times New Roman" w:hAnsi="Times New Roman"/>
            </w:rPr>
          </w:pPr>
          <w:r>
            <w:rPr>
              <w:rFonts w:ascii="Times New Roman" w:hAnsi="Times New Roman"/>
              <w:sz w:val="20"/>
            </w:rPr>
            <w:t>Dėl Lietuvos Respublikos Vyriausybės 2015 m. birželio 26 d. nutarimo Nr. 667 „Dėl Gazolių, skirtų naudoti žemės ūkio veiklos subjektams žemės ūkio produktų gamybai, įsigijimo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160" w:line="259" w:lineRule="auto"/>
      <w:rPr>
        <w:lang w:eastAsia="lt-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ŪRĖNIENĖ Jolanta">
    <w15:presenceInfo w15:providerId="AD" w15:userId="S-1-5-21-4015230268-3135662936-2741650420-14013"/>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4817"/>
    <o:shapelayout v:ext="edit">
      <o:idmap v:ext="edit" data="1"/>
    </o:shapelayout>
  </w:shapeDefaults>
  <w:decimalSymbol w:val=","/>
  <w:listSeparator w:val=";"/>
  <w14:docId w14:val="36684A3E"/>
  <w15:docId w15:val="{E0884AA3-B37A-4C97-8F39-6BC9BC64FB7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aliases w:val="Char,Diagrama"/>
    <w:basedOn w:val="prastasis"/>
    <w:link w:val="AntratsDiagrama"/>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aliases w:val="Char Diagrama,Diagrama Diagrama"/>
    <w:basedOn w:val="Numatytasispastraiposriftas"/>
    <w:link w:val="Antrats"/>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aliases w:val="Char,Diagrama"/>
    <w:basedOn w:val="prastasis"/>
    <w:link w:val="AntratsDiagrama"/>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aliases w:val="Char Diagrama,Diagrama Diagrama"/>
    <w:basedOn w:val="Numatytasispastraiposriftas"/>
    <w:link w:val="Antrats"/>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39583370">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1.xml"/>
  <Relationship Id="rId11" Type="http://schemas.openxmlformats.org/officeDocument/2006/relationships/footer" Target="footer40.xml"/>
  <Relationship Id="rId12" Type="http://schemas.openxmlformats.org/officeDocument/2006/relationships/footer" Target="footer41.xml"/>
  <Relationship Id="rId13" Type="http://schemas.openxmlformats.org/officeDocument/2006/relationships/header" Target="header42.xml"/>
  <Relationship Id="rId14" Type="http://schemas.openxmlformats.org/officeDocument/2006/relationships/footer" Target="footer42.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3.png"/>
  <Relationship Id="rId9" Type="http://schemas.openxmlformats.org/officeDocument/2006/relationships/header" Target="header40.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GAZOLIŲ, SKIRTŲ NAUDOTI ŽEMĖS ŪKIO VEIKLOS SUBJEKTAMS ŽEMĖS ŪKIO PRODUKTŲ GAMYBAI, ĮSIGIJIMO TAISYKLIŲ PATVIRTINIMO“." DocPartId="d44a0cb4d3d04d21abe6101ba8e6b4f6" PartId="9d58170c02fc41aaae9895449c2b64e1">
    <Part Type="preambule" DocPartId="25c3e9a1f51043cc86d4801c39c3889c" PartId="3c49ca6fca974ffb96a2ed84ddbb60c4"/>
    <Part Type="punktas" Nr="1" Abbr="1 p." DocPartId="145764573e594a16b4a136f4c41d253a" PartId="3ccc51e2237f44efa71d4bcd68f5dddc"/>
    <Part Type="punktas" Nr="2" Abbr="2 p." DocPartId="45da607ebf784df4b1b62e2a14e75640" PartId="db62be9a4abe450680a020b694f4e5f8"/>
    <Part Type="punktas" Nr="3" Abbr="3 p." DocPartId="81853c678994427b9c4456ecdec58163" PartId="19118385f3e94d49bd63ea593fead536"/>
    <Part Type="signatura" DocPartId="415fcd3cb33549658a23f33add4e79c8" PartId="c93c7e4dbd6e4b05817f9f25d5a54fef"/>
  </Part>
  <Part Type="patvirtinta" Title="GAZOLIŲ, SKIRTŲ NAUDOTI ŽEMĖS ŪKIO VEIKLOS SUBJEKTAMS ŽEMĖS ŪKIO PRODUKTŲ GAMYBAI, ĮSIGIJIMO TAISYKLĖS" DocPartId="27b966c87f144ebe8a3f21b718442821" PartId="8c5980ccd46d4a9fa8309b9c9d3f57a0">
    <Part Type="skyrius" Nr="1" Title="BENDROSIOS NUOSTATOS" DocPartId="b07e21e556a542f2a9f3062254a1d07c" PartId="1f657ac540fb48d787cbe9cb31e2ec2a">
      <Part Type="punktas" Nr="1" Abbr="1 p." DocPartId="8115109857ea4d40b8e99faeddc9c363" PartId="d9294f5e847142aaac4eddc4cf2030a8"/>
      <Part Type="punktas" Nr="2" Abbr="2 p." DocPartId="88a3ef82aca4447f802a5ee364ebf188" PartId="78fe64d1920c44ca8a45ddc03a108c3b"/>
      <Part Type="punktas" Nr="3" Abbr="3 p." DocPartId="c029cf6d08f44fa0b6407809fc13863b" PartId="8a1093904a8b46ac8e237d95f886938d">
        <Part Type="papunktis" Nr="3.1" Abbr="3.1 pp." DocPartId="10217970181142f5b5a2efb16bc706b4" PartId="145ad5924c5341549a5622c4e501f817"/>
        <Part Type="papunktis" Nr="3.2" Abbr="3.2 pp." DocPartId="b2a581417ac64553b0837007111ad081" PartId="8f904a2795504662a5bce8a0a5db1851"/>
        <Part Type="papunktis" Nr="3.3" Abbr="3.3 pp." DocPartId="c5f03b845c6c46ffb8fd87c54e2abc86" PartId="601398abf696468192d44a1f36055822"/>
      </Part>
    </Part>
    <Part Type="skyrius" Nr="2" Title="GAZOLIŲ, SKIRTŲ NAUDOTI ŽEMĖS ŪKIO PRODUKTŲ GAMYBAI, ĮSIGIJIMO SĄLYGOS IR NAUDOJIMO TVARKA" DocPartId="9e965ffc48cf455fb3d12266d3548faa" PartId="90d4c574ae224cffaa2009704f7057d7">
      <Part Type="punktas" Nr="4" Abbr="4 p." DocPartId="d55fde263052403ab4996df315d6515c" PartId="d2e3636504ea4d1aa96a841db726a97f">
        <Part Type="papunktis" Nr="4.1" Abbr="4.1 pp." DocPartId="3be7387e2d2e4a3c83001541fdf161d2" PartId="cba2b626afdc4752b31b41c248859279"/>
        <Part Type="papunktis" Nr="4.2" Abbr="4.2 pp." DocPartId="2b21d642bf0846e5b99ff94a7976f622" PartId="dcab12dd29c84fbd94f356d09d332ab5"/>
        <Part Type="papunktis" Nr="4.3" Abbr="4.3 pp." DocPartId="477571ba01d140609bf9ddea14494767" PartId="822ee611dde94c178dcf8de7ce05170e"/>
        <Part Type="papunktis" Nr="4.4" Abbr="4.4 pp." DocPartId="f9f00ab864ad4e38b88cdec96dcfae47" PartId="09e2464d26f145a2b9ad3597945461e6"/>
        <Part Type="papunktis" Nr="4.5" Abbr="4.5 pp." DocPartId="372e728f3aeb475baa0811d885cc82c7" PartId="56ab1635cd7d4e788822de5fc7e25a2e"/>
        <Part Type="papunktis" Nr="4.6" Abbr="4.6 pp." DocPartId="e5887551a38d4f0abd491109d0453b58" PartId="f328190db9e94459bae05c8db0aba1da"/>
      </Part>
      <Part Type="punktas" Nr="5" Abbr="5 p." DocPartId="3c3131f7955e4819933cfa73212f8b15" PartId="98ea131318f5404eb7bcc2f9c263bfde"/>
      <Part Type="punktas" Nr="6" Abbr="6 p." DocPartId="1d6bd914b4664e8192550d536374a78d" PartId="aec5d3afeed746359667c4ffb786d299">
        <Part Type="papunktis" Nr="6.1" Abbr="6.1 pp." DocPartId="9a6ed918683b4899bad6e75d6c9ee730" PartId="f324e998e9fa4600a379419332e75c61"/>
        <Part Type="papunktis" Nr="6.2" Abbr="6.2 pp." DocPartId="994ac938f29a434293067e13f05a6887" PartId="92dc9c47203d4fc39960342ba8af6f55"/>
      </Part>
      <Part Type="punktas" Nr="7" Abbr="7 p." DocPartId="39e56b7fe9a14793aaede256fd1e2e4d" PartId="427d47146f144cd7969510de42f677da">
        <Part Type="papunktis" Nr="7.1" Abbr="7.1 pp." DocPartId="fccae5b043c7492f9fc494a0e0150adb" PartId="2bc543cfc89340bdaf4d5f2d9c149e10"/>
        <Part Type="papunktis" Nr="7.2" Abbr="7.2 pp." DocPartId="f140f0b3eb6348bfa0d4fa08b100f5a2" PartId="03dd99dcc7794c00be7dd1543d96b79d"/>
        <Part Type="papunktis" Nr="7.3" Abbr="7.3 pp." DocPartId="b6f2f399c8244e3f8c0a408c5b46b311" PartId="00ab864b063a4d8ebcc74bb7accd116c"/>
      </Part>
      <Part Type="punktas" Nr="8" Abbr="8 p." DocPartId="2aac360aecae4070ba38a38070a4ff31" PartId="6a2dec3d8d754ffeae8357dfeca0e912"/>
      <Part Type="punktas" Nr="9" Abbr="9 p." DocPartId="1d5e7311323c4a199c9d5bd20e385bb4" PartId="f0a1325ce56b4e3e81d3b696de70e812"/>
      <Part Type="punktas" Nr="10" Abbr="10 p." DocPartId="15f045ed25814485bb8ded756de52d65" PartId="77bcd993d19d4cb49f2e0664fb08ae81">
        <Part Type="papunktis" Nr="10.1" Abbr="10.1 pp." DocPartId="69c30b7ae1f2407d985b60ea8cb14249" PartId="f25627edd3d84e7296ebebb96941c8d1"/>
        <Part Type="papunktis" Nr="10.2" Abbr="10.2 pp." DocPartId="dfcb5a8a8b4c4a9392fc0b4619ab5921" PartId="4fa28c76dcfd42fea8a86b3bf15b6d2c"/>
        <Part Type="papunktis" Nr="10.3" Abbr="10.3 pp." DocPartId="062d0f4369b94f1f9f30d4e942ea8d11" PartId="3c171f81c52649f7ae1ce73b9b08d772"/>
        <Part Type="papunktis" Nr="10.4" Abbr="10.4 pp." DocPartId="d4e5d5c8a57a41988e41f0a079eee892" PartId="00b783d15b2e4ba191e754906aba1428"/>
      </Part>
      <Part Type="punktas" Nr="11" Abbr="11 p." DocPartId="4c56eb28c75d47e8bd1ba874772fc954" PartId="9f73f4dae0924edb95ccbd1de9c23b8e"/>
      <Part Type="punktas" Nr="12" Abbr="12 p." DocPartId="94e3e137fe984437a9b24dd5e672f0ce" PartId="6739740333b04f51804801fe5ee421cd"/>
      <Part Type="punktas" Nr="13" Abbr="13 p." DocPartId="f7868af169764352b0b903d560561b82" PartId="b07a3f8744e94001a441cf51cc484005"/>
      <Part Type="punktas" Nr="14" Abbr="14 p." DocPartId="d58118a77d4c4744837d050496fc7fe6" PartId="40dad47acbeb49b2be33db5f4fe58a8c"/>
    </Part>
    <Part Type="skyrius" Nr="3" Title="BAIGIAMOSIOS NUOSTATOS" DocPartId="cf1d44c6e91241cbb45c293c00cafb66" PartId="023d471df97b449c8ed2ca9241e95dc6">
      <Part Type="punktas" Nr="15" Abbr="15 p." DocPartId="e72c474c19e2491c9530a11bcc902b0d" PartId="05e73be794954cc68080070420413235"/>
      <Part Type="punktas" Nr="16" Abbr="16 p." DocPartId="c175d0a22d134561b1c335c283eb3c10" PartId="e7797a1463bd41e69c32353cdd0af4cf">
        <Part Type="papunktis" Nr="16.1" Abbr="16.1 pp." DocPartId="6967ae9258614d688b133ab9eacd95be" PartId="f5aab5053d564f5d918bdc888d11b14a"/>
        <Part Type="papunktis" Nr="16.2" Abbr="16.2 pp." DocPartId="5052e312a0ee4085b3e436c652c856ab" PartId="36b5a58b0ad74932b15db83358ddd45d"/>
        <Part Type="papunktis" Nr="16.3" Abbr="16.3 pp." DocPartId="737284242b5544c98c8d979f670fea5c" PartId="b07b06a632ed45d5b9d3d92d7db0874f"/>
      </Part>
      <Part Type="punktas" Nr="17" Abbr="17 p." DocPartId="2c6899cf4285482c93d91c94c336ef97" PartId="8b314f17aad84aa0811f5eb89cdbb8a6"/>
      <Part Type="punktas" Nr="18" Abbr="18 p." DocPartId="5dcbbb5389cf40cfaeb2eaaeba67b593" PartId="3c8144b5e4464138900445368fdcff46"/>
      <Part Type="punktas" Nr="19" Abbr="19 p." DocPartId="bcf9acda45e946e5bf4aea30acc21912" PartId="eb4a8c69792145eab6f2fb012e1c809f"/>
      <Part Type="punktas" Nr="20" Abbr="20 p." DocPartId="80002c74671747708dd6000e71a74070" PartId="723e831e430e45df99d4d8b326fe6000"/>
      <Part Type="punktas" Nr="21" Abbr="21 p." DocPartId="426824ae1d6446e4af3c401547b9d149" PartId="10846b562d5d439fa48f5db1bc8f12f5"/>
    </Part>
    <Part Type="pabaiga" DocPartId="7a9cb354d01a47e4822da18f9d105c00" PartId="d7142b0516f94f7caf40b1eed8810b63"/>
  </Part>
  <Part Type="priedas" Abbr="pr." DocPartId="b64bd5c7b0bc41518bc0fc5860d34cd4" PartId="a8c002a651cd4074917d335f4dc604a9">
    <Part Type="pabaiga" DocPartId="dc16d9ed5975418eb9585147975750f6" PartId="9ce8437d1e684e568c139f7233ea87c0"/>
  </Part>
  <Part Type="priedas" Nr="2" Abbr="2 pr." Title="GAZOLIŲ, SKIRTŲ NAUDOTI ŽEMĖS ŪKIO VEIKLOS SUBJEKTAMS ŽEMĖS ŪKIO PRODUKTŲ GAMYBAI, PAPILDOMŲ KIEKIŲ 2018–2019 ŪKINIAMS METAMS SĄRAŠAS" DocPartId="4b7d5f5c2cc84401a04281ab399e1151" PartId="5af2258e4a9c485983c9d81700ab3ca5"/>
</Parts>
</file>

<file path=customXml/itemProps1.xml><?xml version="1.0" encoding="utf-8"?>
<ds:datastoreItem xmlns:ds="http://schemas.openxmlformats.org/officeDocument/2006/customXml" ds:itemID="{E2A9A0C9-198E-4659-89AE-8EF643B320F3}">
  <ds:schemaRefs>
    <ds:schemaRef ds:uri="http://lrs.lt/TAIS/DocParts"/>
  </ds:schemaRefs>
</ds:datastoreItem>
</file>

<file path=docProps/app.xml><?xml version="1.0" encoding="utf-8"?>
<Properties xmlns="http://schemas.openxmlformats.org/officeDocument/2006/extended-properties">
  <Template>Normal.dotm</Template>
  <TotalTime>29</TotalTime>
  <Pages>7</Pages>
  <Words>2682</Words>
  <Characters>17955</Characters>
  <Application>Microsoft Office Word</Application>
  <DocSecurity>0</DocSecurity>
  <Lines>149</Lines>
  <Paragraphs>41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20596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2015-07-02T06:04:00Z</dcterms:created>
  <dc:creator>lrvk</dc:creator>
  <lastModifiedBy>JŪRĖNIENĖ Jolanta</lastModifiedBy>
  <lastPrinted>2015-06-26T12:09:00Z</lastPrinted>
  <dcterms:modified xsi:type="dcterms:W3CDTF">2025-11-24T17:20:00Z</dcterms:modified>
  <revision>21</revision>
</coreProperties>
</file>