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1cf4c5fc604f5e85427a94e2a56b20"/>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2021-03-10, i. k. 2021-04954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2024-07-11:</w:t>
          </w:r>
        </w:p>
        <w:p>
          <w:pPr>
            <w:rPr>
              <w:rFonts w:ascii="Times New Roman" w:hAnsi="Times New Roman"/>
              <w:sz w:val="20"/>
              <w:i/>
            </w:rPr>
          </w:pPr>
          <w:r>
            <w:rPr>
              <w:rFonts w:ascii="Times New Roman" w:hAnsi="Times New Roman"/>
              <w:sz w:val="20"/>
              <w:i/>
            </w:rPr>
            <w:t xml:space="preserve">Nr. </w:t>
          </w:r>
          <w:fldSimple w:instr="HYPERLINK https://www.e-tar.lt/portal/legalAct.html?documentId=4fc76cd03e9a11efbdaea558de59136c">
            <w:r w:rsidRPr="00532B9F">
              <w:rPr>
                <w:rFonts w:ascii="Times New Roman" w:eastAsia="MS Mincho" w:hAnsi="Times New Roman"/>
                <w:sz w:val="20"/>
                <w:i/>
                <w:iCs/>
                <w:color w:val="0000FF" w:themeColor="hyperlink"/>
                <w:u w:val="single"/>
              </w:rPr>
              <w:t>D1-232</w:t>
            </w:r>
          </w:fldSimple>
          <w:r>
            <w:rPr>
              <w:rFonts w:ascii="Times New Roman" w:eastAsia="MS Mincho" w:hAnsi="Times New Roman"/>
              <w:sz w:val="20"/>
              <w:i/>
              <w:iCs/>
            </w:rPr>
            <w:t>,
2024-07-10,
paskelbta TAR 2024-07-10, i. k. 2024-12817                </w:t>
          </w:r>
        </w:p>
        <w:p>
          <w:pPr>
            <w:rPr>
              <w:rFonts w:ascii="Times New Roman" w:hAnsi="Times New Roman"/>
              <w:sz w:val="22"/>
            </w:rPr>
          </w:pPr>
        </w:p>
        <w:p>
          <w:pPr>
            <w:jc w:val="center"/>
            <w:rPr>
              <w:b/>
              <w:bCs/>
              <w:szCs w:val="24"/>
              <w:lang w:eastAsia="lt-LT"/>
            </w:rPr>
          </w:pPr>
          <w:r>
            <w:rPr>
              <w:b/>
              <w:bCs/>
              <w:szCs w:val="24"/>
              <w:lang w:eastAsia="lt-LT"/>
            </w:rPr>
            <w:t>LIETUVOS RESPUBLIKOS APLINKOS MINISTRAS</w:t>
          </w:r>
        </w:p>
        <w:p>
          <w:pPr>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MOKESČIO UŽ APLINKOS TERŠIMĄ IR NUSLĖPTĄ TARŠĄ APSKAIČIAVIMO UŽ 2021 IR VĖLESNIUS METUS TVARKOS APRAŠŲ PATVIRTINIMO</w:t>
          </w:r>
        </w:p>
        <w:p>
          <w:pPr>
            <w:ind w:firstLine="124"/>
            <w:jc w:val="center"/>
            <w:rPr>
              <w:szCs w:val="24"/>
              <w:lang w:eastAsia="lt-LT"/>
            </w:rPr>
          </w:pPr>
        </w:p>
        <w:p>
          <w:pPr>
            <w:ind w:firstLine="124"/>
            <w:jc w:val="center"/>
            <w:rPr>
              <w:szCs w:val="24"/>
              <w:lang w:eastAsia="lt-LT"/>
            </w:rPr>
          </w:pPr>
          <w:r>
            <w:rPr>
              <w:szCs w:val="24"/>
              <w:lang w:eastAsia="lt-LT"/>
            </w:rPr>
            <w:t>2021 m. kovo 10 d. Nr. D1-143</w:t>
          </w:r>
        </w:p>
        <w:p>
          <w:pPr>
            <w:ind w:firstLine="124"/>
            <w:jc w:val="center"/>
            <w:rPr>
              <w:szCs w:val="24"/>
              <w:lang w:eastAsia="lt-LT"/>
            </w:rPr>
          </w:pPr>
          <w:r>
            <w:rPr>
              <w:szCs w:val="24"/>
              <w:lang w:eastAsia="lt-LT"/>
            </w:rPr>
            <w:t>Vilnius</w:t>
          </w:r>
        </w:p>
        <w:p>
          <w:pPr>
            <w:ind w:firstLine="124"/>
            <w:jc w:val="center"/>
            <w:rPr>
              <w:szCs w:val="24"/>
              <w:lang w:eastAsia="lt-LT"/>
            </w:rPr>
          </w:pPr>
        </w:p>
        <w:sdt>
          <w:sdtPr>
            <w:alias w:val="preambule"/>
            <w:tag w:val="part_0f630c401cba4de59bbc44587b7802dc"/>
            <w:lock w:val="sdtLocked"/>
            <w:richText/>
          </w:sdtPr>
          <w:sdtContent>
            <w:p>
              <w:pPr>
                <w:spacing w:line="276" w:lineRule="auto"/>
                <w:ind w:firstLine="709"/>
                <w:jc w:val="both"/>
                <w:rPr>
                  <w:szCs w:val="24"/>
                  <w:lang w:eastAsia="lt-LT"/>
                </w:rPr>
              </w:pPr>
              <w:r>
                <w:rPr>
                  <w:szCs w:val="24"/>
                  <w:lang w:eastAsia="lt-LT"/>
                </w:rPr>
                <w:t xml:space="preserve">Vadovaudamasis Lietuvos Respublikos mokesčio už aplinkos teršimą įstatymo 9 straipsnio 2 dalimi, </w:t>
              </w:r>
              <w:r>
                <w:t>10 straipsnio 1 dalimi, 11 straipsnio 1 dalimi</w:t>
              </w:r>
              <w:r>
                <w:rPr>
                  <w:szCs w:val="24"/>
                  <w:lang w:eastAsia="lt-LT"/>
                </w:rPr>
                <w:t xml:space="preserve"> ir įgyvendindamas Lietuvos Respublikos Vyriausybės 2020 m. lapkričio 18 d. nutarimo Nr. 1277 „Dėl įgaliojimų suteikimo įgyvendinant Lietuvos Respublikos mokesčio už aplinkos teršimą įstatymą“ 1.2 ir 1.3 papunkčius:</w:t>
              </w:r>
            </w:p>
          </w:sdtContent>
        </w:sdt>
        <w:sdt>
          <w:sdtPr>
            <w:alias w:val="1 p."/>
            <w:tag w:val="part_b621de458efa414891ab20dc894ce22a"/>
            <w:lock w:val="sdtLocked"/>
            <w:richText/>
          </w:sdtPr>
          <w:sdtContent>
            <w:p>
              <w:pPr>
                <w:ind w:firstLine="709"/>
                <w:jc w:val="both"/>
                <w:rPr>
                  <w:szCs w:val="24"/>
                  <w:lang w:eastAsia="lt-LT"/>
                </w:rPr>
              </w:pPr>
              <w:sdt>
                <w:sdtPr>
                  <w:alias w:val="Numeris"/>
                  <w:tag w:val="nr_b621de458efa414891ab20dc894ce22a"/>
                  <w:lock w:val="sdtLocked"/>
                  <w:richText/>
                </w:sdtPr>
                <w:sdtContent>
                  <w:r>
                    <w:rPr>
                      <w:szCs w:val="24"/>
                      <w:lang w:eastAsia="lt-LT"/>
                    </w:rPr>
                    <w:t>1</w:t>
                  </w:r>
                </w:sdtContent>
              </w:sdt>
              <w:r>
                <w:rPr>
                  <w:szCs w:val="24"/>
                  <w:lang w:eastAsia="lt-LT"/>
                </w:rPr>
                <w:t xml:space="preserve">. </w:t>
              </w:r>
              <w:r>
                <w:rPr>
                  <w:spacing w:val="60"/>
                  <w:szCs w:val="24"/>
                  <w:lang w:eastAsia="lt-LT"/>
                </w:rPr>
                <w:t>Tvirtinu</w:t>
              </w:r>
              <w:r>
                <w:rPr>
                  <w:szCs w:val="24"/>
                  <w:lang w:eastAsia="lt-LT"/>
                </w:rPr>
                <w:t xml:space="preserve"> pridedamus:</w:t>
              </w:r>
            </w:p>
            <w:sdt>
              <w:sdtPr>
                <w:alias w:val="1.1 pp."/>
                <w:tag w:val="part_370db0b69eb14270adb5fd81146bf232"/>
                <w:lock w:val="sdtLocked"/>
                <w:richText/>
              </w:sdtPr>
              <w:sdtContent>
                <w:p>
                  <w:pPr>
                    <w:ind w:firstLine="709"/>
                    <w:jc w:val="both"/>
                    <w:rPr>
                      <w:szCs w:val="24"/>
                      <w:lang w:eastAsia="lt-LT"/>
                    </w:rPr>
                  </w:pPr>
                  <w:sdt>
                    <w:sdtPr>
                      <w:alias w:val="Numeris"/>
                      <w:tag w:val="nr_370db0b69eb14270adb5fd81146bf232"/>
                      <w:lock w:val="sdtLocked"/>
                      <w:richText/>
                    </w:sdtPr>
                    <w:sdtContent>
                      <w:r>
                        <w:rPr>
                          <w:szCs w:val="24"/>
                          <w:lang w:eastAsia="lt-LT"/>
                        </w:rPr>
                        <w:t>1.1</w:t>
                      </w:r>
                    </w:sdtContent>
                  </w:sdt>
                  <w:r>
                    <w:rPr>
                      <w:szCs w:val="24"/>
                      <w:lang w:eastAsia="lt-LT"/>
                    </w:rPr>
                    <w:t>. Mokesčio už aplinkos teršimą ir nuslėptą taršą iš mobiliųjų taršos šaltinių apskaičiavimo tvarkos aprašą;</w:t>
                  </w:r>
                </w:p>
              </w:sdtContent>
            </w:sdt>
            <w:sdt>
              <w:sdtPr>
                <w:alias w:val="1.2 pp."/>
                <w:tag w:val="part_974084da02c741cab7365bd230301c76"/>
                <w:lock w:val="sdtLocked"/>
                <w:richText/>
              </w:sdtPr>
              <w:sdtContent>
                <w:p>
                  <w:pPr>
                    <w:ind w:firstLine="709"/>
                    <w:jc w:val="both"/>
                    <w:rPr>
                      <w:szCs w:val="24"/>
                      <w:lang w:eastAsia="lt-LT"/>
                    </w:rPr>
                  </w:pPr>
                  <w:sdt>
                    <w:sdtPr>
                      <w:alias w:val="Numeris"/>
                      <w:tag w:val="nr_974084da02c741cab7365bd230301c76"/>
                      <w:lock w:val="sdtLocked"/>
                      <w:richText/>
                    </w:sdtPr>
                    <w:sdtContent>
                      <w:r>
                        <w:rPr>
                          <w:szCs w:val="24"/>
                          <w:lang w:eastAsia="lt-LT"/>
                        </w:rPr>
                        <w:t>1.2</w:t>
                      </w:r>
                    </w:sdtContent>
                  </w:sdt>
                  <w:r>
                    <w:rPr>
                      <w:szCs w:val="24"/>
                      <w:lang w:eastAsia="lt-LT"/>
                    </w:rPr>
                    <w:t>. Mokesčio už aplinkos teršimą ir nuslėptą taršą iš stacionariųjų taršos šaltinių apskaičiavimo tvarkos aprašą;</w:t>
                  </w:r>
                </w:p>
              </w:sdtContent>
            </w:sdt>
            <w:sdt>
              <w:sdtPr>
                <w:alias w:val="1.3 pp."/>
                <w:tag w:val="part_c0d96006b6474886b1dd839da93bd7f5"/>
                <w:lock w:val="sdtLocked"/>
                <w:richText/>
              </w:sdtPr>
              <w:sdtContent>
                <w:p>
                  <w:pPr>
                    <w:ind w:firstLine="709"/>
                    <w:jc w:val="both"/>
                    <w:rPr>
                      <w:szCs w:val="24"/>
                      <w:lang w:eastAsia="lt-LT"/>
                    </w:rPr>
                  </w:pPr>
                  <w:sdt>
                    <w:sdtPr>
                      <w:alias w:val="Numeris"/>
                      <w:tag w:val="nr_c0d96006b6474886b1dd839da93bd7f5"/>
                      <w:lock w:val="sdtLocked"/>
                      <w:richText/>
                    </w:sdtPr>
                    <w:sdtContent>
                      <w:r>
                        <w:rPr>
                          <w:szCs w:val="24"/>
                          <w:lang w:eastAsia="lt-LT"/>
                        </w:rPr>
                        <w:t>1.3</w:t>
                      </w:r>
                    </w:sdtContent>
                  </w:sdt>
                  <w:r>
                    <w:rPr>
                      <w:szCs w:val="24"/>
                      <w:lang w:eastAsia="lt-LT"/>
                    </w:rPr>
                    <w:t>. Mokesčio už aplinkos teršimą ir nuslėptą taršą gaminių atliekomis apskaičiavimo tvarkos aprašą;</w:t>
                  </w:r>
                </w:p>
              </w:sdtContent>
            </w:sdt>
            <w:sdt>
              <w:sdtPr>
                <w:alias w:val="1.4 pp."/>
                <w:tag w:val="part_f082dedf418a4a20a2714b6bb68623a8"/>
                <w:lock w:val="sdtLocked"/>
                <w:richText/>
              </w:sdtPr>
              <w:sdtContent>
                <w:p>
                  <w:pPr>
                    <w:ind w:firstLine="709"/>
                    <w:jc w:val="both"/>
                    <w:rPr>
                      <w:szCs w:val="24"/>
                      <w:lang w:eastAsia="lt-LT"/>
                    </w:rPr>
                  </w:pPr>
                  <w:sdt>
                    <w:sdtPr>
                      <w:alias w:val="Numeris"/>
                      <w:tag w:val="nr_f082dedf418a4a20a2714b6bb68623a8"/>
                      <w:lock w:val="sdtLocked"/>
                      <w:richText/>
                    </w:sdtPr>
                    <w:sdtContent>
                      <w:r>
                        <w:rPr>
                          <w:szCs w:val="24"/>
                          <w:lang w:eastAsia="lt-LT"/>
                        </w:rPr>
                        <w:t>1.4</w:t>
                      </w:r>
                    </w:sdtContent>
                  </w:sdt>
                  <w:r>
                    <w:rPr>
                      <w:szCs w:val="24"/>
                      <w:lang w:eastAsia="lt-LT"/>
                    </w:rPr>
                    <w:t>. Mokesčio už aplinkos teršimą ir nuslėptą taršą pakuočių atliekomis apskaičiavimo tvarkos aprašą;</w:t>
                  </w:r>
                </w:p>
              </w:sdtContent>
            </w:sdt>
            <w:sdt>
              <w:sdtPr>
                <w:alias w:val="1.5 pp."/>
                <w:tag w:val="part_fd7fddfbbaa8451bb95011508ddf7b80"/>
                <w:lock w:val="sdtLocked"/>
                <w:richText/>
              </w:sdtPr>
              <w:sdtContent>
                <w:p>
                  <w:pPr>
                    <w:ind w:firstLine="709"/>
                    <w:jc w:val="both"/>
                    <w:rPr>
                      <w:szCs w:val="24"/>
                      <w:lang w:eastAsia="lt-LT"/>
                    </w:rPr>
                  </w:pPr>
                  <w:sdt>
                    <w:sdtPr>
                      <w:alias w:val="Numeris"/>
                      <w:tag w:val="nr_fd7fddfbbaa8451bb95011508ddf7b80"/>
                      <w:lock w:val="sdtLocked"/>
                      <w:richText/>
                    </w:sdtPr>
                    <w:sdtContent>
                      <w:r>
                        <w:rPr>
                          <w:szCs w:val="24"/>
                          <w:lang w:eastAsia="lt-LT"/>
                        </w:rPr>
                        <w:t>1.5</w:t>
                      </w:r>
                    </w:sdtContent>
                  </w:sdt>
                  <w:r>
                    <w:rPr>
                      <w:szCs w:val="24"/>
                      <w:lang w:eastAsia="lt-LT"/>
                    </w:rPr>
                    <w:t>. Mokesčio už aplinkos teršimą ir nuslėptą taršą sąvartyne šalinamomis atliekomis apskaičiavimo tvarkos aprašą.</w:t>
                  </w:r>
                </w:p>
              </w:sdtContent>
            </w:sdt>
          </w:sdtContent>
        </w:sdt>
        <w:sdt>
          <w:sdtPr>
            <w:alias w:val="2 p."/>
            <w:tag w:val="part_a581309d4be143e6b2018b4a81b80d3c"/>
            <w:lock w:val="sdtLocked"/>
            <w:richText/>
          </w:sdtPr>
          <w:sdtContent>
            <w:p>
              <w:pPr>
                <w:spacing w:line="276" w:lineRule="auto"/>
                <w:ind w:firstLine="709"/>
                <w:jc w:val="both"/>
                <w:rPr>
                  <w:szCs w:val="24"/>
                  <w:lang w:eastAsia="lt-LT"/>
                </w:rPr>
              </w:pPr>
              <w:sdt>
                <w:sdtPr>
                  <w:alias w:val="Numeris"/>
                  <w:tag w:val="nr_a581309d4be143e6b2018b4a81b80d3c"/>
                  <w:lock w:val="sdtLocked"/>
                  <w:richText/>
                </w:sdtPr>
                <w:sdtContent>
                  <w:r>
                    <w:rPr>
                      <w:szCs w:val="24"/>
                      <w:lang w:eastAsia="lt-LT"/>
                    </w:rPr>
                    <w:t>2</w:t>
                  </w:r>
                </w:sdtContent>
              </w:sdt>
              <w:r>
                <w:rPr>
                  <w:szCs w:val="24"/>
                  <w:lang w:eastAsia="lt-LT"/>
                </w:rPr>
                <w:t xml:space="preserve">. Į </w:t>
              </w:r>
              <w:r>
                <w:rPr>
                  <w:spacing w:val="60"/>
                  <w:szCs w:val="24"/>
                  <w:lang w:eastAsia="lt-LT"/>
                </w:rPr>
                <w:t>galioju</w:t>
              </w:r>
              <w:r>
                <w:rPr>
                  <w:szCs w:val="24"/>
                  <w:lang w:eastAsia="lt-LT"/>
                </w:rPr>
                <w:t xml:space="preserve"> Aplinkos apsaugos departamentą prie Aplinkos ministerijos:</w:t>
              </w:r>
            </w:p>
            <w:sdt>
              <w:sdtPr>
                <w:alias w:val="2.1 pp."/>
                <w:tag w:val="part_8de28b96c9184729a8896f2daec178e9"/>
                <w:lock w:val="sdtLocked"/>
                <w:richText/>
              </w:sdtPr>
              <w:sdtContent>
                <w:p>
                  <w:pPr>
                    <w:spacing w:line="276" w:lineRule="auto"/>
                    <w:ind w:firstLine="709"/>
                    <w:jc w:val="both"/>
                    <w:rPr>
                      <w:szCs w:val="24"/>
                      <w:lang w:eastAsia="lt-LT"/>
                    </w:rPr>
                  </w:pPr>
                  <w:sdt>
                    <w:sdtPr>
                      <w:alias w:val="Numeris"/>
                      <w:tag w:val="nr_8de28b96c9184729a8896f2daec178e9"/>
                      <w:lock w:val="sdtLocked"/>
                      <w:richText/>
                    </w:sdtPr>
                    <w:sdtContent>
                      <w:r>
                        <w:rPr>
                          <w:color w:val="000000"/>
                          <w:szCs w:val="24"/>
                          <w:lang w:eastAsia="lt-LT"/>
                        </w:rPr>
                        <w:t>2.1</w:t>
                      </w:r>
                    </w:sdtContent>
                  </w:sdt>
                  <w:r>
                    <w:rPr>
                      <w:color w:val="000000"/>
                      <w:szCs w:val="24"/>
                      <w:lang w:eastAsia="lt-LT"/>
                    </w:rPr>
                    <w:t>. n</w:t>
                  </w:r>
                  <w:r>
                    <w:rPr>
                      <w:szCs w:val="24"/>
                      <w:lang w:eastAsia="lt-LT"/>
                    </w:rPr>
                    <w:t>uo 2021 m. sausio 1 d. teikti mokesčio mokėtojams konsultacijas ir informaciją mokesčio už aplinkos teršimą apskaičiavimo ir deklaravimo klausimais, išskyrus mokestį už aplinkos teršimą iš žemės ūkio veiklai naudojamų ne keliais judančių mechanizmų, vadovaujantis Aplinkos apsaugos departamento nustatyta tvarka;</w:t>
                  </w:r>
                </w:p>
              </w:sdtContent>
            </w:sdt>
            <w:sdt>
              <w:sdtPr>
                <w:alias w:val="2.2 pp."/>
                <w:tag w:val="part_c07aa993b97a49bf933bcf43af34adcd"/>
                <w:lock w:val="sdtLocked"/>
                <w:richText/>
              </w:sdtPr>
              <w:sdtContent>
                <w:p>
                  <w:pPr>
                    <w:spacing w:line="276" w:lineRule="auto"/>
                    <w:ind w:firstLine="709"/>
                    <w:jc w:val="both"/>
                    <w:rPr>
                      <w:szCs w:val="24"/>
                      <w:lang w:eastAsia="lt-LT"/>
                    </w:rPr>
                  </w:pPr>
                  <w:sdt>
                    <w:sdtPr>
                      <w:alias w:val="Numeris"/>
                      <w:tag w:val="nr_c07aa993b97a49bf933bcf43af34adcd"/>
                      <w:lock w:val="sdtLocked"/>
                      <w:richText/>
                    </w:sdtPr>
                    <w:sdtContent>
                      <w:r>
                        <w:rPr>
                          <w:szCs w:val="24"/>
                          <w:lang w:eastAsia="lt-LT"/>
                        </w:rPr>
                        <w:t>2.2</w:t>
                      </w:r>
                    </w:sdtContent>
                  </w:sdt>
                  <w:r>
                    <w:rPr>
                      <w:szCs w:val="24"/>
                      <w:lang w:eastAsia="lt-LT"/>
                    </w:rPr>
                    <w:t>. atlikti mokestinius patikrinimus Aplinkos apsaugos departamento prie Aplinkos ministerijos nustatyta tvarka, vadovaujantis Mokesčio už aplinkos teršimą įstatymo ir Lietuvos Respublikos mokesčių administravimo įstatymo nuostatomis.</w:t>
                  </w:r>
                </w:p>
              </w:sdtContent>
            </w:sdt>
          </w:sdtContent>
        </w:sdt>
        <w:sdt>
          <w:sdtPr>
            <w:alias w:val="3 p."/>
            <w:tag w:val="part_0613e76ed2d14fa0ba09ff04e7bef357"/>
            <w:lock w:val="sdtLocked"/>
            <w:richText/>
          </w:sdtPr>
          <w:sdtContent>
            <w:p>
              <w:pPr>
                <w:spacing w:line="276" w:lineRule="auto"/>
                <w:ind w:firstLine="709"/>
                <w:jc w:val="both"/>
              </w:pPr>
              <w:sdt>
                <w:sdtPr>
                  <w:alias w:val="Numeris"/>
                  <w:tag w:val="nr_0613e76ed2d14fa0ba09ff04e7bef357"/>
                  <w:lock w:val="sdtLocked"/>
                  <w:richText/>
                </w:sdtPr>
                <w:sdtContent>
                  <w:r>
                    <w:rPr>
                      <w:szCs w:val="24"/>
                      <w:lang w:eastAsia="lt-LT"/>
                    </w:rPr>
                    <w:t>3</w:t>
                  </w:r>
                </w:sdtContent>
              </w:sdt>
              <w:r>
                <w:rPr>
                  <w:szCs w:val="24"/>
                  <w:lang w:eastAsia="lt-LT"/>
                </w:rPr>
                <w:t xml:space="preserve">. </w:t>
              </w:r>
              <w:r>
                <w:rPr>
                  <w:spacing w:val="70"/>
                  <w:szCs w:val="24"/>
                  <w:lang w:eastAsia="lt-LT"/>
                </w:rPr>
                <w:t>Nustata</w:t>
              </w:r>
              <w:r>
                <w:rPr>
                  <w:szCs w:val="24"/>
                  <w:lang w:eastAsia="lt-LT"/>
                </w:rPr>
                <w:t>u, kad mokestis už aplinkos teršimą 2020 ir ankstesnių metų mokestinius laikotarpius apskaičiuojamas ir mokamas taikant iki šio įsakymo įsigaliojimo galiojusias Lietuvos Respublikos aplinkos ministro ir Lietuvos Respublikos finansų ministro 2008 m. liepos 9 d. įsakymo Nr. D1-370/1K-230 „Dėl Mokesčio už aplinkos teršimą apskaičiavimo ir mokėjimo tvarkos aprašų patvirtinimo“ nuostatas.</w:t>
              </w:r>
              <w:r>
                <w:t xml:space="preserve"> </w:t>
              </w:r>
            </w:p>
          </w:sdtContent>
        </w:sdt>
        <w:sdt>
          <w:sdtPr>
            <w:alias w:val="signatura"/>
            <w:tag w:val="part_8b698a6d211a4dd3ab7bee27206ecd5d"/>
            <w:lock w:val="sdtLocked"/>
            <w:richText/>
          </w:sdtPr>
          <w:sdtContent>
            <w:p>
              <w:pPr>
                <w:suppressAutoHyphens/>
              </w:pPr>
            </w:p>
            <w:p>
              <w:pPr>
                <w:suppressAutoHyphens/>
              </w:pPr>
            </w:p>
            <w:p>
              <w:pPr>
                <w:suppressAutoHyphens/>
              </w:pPr>
            </w:p>
            <w:p>
              <w:pPr>
                <w:suppressAutoHyphens/>
                <w:rPr>
                  <w:lang w:eastAsia="lt-LT"/>
                </w:rPr>
              </w:pPr>
              <w:r>
                <w:rPr>
                  <w:lang w:eastAsia="lt-LT"/>
                </w:rPr>
                <w:t>Aplinkos ministras</w:t>
                <w:tab/>
                <w:tab/>
                <w:tab/>
                <w:tab/>
                <w:tab/>
                <w:tab/>
                <w:tab/>
                <w:tab/>
                <w:t xml:space="preserve">          Simonas Gentvilas</w:t>
              </w:r>
            </w:p>
            <w:p>
              <w:pPr>
                <w:tabs>
                  <w:tab w:val="center" w:pos="4153"/>
                  <w:tab w:val="right" w:pos="9100"/>
                </w:tabs>
                <w:suppressAutoHyphens/>
                <w:rPr>
                  <w:rFonts w:ascii="Tahoma" w:hAnsi="Tahoma"/>
                  <w:spacing w:val="10"/>
                  <w:sz w:val="20"/>
                  <w:lang w:eastAsia="lt-LT"/>
                </w:rPr>
              </w:pPr>
            </w:p>
          </w:sdtContent>
        </w:sdt>
        <w:p/>
      </w:sdtContent>
    </w:sdt>
    <w:sdt>
      <w:sdtPr>
        <w:alias w:val="patvirtinta"/>
        <w:tag w:val="part_f6aa384450e14657a2feea081efe17d2"/>
        <w:lock w:val="sdtLocked"/>
        <w:richText/>
      </w:sdtPr>
      <w:sdtContent>
        <w:p>
          <w:pPr>
            <w:widowControl w:val="0"/>
            <w:suppressAutoHyphens/>
            <w:ind w:left="5670"/>
            <w:sectPr>
              <w:headerReference w:type="default" r:id="rId12"/>
              <w:headerReference w:type="first" r:id="rId13"/>
              <w:footnotePr>
                <w:pos w:val="beneathText"/>
              </w:footnotePr>
              <w:pgSz w:w="11905" w:h="16837"/>
              <w:pgMar w:top="1701" w:right="567" w:bottom="1134" w:left="1701" w:header="568" w:footer="919" w:gutter="0"/>
              <w:pgNumType w:start="1"/>
              <w:cols w:space="1296"/>
              <w:formProt w:val="0"/>
              <w:titlePg/>
              <w:docGrid w:linePitch="360"/>
            </w:sectPr>
          </w:pPr>
        </w:p>
        <w:p>
          <w:pPr>
            <w:widowControl w:val="0"/>
            <w:suppressAutoHyphens/>
            <w:ind w:left="5670"/>
            <w:rPr>
              <w:color w:val="000000"/>
            </w:rPr>
          </w:pPr>
          <w:r>
            <w:rPr>
              <w:color w:val="000000"/>
            </w:rPr>
            <w:t>PATVIRTINTA</w:t>
          </w:r>
        </w:p>
        <w:p>
          <w:pPr>
            <w:widowControl w:val="0"/>
            <w:suppressAutoHyphens/>
            <w:ind w:left="5670"/>
            <w:rPr>
              <w:color w:val="000000"/>
            </w:rPr>
          </w:pPr>
          <w:r>
            <w:rPr>
              <w:color w:val="000000"/>
            </w:rPr>
            <w:t>Lietuvos Respublikos aplinkos ministro</w:t>
          </w:r>
        </w:p>
        <w:p>
          <w:pPr>
            <w:widowControl w:val="0"/>
            <w:suppressAutoHyphens/>
            <w:ind w:left="5670"/>
            <w:rPr>
              <w:color w:val="000000"/>
            </w:rPr>
          </w:pPr>
          <w:r>
            <w:rPr>
              <w:color w:val="000000"/>
            </w:rPr>
            <w:t xml:space="preserve">2021 m. kovo 10 d. </w:t>
          </w:r>
        </w:p>
        <w:p>
          <w:pPr>
            <w:widowControl w:val="0"/>
            <w:suppressAutoHyphens/>
            <w:ind w:left="5670"/>
            <w:rPr>
              <w:color w:val="000000"/>
            </w:rPr>
          </w:pPr>
          <w:r>
            <w:rPr>
              <w:color w:val="000000"/>
            </w:rPr>
            <w:t>įsakymu Nr. D1-143</w:t>
          </w:r>
        </w:p>
        <w:p>
          <w:pPr>
            <w:widowControl w:val="0"/>
            <w:suppressAutoHyphens/>
            <w:jc w:val="center"/>
            <w:rPr>
              <w:b/>
              <w:bCs/>
              <w:caps/>
              <w:color w:val="000000"/>
            </w:rPr>
          </w:pPr>
        </w:p>
        <w:p>
          <w:pPr>
            <w:widowControl w:val="0"/>
            <w:suppressAutoHyphens/>
            <w:jc w:val="center"/>
            <w:rPr>
              <w:b/>
              <w:bCs/>
              <w:caps/>
              <w:color w:val="000000"/>
            </w:rPr>
          </w:pPr>
          <w:sdt>
            <w:sdtPr>
              <w:alias w:val="Pavadinimas"/>
              <w:tag w:val="title_f6aa384450e14657a2feea081efe17d2"/>
              <w:lock w:val="sdtLocked"/>
              <w:richText/>
            </w:sdtPr>
            <w:sdtContent>
              <w:r>
                <w:rPr>
                  <w:b/>
                  <w:bCs/>
                  <w:caps/>
                  <w:color w:val="000000"/>
                </w:rPr>
                <w:t>MOKESČIO UŽ APLINKOS TERŠIMĄ ir nuslėptą taršą IŠ MOBILIŲjų TARŠOS ŠALTINIŲ APSKAIČIAVIMO TVARKOS APRAŠAS</w:t>
              </w:r>
            </w:sdtContent>
          </w:sdt>
        </w:p>
        <w:p>
          <w:pPr>
            <w:widowControl w:val="0"/>
            <w:suppressAutoHyphens/>
            <w:jc w:val="center"/>
            <w:rPr>
              <w:color w:val="000000"/>
            </w:rPr>
          </w:pPr>
        </w:p>
        <w:sdt>
          <w:sdtPr>
            <w:alias w:val="skyrius"/>
            <w:tag w:val="part_5d4b2bb60c864961847b9935aa161382"/>
            <w:lock w:val="sdtLocked"/>
            <w:richText/>
          </w:sdtPr>
          <w:sdtContent>
            <w:p>
              <w:pPr>
                <w:widowControl w:val="0"/>
                <w:suppressAutoHyphens/>
                <w:jc w:val="center"/>
                <w:rPr>
                  <w:b/>
                  <w:bCs/>
                  <w:caps/>
                  <w:color w:val="000000"/>
                </w:rPr>
              </w:pPr>
              <w:sdt>
                <w:sdtPr>
                  <w:alias w:val="Numeris"/>
                  <w:tag w:val="nr_5d4b2bb60c864961847b9935aa161382"/>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5d4b2bb60c864961847b9935aa161382"/>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e0fa9cc0f5b542f7ac61bfd52c30fe0f"/>
                <w:lock w:val="sdtLocked"/>
                <w:richText/>
              </w:sdtPr>
              <w:sdtContent>
                <w:p>
                  <w:pPr>
                    <w:widowControl w:val="0"/>
                    <w:suppressAutoHyphens/>
                    <w:ind w:firstLine="567"/>
                    <w:jc w:val="both"/>
                    <w:rPr>
                      <w:color w:val="000000"/>
                    </w:rPr>
                  </w:pPr>
                  <w:sdt>
                    <w:sdtPr>
                      <w:alias w:val="Numeris"/>
                      <w:tag w:val="nr_e0fa9cc0f5b542f7ac61bfd52c30fe0f"/>
                      <w:lock w:val="sdtLocked"/>
                      <w:richText/>
                    </w:sdtPr>
                    <w:sdtContent>
                      <w:r>
                        <w:rPr>
                          <w:color w:val="000000"/>
                        </w:rPr>
                        <w:t>1</w:t>
                      </w:r>
                    </w:sdtContent>
                  </w:sdt>
                  <w:r>
                    <w:rPr>
                      <w:color w:val="000000"/>
                    </w:rPr>
                    <w:t>. Mokesčio už aplinkos teršimą ir nuslėptą taršą iš mobiliųjų taršos šaltinių apskaičiavimo tvarkos aprašas (toliau – Tvarkos aprašas) nustato mokesčio už aplinkos teršimą ir nuslėptą taršą iš mobiliųjų taršos šaltinių apskaičiavimo tvarką.</w:t>
                  </w:r>
                </w:p>
              </w:sdtContent>
            </w:sdt>
            <w:sdt>
              <w:sdtPr>
                <w:alias w:val="2 p."/>
                <w:tag w:val="part_af885a3bb2094251a579db4481c82ee4"/>
                <w:lock w:val="sdtLocked"/>
                <w:richText/>
              </w:sdtPr>
              <w:sdtContent>
                <w:p>
                  <w:pPr>
                    <w:widowControl w:val="0"/>
                    <w:suppressAutoHyphens/>
                    <w:ind w:firstLine="567"/>
                    <w:jc w:val="both"/>
                    <w:rPr>
                      <w:color w:val="000000"/>
                    </w:rPr>
                  </w:pPr>
                  <w:sdt>
                    <w:sdtPr>
                      <w:alias w:val="Numeris"/>
                      <w:tag w:val="nr_af885a3bb2094251a579db4481c82ee4"/>
                      <w:lock w:val="sdtLocked"/>
                      <w:richText/>
                    </w:sdtPr>
                    <w:sdtContent>
                      <w:r>
                        <w:rPr>
                          <w:color w:val="000000"/>
                        </w:rPr>
                        <w:t>2</w:t>
                      </w:r>
                    </w:sdtContent>
                  </w:sdt>
                  <w:r>
                    <w:rPr>
                      <w:color w:val="000000"/>
                    </w:rPr>
                    <w:t>. Tvarkos aprašo nuostatos netaikomos apskaičiuojant mokestį už aplinkos teršimą iš žemės ūkio veiklai naudojamų ne keliais judančių mechanizmų.</w:t>
                  </w:r>
                </w:p>
              </w:sdtContent>
            </w:sdt>
            <w:sdt>
              <w:sdtPr>
                <w:alias w:val="3 p."/>
                <w:tag w:val="part_57e0a34400874f1cb52c56f9f901bba6"/>
                <w:lock w:val="sdtLocked"/>
                <w:richText/>
              </w:sdtPr>
              <w:sdtContent>
                <w:p>
                  <w:pPr>
                    <w:widowControl w:val="0"/>
                    <w:suppressAutoHyphens/>
                    <w:ind w:firstLine="567"/>
                    <w:jc w:val="both"/>
                    <w:rPr>
                      <w:color w:val="000000"/>
                    </w:rPr>
                  </w:pPr>
                  <w:sdt>
                    <w:sdtPr>
                      <w:alias w:val="Numeris"/>
                      <w:tag w:val="nr_57e0a34400874f1cb52c56f9f901bba6"/>
                      <w:lock w:val="sdtLocked"/>
                      <w:richText/>
                    </w:sdtPr>
                    <w:sdtContent>
                      <w:r>
                        <w:rPr>
                          <w:color w:val="000000"/>
                        </w:rPr>
                        <w:t>3</w:t>
                      </w:r>
                    </w:sdtContent>
                  </w:sdt>
                  <w:r>
                    <w:rPr>
                      <w:color w:val="000000"/>
                    </w:rPr>
                    <w:t>. Tvarkos apraše vartojamos sąvokos atitinka Lietuvos Respublikos mokesčio už aplinkos teršimą įstatyme įtvirtintas sąvokas.</w:t>
                  </w:r>
                </w:p>
                <w:p>
                  <w:pPr>
                    <w:widowControl w:val="0"/>
                    <w:suppressAutoHyphens/>
                    <w:ind w:firstLine="567"/>
                    <w:jc w:val="both"/>
                    <w:rPr>
                      <w:color w:val="000000"/>
                    </w:rPr>
                  </w:pPr>
                </w:p>
              </w:sdtContent>
            </w:sdt>
          </w:sdtContent>
        </w:sdt>
        <w:sdt>
          <w:sdtPr>
            <w:alias w:val="skyrius"/>
            <w:tag w:val="part_3c4818d6bbec45ffbe01bf0b3619f93c"/>
            <w:lock w:val="sdtLocked"/>
            <w:richText/>
          </w:sdtPr>
          <w:sdtContent>
            <w:p>
              <w:pPr>
                <w:widowControl w:val="0"/>
                <w:suppressAutoHyphens/>
                <w:jc w:val="center"/>
                <w:rPr>
                  <w:b/>
                  <w:bCs/>
                  <w:caps/>
                  <w:color w:val="000000"/>
                </w:rPr>
              </w:pPr>
              <w:sdt>
                <w:sdtPr>
                  <w:alias w:val="Numeris"/>
                  <w:tag w:val="nr_3c4818d6bbec45ffbe01bf0b3619f93c"/>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3c4818d6bbec45ffbe01bf0b3619f93c"/>
                  <w:lock w:val="sdtLocked"/>
                  <w:richText/>
                </w:sdtPr>
                <w:sdtContent>
                  <w:r>
                    <w:rPr>
                      <w:b/>
                      <w:bCs/>
                      <w:caps/>
                      <w:color w:val="000000"/>
                    </w:rPr>
                    <w:t>MOKESČIO APSKAIČIAVIMAS</w:t>
                  </w:r>
                </w:sdtContent>
              </w:sdt>
            </w:p>
            <w:p>
              <w:pPr>
                <w:widowControl w:val="0"/>
                <w:suppressAutoHyphens/>
                <w:ind w:firstLine="567"/>
                <w:jc w:val="both"/>
                <w:rPr>
                  <w:color w:val="000000"/>
                </w:rPr>
              </w:pPr>
            </w:p>
            <w:sdt>
              <w:sdtPr>
                <w:alias w:val="4 p."/>
                <w:tag w:val="part_d387e7faa1d74b4fb0097a9b03d9b17e"/>
                <w:lock w:val="sdtLocked"/>
                <w:richText/>
              </w:sdtPr>
              <w:sdtContent>
                <w:p>
                  <w:pPr>
                    <w:widowControl w:val="0"/>
                    <w:suppressAutoHyphens/>
                    <w:ind w:firstLine="567"/>
                    <w:jc w:val="both"/>
                    <w:rPr>
                      <w:color w:val="000000"/>
                    </w:rPr>
                  </w:pPr>
                  <w:sdt>
                    <w:sdtPr>
                      <w:alias w:val="Numeris"/>
                      <w:tag w:val="nr_d387e7faa1d74b4fb0097a9b03d9b17e"/>
                      <w:lock w:val="sdtLocked"/>
                      <w:richText/>
                    </w:sdtPr>
                    <w:sdtContent>
                      <w:r>
                        <w:rPr>
                          <w:color w:val="000000"/>
                        </w:rPr>
                        <w:t>4</w:t>
                      </w:r>
                    </w:sdtContent>
                  </w:sdt>
                  <w:r>
                    <w:rPr>
                      <w:color w:val="000000"/>
                    </w:rPr>
                    <w:t xml:space="preserve">. Mokestis už aplinkos teršimą iš mobiliųjų taršos šaltinių apskaičiuojamas ir mokamas už mokesčio mokėtojo mobiliuosiuose taršos šaltiniuose Lietuvos Respublikos teritorijoje per mokestinį laikotarpį sunaudotą degalų kiekį tonomis, išskyrus </w:t>
                  </w:r>
                  <w:r>
                    <w:rPr>
                      <w:lang w:eastAsia="lt-LT"/>
                    </w:rPr>
                    <w:t>keleiviams ir kroviniams vežti naudojamas oro transporto priemones.</w:t>
                  </w:r>
                  <w:r>
                    <w:rPr>
                      <w:color w:val="000000"/>
                    </w:rPr>
                    <w:t xml:space="preserve"> Mokestis už aplinkos teršimą iš keleiviams ir kroviniams vežti naudojamų oro transporto priemonių apskaičiuojamas ir mokamas atsižvelgiant į kilimo ir tūpimo ciklų skaičių.</w:t>
                  </w:r>
                </w:p>
              </w:sdtContent>
            </w:sdt>
            <w:sdt>
              <w:sdtPr>
                <w:alias w:val="5 p."/>
                <w:tag w:val="part_7b1a5db40e1a439f8f4fececb522746d"/>
                <w:lock w:val="sdtLocked"/>
                <w:richText/>
              </w:sdtPr>
              <w:sdtContent>
                <w:p>
                  <w:pPr>
                    <w:suppressAutoHyphens/>
                    <w:ind w:firstLine="567"/>
                    <w:jc w:val="both"/>
                    <w:textAlignment w:val="center"/>
                    <w:rPr>
                      <w:color w:val="000000"/>
                      <w:szCs w:val="24"/>
                    </w:rPr>
                  </w:pPr>
                  <w:sdt>
                    <w:sdtPr>
                      <w:alias w:val="Numeris"/>
                      <w:tag w:val="nr_7b1a5db40e1a439f8f4fececb522746d"/>
                      <w:lock w:val="sdtLocked"/>
                      <w:richText/>
                    </w:sdtPr>
                    <w:sdtContent>
                      <w:r>
                        <w:rPr>
                          <w:color w:val="000000"/>
                          <w:szCs w:val="24"/>
                        </w:rPr>
                        <w:t>5</w:t>
                      </w:r>
                    </w:sdtContent>
                  </w:sdt>
                  <w:r>
                    <w:rPr>
                      <w:color w:val="000000"/>
                      <w:szCs w:val="24"/>
                    </w:rPr>
                    <w:t xml:space="preserve">. Mokestis už aplinkos teršimą iš mobiliųjų taršos šaltinių, išskyrus keleiviams ir kroviniams vežti </w:t>
                  </w:r>
                  <w:r>
                    <w:rPr>
                      <w:lang w:eastAsia="lt-LT"/>
                    </w:rPr>
                    <w:t>naudojamas</w:t>
                  </w:r>
                  <w:r>
                    <w:rPr>
                      <w:color w:val="000000"/>
                      <w:szCs w:val="24"/>
                    </w:rPr>
                    <w:t xml:space="preserve"> oro transporto</w:t>
                  </w:r>
                  <w:r>
                    <w:rPr>
                      <w:b/>
                      <w:bCs/>
                      <w:color w:val="000000"/>
                      <w:szCs w:val="24"/>
                    </w:rPr>
                    <w:t xml:space="preserve"> </w:t>
                  </w:r>
                  <w:r>
                    <w:rPr>
                      <w:color w:val="000000"/>
                      <w:szCs w:val="24"/>
                    </w:rPr>
                    <w:t>priemones, apskaičiuojamas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 = Q × T × I × k</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tabs>
                      <w:tab w:val="left" w:pos="5620"/>
                    </w:tabs>
                    <w:suppressAutoHyphens/>
                    <w:ind w:firstLine="567"/>
                    <w:jc w:val="both"/>
                    <w:textAlignment w:val="center"/>
                    <w:rPr>
                      <w:color w:val="000000"/>
                      <w:szCs w:val="24"/>
                    </w:rPr>
                  </w:pPr>
                  <w:r>
                    <w:rPr>
                      <w:color w:val="000000"/>
                      <w:szCs w:val="24"/>
                    </w:rPr>
                    <w:t>M – mokestis už aplinkos teršimą iš mobiliųjų taršos šaltinių (Eur);</w:t>
                  </w:r>
                </w:p>
                <w:p>
                  <w:pPr>
                    <w:tabs>
                      <w:tab w:val="left" w:pos="5620"/>
                    </w:tabs>
                    <w:suppressAutoHyphens/>
                    <w:ind w:firstLine="567"/>
                    <w:jc w:val="both"/>
                    <w:textAlignment w:val="center"/>
                    <w:rPr>
                      <w:color w:val="000000"/>
                      <w:szCs w:val="24"/>
                    </w:rPr>
                  </w:pPr>
                  <w:r>
                    <w:rPr>
                      <w:color w:val="000000"/>
                      <w:szCs w:val="24"/>
                    </w:rPr>
                    <w:t>Q – mobiliuosiuose taršos šaltiniuose Lietuvos teritorijoje per mokestinį laikotarpį sunaudotas atitinkamos rūšies degalų kiekis (t);</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p>
                  <w:pPr>
                    <w:ind w:firstLine="567"/>
                    <w:jc w:val="both"/>
                    <w:rPr>
                      <w:color w:val="000000"/>
                    </w:rPr>
                  </w:pPr>
                  <w:r>
                    <w:rPr>
                      <w:szCs w:val="24"/>
                      <w:lang w:eastAsia="lt-LT"/>
                    </w:rPr>
                    <w:t xml:space="preserve">k – mokesčio už aplinkos teršimą iš mobiliųjų taršos šaltinių tarifų koregavimo koeficientas, nustatytas Mokesčio už aplinkos teršimą įstatymo 7 priede. </w:t>
                  </w:r>
                  <w:r>
                    <w:t>Kai mobilusis taršos šaltinis neatitinka nė vieno minėtame priede nustatytų techninių ypatumų, koeficientas k=1.</w:t>
                  </w:r>
                </w:p>
              </w:sdtContent>
            </w:sdt>
            <w:sdt>
              <w:sdtPr>
                <w:alias w:val="6 p."/>
                <w:tag w:val="part_1dff3e95d7604c03a41a595ecf0196bf"/>
                <w:lock w:val="sdtLocked"/>
                <w:richText/>
              </w:sdtPr>
              <w:sdtContent>
                <w:p>
                  <w:pPr>
                    <w:ind w:firstLine="567"/>
                    <w:jc w:val="both"/>
                    <w:rPr>
                      <w:color w:val="000000"/>
                      <w:szCs w:val="24"/>
                    </w:rPr>
                  </w:pPr>
                  <w:sdt>
                    <w:sdtPr>
                      <w:alias w:val="Numeris"/>
                      <w:tag w:val="nr_1dff3e95d7604c03a41a595ecf0196bf"/>
                      <w:lock w:val="sdtLocked"/>
                      <w:richText/>
                    </w:sdtPr>
                    <w:sdtContent>
                      <w:r>
                        <w:rPr>
                          <w:color w:val="000000"/>
                          <w:szCs w:val="24"/>
                        </w:rPr>
                        <w:t>6</w:t>
                      </w:r>
                    </w:sdtContent>
                  </w:sdt>
                  <w:r>
                    <w:rPr>
                      <w:color w:val="000000"/>
                      <w:szCs w:val="24"/>
                    </w:rPr>
                    <w:t xml:space="preserve">. Mokestis už aplinkos teršimą iš </w:t>
                  </w:r>
                  <w:r>
                    <w:rPr>
                      <w:lang w:eastAsia="lt-LT"/>
                    </w:rPr>
                    <w:t>keleiviams ir kroviniams vežti naudojamų</w:t>
                  </w:r>
                  <w:r>
                    <w:rPr>
                      <w:color w:val="000000"/>
                      <w:szCs w:val="24"/>
                    </w:rPr>
                    <w:t xml:space="preserve"> oro transporto priemonių</w:t>
                  </w:r>
                  <w:r>
                    <w:rPr>
                      <w:color w:val="000000"/>
                    </w:rPr>
                    <w:t xml:space="preserve"> </w:t>
                  </w:r>
                  <w:r>
                    <w:rPr>
                      <w:color w:val="000000"/>
                      <w:szCs w:val="24"/>
                    </w:rPr>
                    <w:t>kilimo ir tūpimo ciklo metu apskaičiuojamas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c</w:t>
                  </w:r>
                  <w:r>
                    <w:rPr>
                      <w:color w:val="000000"/>
                      <w:szCs w:val="24"/>
                    </w:rPr>
                    <w:t xml:space="preserve"> = T × I × s</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tabs>
                      <w:tab w:val="left" w:pos="5620"/>
                    </w:tabs>
                    <w:suppressAutoHyphens/>
                    <w:ind w:firstLine="567"/>
                    <w:jc w:val="both"/>
                    <w:textAlignment w:val="center"/>
                    <w:rPr>
                      <w:color w:val="000000"/>
                      <w:szCs w:val="24"/>
                    </w:rPr>
                  </w:pPr>
                  <w:r>
                    <w:rPr>
                      <w:color w:val="000000"/>
                      <w:szCs w:val="24"/>
                    </w:rPr>
                    <w:t>M</w:t>
                  </w:r>
                  <w:r>
                    <w:rPr>
                      <w:color w:val="000000"/>
                      <w:szCs w:val="24"/>
                      <w:vertAlign w:val="subscript"/>
                    </w:rPr>
                    <w:t>c</w:t>
                  </w:r>
                  <w:r>
                    <w:rPr>
                      <w:color w:val="000000"/>
                      <w:szCs w:val="24"/>
                    </w:rPr>
                    <w:t xml:space="preserve"> – mokestis už aplinkos teršimą iš </w:t>
                  </w:r>
                  <w:r>
                    <w:rPr>
                      <w:lang w:eastAsia="lt-LT"/>
                    </w:rPr>
                    <w:t>keleiviams ir kroviniams vežti naudojamų</w:t>
                  </w:r>
                  <w:r>
                    <w:rPr>
                      <w:color w:val="000000"/>
                      <w:szCs w:val="24"/>
                    </w:rPr>
                    <w:t xml:space="preserve"> oro transporto priemonių kilimo ir tūpimo ciklo metu (Eur);</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p>
                  <w:pPr>
                    <w:ind w:firstLine="567"/>
                    <w:jc w:val="both"/>
                    <w:rPr>
                      <w:color w:val="000000"/>
                    </w:rPr>
                  </w:pPr>
                  <w:r>
                    <w:rPr>
                      <w:szCs w:val="24"/>
                      <w:lang w:eastAsia="lt-LT"/>
                    </w:rPr>
                    <w:t xml:space="preserve">s – </w:t>
                  </w:r>
                  <w:r>
                    <w:rPr>
                      <w:lang w:eastAsia="lt-LT"/>
                    </w:rPr>
                    <w:t>keleiviams ir kroviniams vežti naudojamų</w:t>
                  </w:r>
                  <w:r>
                    <w:rPr>
                      <w:color w:val="000000"/>
                      <w:szCs w:val="24"/>
                    </w:rPr>
                    <w:t xml:space="preserve"> </w:t>
                  </w:r>
                  <w:r>
                    <w:rPr>
                      <w:szCs w:val="24"/>
                      <w:lang w:eastAsia="lt-LT"/>
                    </w:rPr>
                    <w:t>oro transporto priemonių kilimo ir tūpimo ciklų skaičius.</w:t>
                  </w:r>
                </w:p>
                <w:p>
                  <w:pPr>
                    <w:tabs>
                      <w:tab w:val="left" w:pos="5620"/>
                    </w:tabs>
                    <w:suppressAutoHyphens/>
                    <w:ind w:firstLine="567"/>
                    <w:jc w:val="both"/>
                    <w:textAlignment w:val="center"/>
                    <w:rPr>
                      <w:color w:val="000000"/>
                      <w:szCs w:val="24"/>
                    </w:rPr>
                  </w:pPr>
                </w:p>
              </w:sdtContent>
            </w:sdt>
          </w:sdtContent>
        </w:sdt>
        <w:sdt>
          <w:sdtPr>
            <w:alias w:val="skyrius"/>
            <w:tag w:val="part_21dc53142ce344e29d3f548af555e89a"/>
            <w:lock w:val="sdtLocked"/>
            <w:richText/>
          </w:sdtPr>
          <w:sdtContent>
            <w:p>
              <w:pPr>
                <w:ind w:firstLine="567"/>
                <w:jc w:val="center"/>
                <w:rPr>
                  <w:b/>
                  <w:color w:val="000000"/>
                  <w:szCs w:val="24"/>
                </w:rPr>
              </w:pPr>
              <w:sdt>
                <w:sdtPr>
                  <w:alias w:val="Numeris"/>
                  <w:tag w:val="nr_21dc53142ce344e29d3f548af555e89a"/>
                  <w:lock w:val="sdtLocked"/>
                  <w:richText/>
                </w:sdtPr>
                <w:sdtContent>
                  <w:r>
                    <w:rPr>
                      <w:b/>
                      <w:color w:val="000000"/>
                      <w:szCs w:val="24"/>
                    </w:rPr>
                    <w:t>III</w:t>
                  </w:r>
                </w:sdtContent>
              </w:sdt>
              <w:r>
                <w:rPr>
                  <w:b/>
                  <w:color w:val="000000"/>
                  <w:szCs w:val="24"/>
                </w:rPr>
                <w:t xml:space="preserve"> SKYRIUS</w:t>
              </w:r>
            </w:p>
            <w:p>
              <w:pPr>
                <w:ind w:firstLine="567"/>
                <w:jc w:val="center"/>
                <w:rPr>
                  <w:color w:val="000000"/>
                  <w:szCs w:val="24"/>
                </w:rPr>
              </w:pPr>
              <w:sdt>
                <w:sdtPr>
                  <w:alias w:val="Pavadinimas"/>
                  <w:tag w:val="title_21dc53142ce344e29d3f548af555e89a"/>
                  <w:lock w:val="sdtLocked"/>
                  <w:richText/>
                </w:sdtPr>
                <w:sdtContent>
                  <w:r>
                    <w:rPr>
                      <w:b/>
                      <w:color w:val="000000"/>
                      <w:szCs w:val="24"/>
                    </w:rPr>
                    <w:t>MOKESČIO UŽ NUSLĖPTĄ TARŠĄ APSKAIČIAVIMAS</w:t>
                  </w:r>
                </w:sdtContent>
              </w:sdt>
            </w:p>
            <w:p>
              <w:pPr>
                <w:tabs>
                  <w:tab w:val="left" w:pos="5620"/>
                </w:tabs>
                <w:suppressAutoHyphens/>
                <w:ind w:firstLine="567"/>
                <w:jc w:val="both"/>
                <w:textAlignment w:val="center"/>
                <w:rPr>
                  <w:color w:val="000000"/>
                  <w:szCs w:val="24"/>
                </w:rPr>
              </w:pPr>
            </w:p>
            <w:sdt>
              <w:sdtPr>
                <w:alias w:val="7 p."/>
                <w:tag w:val="part_8741f00760584628b0a5846c517f66e4"/>
                <w:lock w:val="sdtLocked"/>
                <w:richText/>
              </w:sdtPr>
              <w:sdtContent>
                <w:p>
                  <w:pPr>
                    <w:tabs>
                      <w:tab w:val="left" w:pos="5620"/>
                    </w:tabs>
                    <w:suppressAutoHyphens/>
                    <w:ind w:firstLine="567"/>
                    <w:jc w:val="both"/>
                    <w:textAlignment w:val="center"/>
                    <w:rPr>
                      <w:color w:val="000000"/>
                      <w:szCs w:val="24"/>
                    </w:rPr>
                  </w:pPr>
                  <w:sdt>
                    <w:sdtPr>
                      <w:alias w:val="Numeris"/>
                      <w:tag w:val="nr_8741f00760584628b0a5846c517f66e4"/>
                      <w:lock w:val="sdtLocked"/>
                      <w:richText/>
                    </w:sdtPr>
                    <w:sdtContent>
                      <w:r>
                        <w:rPr>
                          <w:color w:val="000000"/>
                          <w:szCs w:val="24"/>
                        </w:rPr>
                        <w:t>7</w:t>
                      </w:r>
                    </w:sdtContent>
                  </w:sdt>
                  <w:r>
                    <w:rPr>
                      <w:color w:val="000000"/>
                      <w:szCs w:val="24"/>
                    </w:rPr>
                    <w:t xml:space="preserve">. Mokestis už nuslėptą taršą iš mobiliųjų taršos šaltinių (išskyrus </w:t>
                  </w:r>
                  <w:r>
                    <w:rPr>
                      <w:lang w:eastAsia="lt-LT"/>
                    </w:rPr>
                    <w:t>keleiviams ir kroviniams vežti</w:t>
                  </w:r>
                  <w:r>
                    <w:rPr>
                      <w:color w:val="000000"/>
                      <w:szCs w:val="24"/>
                    </w:rPr>
                    <w:t xml:space="preserve"> naudojamas oro transporto priemones) apskaičiuojamas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 xml:space="preserve">NUS </w:t>
                  </w:r>
                  <w:r>
                    <w:rPr>
                      <w:color w:val="000000"/>
                      <w:szCs w:val="24"/>
                    </w:rPr>
                    <w:t>× T × k × I ×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tabs>
                      <w:tab w:val="left" w:pos="5620"/>
                    </w:tabs>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iš mobiliųjų taršos šaltinių (Eur);</w:t>
                  </w:r>
                </w:p>
                <w:p>
                  <w:pPr>
                    <w:tabs>
                      <w:tab w:val="left" w:pos="5620"/>
                    </w:tabs>
                    <w:suppressAutoHyphens/>
                    <w:ind w:firstLine="567"/>
                    <w:jc w:val="both"/>
                    <w:textAlignment w:val="center"/>
                    <w:rPr>
                      <w:color w:val="000000"/>
                      <w:szCs w:val="24"/>
                    </w:rPr>
                  </w:pPr>
                  <w:r>
                    <w:rPr>
                      <w:color w:val="000000"/>
                      <w:szCs w:val="24"/>
                    </w:rPr>
                    <w:t>Q</w:t>
                  </w:r>
                  <w:r>
                    <w:rPr>
                      <w:color w:val="000000"/>
                      <w:szCs w:val="24"/>
                      <w:vertAlign w:val="subscript"/>
                    </w:rPr>
                    <w:t>NUS</w:t>
                  </w:r>
                  <w:r>
                    <w:rPr>
                      <w:color w:val="000000"/>
                      <w:szCs w:val="24"/>
                    </w:rPr>
                    <w:t xml:space="preserve"> – nuslėptas degalų kiekis sunaudotas konkrečiame mobiliajame taršos šaltinyje (t);</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p>
                  <w:pPr>
                    <w:tabs>
                      <w:tab w:val="left" w:pos="5620"/>
                    </w:tabs>
                    <w:suppressAutoHyphens/>
                    <w:ind w:firstLine="567"/>
                    <w:jc w:val="both"/>
                    <w:textAlignment w:val="center"/>
                    <w:rPr>
                      <w:color w:val="000000"/>
                      <w:szCs w:val="24"/>
                    </w:rPr>
                  </w:pPr>
                  <w:r>
                    <w:rPr>
                      <w:szCs w:val="24"/>
                      <w:lang w:eastAsia="lt-LT"/>
                    </w:rPr>
                    <w:t xml:space="preserve">k – mokesčio už aplinkos teršimą iš mobiliųjų taršos šaltinių tarifų koregavimo koeficientas, nustatytas Mokesčio už aplinkos teršimą įstatymo 7 priede. </w:t>
                  </w:r>
                  <w:r>
                    <w:t>Kai mobilusis taršos šaltinis neatitinka nė vieno minėtame priede nustatytų techninių ypatumų, koeficientas k=1.</w:t>
                  </w:r>
                </w:p>
              </w:sdtContent>
            </w:sdt>
            <w:sdt>
              <w:sdtPr>
                <w:alias w:val="8 p."/>
                <w:tag w:val="part_7418b9bc86bf416eaf7ac6689affa227"/>
                <w:lock w:val="sdtLocked"/>
                <w:richText/>
              </w:sdtPr>
              <w:sdtContent>
                <w:p>
                  <w:pPr>
                    <w:widowControl w:val="0"/>
                    <w:suppressAutoHyphens/>
                    <w:ind w:firstLine="567"/>
                    <w:jc w:val="both"/>
                    <w:rPr>
                      <w:color w:val="000000"/>
                    </w:rPr>
                  </w:pPr>
                  <w:sdt>
                    <w:sdtPr>
                      <w:alias w:val="Numeris"/>
                      <w:tag w:val="nr_7418b9bc86bf416eaf7ac6689affa227"/>
                      <w:lock w:val="sdtLocked"/>
                      <w:richText/>
                    </w:sdtPr>
                    <w:sdtContent>
                      <w:r>
                        <w:rPr>
                          <w:color w:val="000000"/>
                        </w:rPr>
                        <w:t>8</w:t>
                      </w:r>
                    </w:sdtContent>
                  </w:sdt>
                  <w:r>
                    <w:rPr>
                      <w:color w:val="000000"/>
                    </w:rPr>
                    <w:t xml:space="preserve">. Mokestis už nuslėptą taršą iš mobiliųjų taršos šaltinių (išskyrus </w:t>
                  </w:r>
                  <w:r>
                    <w:rPr>
                      <w:lang w:eastAsia="lt-LT"/>
                    </w:rPr>
                    <w:t>keleiviams ir kroviniams vežti</w:t>
                  </w:r>
                  <w:r>
                    <w:rPr>
                      <w:color w:val="000000"/>
                      <w:szCs w:val="24"/>
                    </w:rPr>
                    <w:t xml:space="preserve"> naudojamas</w:t>
                  </w:r>
                  <w:r>
                    <w:rPr>
                      <w:color w:val="000000"/>
                    </w:rPr>
                    <w:t xml:space="preserve"> oro transporto priemones), kai apskaičiuodamas mokestį už mobiliuosiuose taršos šaltiniuose sunaudotą degalų kiekį mokesčio mokėtojas neteisingai taikė mokesčio už aplinkos teršimą tarifus, nustatytus Mokesčio už aplinkos teršimą įstatymo 5 priede ir (ar) neteisingai taikė ar visai netaikė privalomų taikyti mokesčio už aplinkos teršimą iš mobiliųjų taršos šaltinių tarifų koregavimo koeficientų, nustatytų Mokesčio už aplinkos teršimą įstatymo 7 priede, todėl buvo sumokėtas mažesnis mokestis, apskaičiuojamas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M</w:t>
                  </w:r>
                  <w:r>
                    <w:rPr>
                      <w:color w:val="000000"/>
                      <w:vertAlign w:val="subscript"/>
                    </w:rPr>
                    <w:t>NUS</w:t>
                  </w:r>
                  <w:r>
                    <w:rPr>
                      <w:color w:val="000000"/>
                    </w:rPr>
                    <w:t xml:space="preserve"> = (Q</w:t>
                  </w:r>
                  <w:r>
                    <w:rPr>
                      <w:color w:val="000000"/>
                      <w:vertAlign w:val="subscript"/>
                    </w:rPr>
                    <w:t>DEK</w:t>
                  </w:r>
                  <w:r>
                    <w:rPr>
                      <w:color w:val="000000"/>
                    </w:rPr>
                    <w:t xml:space="preserve"> x T x k x I - M</w:t>
                  </w:r>
                  <w:r>
                    <w:rPr>
                      <w:color w:val="000000"/>
                      <w:vertAlign w:val="subscript"/>
                    </w:rPr>
                    <w:t>(sumokėtas)</w:t>
                  </w:r>
                  <w:r>
                    <w:rPr>
                      <w:color w:val="000000"/>
                    </w:rPr>
                    <w:t>) x 2</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szCs w:val="24"/>
                    </w:rPr>
                    <w:t>M</w:t>
                  </w:r>
                  <w:r>
                    <w:rPr>
                      <w:color w:val="000000"/>
                      <w:szCs w:val="24"/>
                      <w:vertAlign w:val="subscript"/>
                    </w:rPr>
                    <w:t>NUS</w:t>
                  </w:r>
                  <w:r>
                    <w:rPr>
                      <w:color w:val="000000"/>
                      <w:szCs w:val="24"/>
                    </w:rPr>
                    <w:t xml:space="preserve"> – mokestis už nuslėptą taršą iš mobiliųjų taršos šaltinių (Eur);</w:t>
                  </w:r>
                </w:p>
                <w:p>
                  <w:pPr>
                    <w:widowControl w:val="0"/>
                    <w:suppressAutoHyphens/>
                    <w:ind w:firstLine="567"/>
                    <w:jc w:val="both"/>
                    <w:rPr>
                      <w:color w:val="000000"/>
                    </w:rPr>
                  </w:pPr>
                  <w:r>
                    <w:rPr>
                      <w:color w:val="000000"/>
                    </w:rPr>
                    <w:t>Q</w:t>
                  </w:r>
                  <w:r>
                    <w:rPr>
                      <w:color w:val="000000"/>
                      <w:vertAlign w:val="subscript"/>
                    </w:rPr>
                    <w:t>DEK</w:t>
                  </w:r>
                  <w:r>
                    <w:rPr>
                      <w:color w:val="000000"/>
                    </w:rPr>
                    <w:t xml:space="preserve"> – deklaruotas mažesnis sunaudotas atitinkamos rūšies degalų kiekis apmokestinamuose mobiliuosiuose taršos šaltiniuose (tonomis);</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p>
                  <w:pPr>
                    <w:widowControl w:val="0"/>
                    <w:suppressAutoHyphens/>
                    <w:ind w:firstLine="567"/>
                    <w:jc w:val="both"/>
                    <w:rPr>
                      <w:color w:val="000000"/>
                    </w:rPr>
                  </w:pPr>
                  <w:r>
                    <w:rPr>
                      <w:szCs w:val="24"/>
                      <w:lang w:eastAsia="lt-LT"/>
                    </w:rPr>
                    <w:t xml:space="preserve">k – mokesčio už aplinkos teršimą iš mobiliųjų taršos šaltinių tarifų koregavimo koeficientas, nustatytas Mokesčio už aplinkos teršimą įstatymo 7 priede. </w:t>
                  </w:r>
                  <w:r>
                    <w:t>Kai mobilusis taršos šaltinis neatitinka nė vieno minėtame priede nustatytų techninių ypatumų, koeficientas k=1;</w:t>
                  </w:r>
                </w:p>
                <w:p>
                  <w:pPr>
                    <w:widowControl w:val="0"/>
                    <w:suppressAutoHyphens/>
                    <w:ind w:firstLine="567"/>
                    <w:jc w:val="both"/>
                    <w:rPr>
                      <w:color w:val="000000"/>
                    </w:rPr>
                  </w:pPr>
                  <w:r>
                    <w:rPr>
                      <w:color w:val="000000"/>
                    </w:rPr>
                    <w:t>M</w:t>
                  </w:r>
                  <w:r>
                    <w:rPr>
                      <w:color w:val="000000"/>
                      <w:vertAlign w:val="subscript"/>
                    </w:rPr>
                    <w:t>(sumokėtas)</w:t>
                  </w:r>
                  <w:r>
                    <w:rPr>
                      <w:color w:val="000000"/>
                    </w:rPr>
                    <w:t xml:space="preserve"> – sumokėtas mokestis už aplinkos teršimą iš mobiliųjų taršos šaltinių, kuriam apskaičiuoti neteisingai taikytas mokesčio už aplinkos teršimą tarifas, nustatytas Mokesčio už aplinkos teršimą įstatymo 5 priede ir (ar) neteisingai taikytas ar iš viso netaikytas privalomas taikyti mokesčio už aplinkos teršimą iš mobiliųjų taršos šaltinių tarifų koregavimo koeficientas, nustatytas Mokesčio už aplinkos teršimą įstatymo 7 priede.</w:t>
                  </w:r>
                </w:p>
              </w:sdtContent>
            </w:sdt>
            <w:sdt>
              <w:sdtPr>
                <w:alias w:val="9 p."/>
                <w:tag w:val="part_f95b6a6f076948edbff88122789a6d14"/>
                <w:lock w:val="sdtLocked"/>
                <w:richText/>
              </w:sdtPr>
              <w:sdtContent>
                <w:p>
                  <w:pPr>
                    <w:widowControl w:val="0"/>
                    <w:suppressAutoHyphens/>
                    <w:ind w:firstLine="567"/>
                    <w:jc w:val="both"/>
                    <w:rPr>
                      <w:color w:val="000000"/>
                    </w:rPr>
                  </w:pPr>
                  <w:sdt>
                    <w:sdtPr>
                      <w:alias w:val="Numeris"/>
                      <w:tag w:val="nr_f95b6a6f076948edbff88122789a6d14"/>
                      <w:lock w:val="sdtLocked"/>
                      <w:richText/>
                    </w:sdtPr>
                    <w:sdtContent>
                      <w:r>
                        <w:rPr>
                          <w:color w:val="000000"/>
                        </w:rPr>
                        <w:t>9</w:t>
                      </w:r>
                    </w:sdtContent>
                  </w:sdt>
                  <w:r>
                    <w:rPr>
                      <w:color w:val="000000"/>
                    </w:rPr>
                    <w:t>. Mokestis už nuslėptą keleiviams ir kroviniams vežti naudojamų oro transporto priemonių taršą kilimo ir tūpimo ciklų metu apskaičiuojamas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M</w:t>
                  </w:r>
                  <w:r>
                    <w:rPr>
                      <w:color w:val="000000"/>
                      <w:vertAlign w:val="subscript"/>
                    </w:rPr>
                    <w:t>NUS</w:t>
                  </w:r>
                  <w:r>
                    <w:rPr>
                      <w:color w:val="000000"/>
                    </w:rPr>
                    <w:t xml:space="preserve"> = S</w:t>
                  </w:r>
                  <w:r>
                    <w:rPr>
                      <w:color w:val="000000"/>
                      <w:vertAlign w:val="subscript"/>
                    </w:rPr>
                    <w:t>NUS</w:t>
                  </w:r>
                  <w:r>
                    <w:rPr>
                      <w:color w:val="000000"/>
                    </w:rPr>
                    <w:t xml:space="preserve"> x T x I x 2</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szCs w:val="24"/>
                    </w:rPr>
                    <w:t>M</w:t>
                  </w:r>
                  <w:r>
                    <w:rPr>
                      <w:color w:val="000000"/>
                      <w:szCs w:val="24"/>
                      <w:vertAlign w:val="subscript"/>
                    </w:rPr>
                    <w:t>NUS</w:t>
                  </w:r>
                  <w:r>
                    <w:rPr>
                      <w:color w:val="000000"/>
                      <w:szCs w:val="24"/>
                    </w:rPr>
                    <w:t xml:space="preserve"> – mokestis už nuslėptą taršą iš mobiliųjų taršos šaltinių (Eur);</w:t>
                  </w:r>
                </w:p>
                <w:p>
                  <w:pPr>
                    <w:widowControl w:val="0"/>
                    <w:suppressAutoHyphens/>
                    <w:ind w:firstLine="567"/>
                    <w:jc w:val="both"/>
                    <w:rPr>
                      <w:color w:val="000000"/>
                    </w:rPr>
                  </w:pPr>
                  <w:r>
                    <w:rPr>
                      <w:color w:val="000000"/>
                    </w:rPr>
                    <w:t>S</w:t>
                  </w:r>
                  <w:r>
                    <w:rPr>
                      <w:color w:val="000000"/>
                      <w:vertAlign w:val="subscript"/>
                    </w:rPr>
                    <w:t>NUS</w:t>
                  </w:r>
                  <w:r>
                    <w:rPr>
                      <w:color w:val="000000"/>
                    </w:rPr>
                    <w:t xml:space="preserve"> – nuslėptas keleiviams ir kroviniams vežti naudojamų oro transporto priemonių kilimo ir tūpimo ciklų skaičius;</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sdtContent>
            </w:sdt>
            <w:sdt>
              <w:sdtPr>
                <w:alias w:val="10 p."/>
                <w:tag w:val="part_ebb4ed0c0d0845b480b0d20ed10787e8"/>
                <w:lock w:val="sdtLocked"/>
                <w:richText/>
              </w:sdtPr>
              <w:sdtContent>
                <w:p>
                  <w:pPr>
                    <w:widowControl w:val="0"/>
                    <w:suppressAutoHyphens/>
                    <w:ind w:firstLine="567"/>
                    <w:jc w:val="both"/>
                    <w:rPr>
                      <w:color w:val="000000"/>
                    </w:rPr>
                  </w:pPr>
                  <w:sdt>
                    <w:sdtPr>
                      <w:alias w:val="Numeris"/>
                      <w:tag w:val="nr_ebb4ed0c0d0845b480b0d20ed10787e8"/>
                      <w:lock w:val="sdtLocked"/>
                      <w:richText/>
                    </w:sdtPr>
                    <w:sdtContent>
                      <w:r>
                        <w:rPr>
                          <w:color w:val="000000"/>
                        </w:rPr>
                        <w:t>10</w:t>
                      </w:r>
                    </w:sdtContent>
                  </w:sdt>
                  <w:r>
                    <w:rPr>
                      <w:color w:val="000000"/>
                    </w:rPr>
                    <w:t xml:space="preserve">. Mokestis už nuslėptą </w:t>
                  </w:r>
                  <w:r>
                    <w:rPr>
                      <w:lang w:eastAsia="lt-LT"/>
                    </w:rPr>
                    <w:t>keleiviams ir kroviniams vežti</w:t>
                  </w:r>
                  <w:r>
                    <w:rPr>
                      <w:color w:val="000000"/>
                      <w:szCs w:val="24"/>
                    </w:rPr>
                    <w:t xml:space="preserve"> naudojamų</w:t>
                  </w:r>
                  <w:r>
                    <w:rPr>
                      <w:color w:val="000000"/>
                    </w:rPr>
                    <w:t xml:space="preserve"> oro transporto priemonių taršą kilimo ir tūpimo ciklų metu, kai apskaičiuodamas mokestį už </w:t>
                  </w:r>
                  <w:r>
                    <w:rPr>
                      <w:lang w:eastAsia="lt-LT"/>
                    </w:rPr>
                    <w:t>keleiviams ir kroviniams vežti</w:t>
                  </w:r>
                  <w:r>
                    <w:rPr>
                      <w:color w:val="000000"/>
                      <w:szCs w:val="24"/>
                    </w:rPr>
                    <w:t xml:space="preserve"> naudojamų</w:t>
                  </w:r>
                  <w:r>
                    <w:rPr>
                      <w:color w:val="000000"/>
                    </w:rPr>
                    <w:t xml:space="preserve"> oro transporto priemonių kilimo ir tūpimo ciklų skaičių mokesčio mokėtojas neteisingai taikė mokesčio už aplinkos teršimą tarifą, nustatytą Mokesčio už aplinkos teršimą įstatymo 5 priede, todėl sumokėtas mažesnis mokestis, apskaičiuojamas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M</w:t>
                  </w:r>
                  <w:r>
                    <w:rPr>
                      <w:color w:val="000000"/>
                      <w:vertAlign w:val="subscript"/>
                    </w:rPr>
                    <w:t>NUS</w:t>
                  </w:r>
                  <w:r>
                    <w:rPr>
                      <w:color w:val="000000"/>
                    </w:rPr>
                    <w:t xml:space="preserve"> = (s x T x I – M</w:t>
                  </w:r>
                  <w:r>
                    <w:rPr>
                      <w:color w:val="000000"/>
                      <w:vertAlign w:val="subscript"/>
                    </w:rPr>
                    <w:t>(sumokėtas)</w:t>
                  </w:r>
                  <w:r>
                    <w:rPr>
                      <w:color w:val="000000"/>
                    </w:rPr>
                    <w:t>) x 2</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szCs w:val="24"/>
                    </w:rPr>
                    <w:t>M</w:t>
                  </w:r>
                  <w:r>
                    <w:rPr>
                      <w:color w:val="000000"/>
                      <w:szCs w:val="24"/>
                      <w:vertAlign w:val="subscript"/>
                    </w:rPr>
                    <w:t>NUS</w:t>
                  </w:r>
                  <w:r>
                    <w:rPr>
                      <w:color w:val="000000"/>
                      <w:szCs w:val="24"/>
                    </w:rPr>
                    <w:t xml:space="preserve"> – mokestis už nuslėptą taršą iš mobiliųjų taršos šaltinių (Eur);</w:t>
                  </w:r>
                </w:p>
                <w:p>
                  <w:pPr>
                    <w:widowControl w:val="0"/>
                    <w:suppressAutoHyphens/>
                    <w:ind w:firstLine="567"/>
                    <w:jc w:val="both"/>
                    <w:rPr>
                      <w:color w:val="000000"/>
                    </w:rPr>
                  </w:pPr>
                  <w:r>
                    <w:rPr>
                      <w:color w:val="000000"/>
                    </w:rPr>
                    <w:t>M</w:t>
                  </w:r>
                  <w:r>
                    <w:rPr>
                      <w:color w:val="000000"/>
                      <w:vertAlign w:val="subscript"/>
                    </w:rPr>
                    <w:t>(sumokėtas)</w:t>
                  </w:r>
                  <w:r>
                    <w:rPr>
                      <w:color w:val="000000"/>
                    </w:rPr>
                    <w:t xml:space="preserve"> – sumokėtas mokestis už aplinkos teršimą iš mobiliųjų taršos šaltinių, kuriam apskaičiuoti neteisingai taikytas mokesčio už aplinkos teršimą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T – mokesčio tarifas, nustatytas Mokesčio už aplinkos teršimą įstatymo 5 priede;</w:t>
                  </w:r>
                </w:p>
                <w:p>
                  <w:pPr>
                    <w:tabs>
                      <w:tab w:val="left" w:pos="5620"/>
                    </w:tabs>
                    <w:suppressAutoHyphens/>
                    <w:ind w:firstLine="567"/>
                    <w:jc w:val="both"/>
                    <w:textAlignment w:val="center"/>
                    <w:rPr>
                      <w:color w:val="000000"/>
                      <w:szCs w:val="24"/>
                    </w:rPr>
                  </w:pPr>
                  <w:r>
                    <w:rPr>
                      <w:color w:val="000000"/>
                      <w:szCs w:val="24"/>
                    </w:rPr>
                    <w:t>I – indeksavimo koeficientas;</w:t>
                  </w:r>
                </w:p>
                <w:p>
                  <w:pPr>
                    <w:widowControl w:val="0"/>
                    <w:suppressAutoHyphens/>
                    <w:ind w:firstLine="567"/>
                    <w:jc w:val="both"/>
                    <w:rPr>
                      <w:color w:val="000000"/>
                    </w:rPr>
                  </w:pPr>
                  <w:r>
                    <w:rPr>
                      <w:szCs w:val="24"/>
                      <w:lang w:eastAsia="lt-LT"/>
                    </w:rPr>
                    <w:t xml:space="preserve">s – </w:t>
                  </w:r>
                  <w:r>
                    <w:rPr>
                      <w:color w:val="000000"/>
                    </w:rPr>
                    <w:t>keleiviams ir kroviniams vežti</w:t>
                  </w:r>
                  <w:r>
                    <w:rPr>
                      <w:szCs w:val="24"/>
                      <w:lang w:eastAsia="lt-LT"/>
                    </w:rPr>
                    <w:t xml:space="preserve"> </w:t>
                  </w:r>
                  <w:r>
                    <w:rPr>
                      <w:color w:val="000000"/>
                    </w:rPr>
                    <w:t xml:space="preserve">naudojamų </w:t>
                  </w:r>
                  <w:r>
                    <w:rPr>
                      <w:szCs w:val="24"/>
                      <w:lang w:eastAsia="lt-LT"/>
                    </w:rPr>
                    <w:t>oro transporto priemonių kilimo ir tūpimo ciklų skaičius.</w:t>
                  </w:r>
                </w:p>
                <w:p>
                  <w:pPr>
                    <w:widowControl w:val="0"/>
                    <w:suppressAutoHyphens/>
                    <w:ind w:firstLine="567"/>
                    <w:jc w:val="both"/>
                    <w:rPr>
                      <w:color w:val="000000"/>
                    </w:rPr>
                  </w:pPr>
                </w:p>
              </w:sdtContent>
            </w:sdt>
          </w:sdtContent>
        </w:sdt>
        <w:sdt>
          <w:sdtPr>
            <w:alias w:val="skyrius"/>
            <w:tag w:val="part_20809a2c833f40efbdd08896f1ee15ee"/>
            <w:lock w:val="sdtLocked"/>
            <w:richText/>
          </w:sdtPr>
          <w:sdtContent>
            <w:p>
              <w:pPr>
                <w:widowControl w:val="0"/>
                <w:suppressAutoHyphens/>
                <w:jc w:val="center"/>
                <w:rPr>
                  <w:lang w:eastAsia="lt-LT"/>
                </w:rPr>
              </w:pPr>
              <w:sdt>
                <w:sdtPr>
                  <w:alias w:val="Numeris"/>
                  <w:tag w:val="nr_20809a2c833f40efbdd08896f1ee15ee"/>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20809a2c833f40efbdd08896f1ee15ee"/>
                  <w:lock w:val="sdtLocked"/>
                  <w:richText/>
                </w:sdtPr>
                <w:sdtContent>
                  <w:r>
                    <w:rPr>
                      <w:b/>
                      <w:bCs/>
                      <w:caps/>
                      <w:color w:val="000000"/>
                    </w:rPr>
                    <w:t xml:space="preserve">MOKESČIO LENGVATų taikymĄ patvirtinantys dokumentai </w:t>
                  </w:r>
                </w:sdtContent>
              </w:sdt>
            </w:p>
            <w:p>
              <w:pPr>
                <w:ind w:firstLine="567"/>
                <w:jc w:val="both"/>
                <w:rPr>
                  <w:lang w:eastAsia="lt-LT"/>
                </w:rPr>
              </w:pPr>
            </w:p>
            <w:sdt>
              <w:sdtPr>
                <w:alias w:val="11 p."/>
                <w:tag w:val="part_7ea4abaa4fd34c919d16458e366417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7ea4abaa4fd34c919d16458e366417c4"/>
                      <w:lock w:val="sdtLocked"/>
                      <w:richText/>
                    </w:sdtPr>
                    <w:sdtContent>
                      <w:r>
                        <w:rPr>
                          <w:color w:val="000000"/>
                        </w:rPr>
                        <w:t>11</w:t>
                      </w:r>
                    </w:sdtContent>
                  </w:sdt>
                  <w:r>
                    <w:rPr>
                      <w:color w:val="000000"/>
                    </w:rPr>
                    <w:t xml:space="preserve">. </w:t>
                  </w:r>
                  <w:r>
                    <w:rPr>
                      <w:szCs w:val="24"/>
                      <w:lang w:eastAsia="lt-LT"/>
                    </w:rPr>
                    <w:t>Mokesčio už aplinkos teršimą iš mobiliųjų taršos šaltinių tarifų koregavimo koeficientai taikomi kaip nustatyta Mokesčio už aplinkos teršimą įstatymo 7 priede, turint tai patvirtinantį dokumentą:</w:t>
                  </w:r>
                </w:p>
                <w:sdt>
                  <w:sdtPr>
                    <w:alias w:val="11.1 pp."/>
                    <w:tag w:val="part_c9f363b5ebb047c08d779815e3d6b63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c9f363b5ebb047c08d779815e3d6b637"/>
                          <w:lock w:val="sdtLocked"/>
                          <w:richText/>
                        </w:sdtPr>
                        <w:sdtContent>
                          <w:r>
                            <w:rPr>
                              <w:color w:val="000000"/>
                            </w:rPr>
                            <w:t>11.1</w:t>
                          </w:r>
                        </w:sdtContent>
                      </w:sdt>
                      <w:r>
                        <w:rPr>
                          <w:color w:val="000000"/>
                        </w:rPr>
                        <w:t xml:space="preserve">. gamintojo išduotą įrenginio techninį pasą (jei toks yra) ar įmonės, atlikusios variklio konstrukcinius patobulinimus, pažymą, pateiktą su galiojančiu privalomos techninės apžiūros dokumentu, kuriuo patvirtinama, kad </w:t>
                      </w:r>
                      <w:r>
                        <w:rPr>
                          <w:lang w:eastAsia="lt-LT"/>
                        </w:rPr>
                        <w:t>geležinkelių, vidaus vandenų transporto priemonė ir ne keliais judantis mechanizmas, kuriame įrengtas vidaus degimo variklis, atitinka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visais pakeitimais</w:t>
                      </w:r>
                      <w:r>
                        <w:rPr>
                          <w:color w:val="000000"/>
                        </w:rPr>
                        <w:t>;</w:t>
                      </w:r>
                    </w:p>
                  </w:sdtContent>
                </w:sdt>
                <w:sdt>
                  <w:sdtPr>
                    <w:alias w:val="11.2 pp."/>
                    <w:tag w:val="part_be8ec057d14a432fbc032b039752b75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be8ec057d14a432fbc032b039752b756"/>
                          <w:lock w:val="sdtLocked"/>
                          <w:richText/>
                        </w:sdtPr>
                        <w:sdtContent>
                          <w:r>
                            <w:rPr>
                              <w:color w:val="000000"/>
                            </w:rPr>
                            <w:t>11.2</w:t>
                          </w:r>
                        </w:sdtContent>
                      </w:sdt>
                      <w:r>
                        <w:rPr>
                          <w:color w:val="000000"/>
                        </w:rPr>
                        <w:t xml:space="preserve">. </w:t>
                      </w:r>
                      <w:r>
                        <w:rPr>
                          <w:lang w:eastAsia="lt-LT"/>
                        </w:rPr>
                        <w:t>gamintojo išduotą techninį pasą, sertifikatą,</w:t>
                      </w:r>
                      <w:r>
                        <w:rPr>
                          <w:color w:val="000000"/>
                        </w:rPr>
                        <w:t xml:space="preserve"> </w:t>
                      </w:r>
                      <w:r>
                        <w:rPr>
                          <w:lang w:eastAsia="lt-LT"/>
                        </w:rPr>
                        <w:t>patvirtinantį</w:t>
                      </w:r>
                      <w:r>
                        <w:rPr>
                          <w:color w:val="000000"/>
                        </w:rPr>
                        <w:t xml:space="preserve"> n</w:t>
                      </w:r>
                      <w:r>
                        <w:rPr>
                          <w:lang w:eastAsia="lt-LT"/>
                        </w:rPr>
                        <w:t>e keliais judančio mechanizmo, kuriame įrengtas vidaus degimo variklis, geležinkelių ir vidaus vandenų transporto priemonės pagaminimo metus, kurie neturi viršyti atitinkamai 5 arba 10 metų, atsižvelgiant į taikyto koeficiento dydį.</w:t>
                      </w:r>
                    </w:p>
                  </w:sdtContent>
                </w:sdt>
              </w:sdtContent>
            </w:sdt>
          </w:sdtContent>
        </w:sdt>
        <w:sdt>
          <w:sdtPr>
            <w:alias w:val="pabaiga"/>
            <w:tag w:val="part_cf34704352bf4513be57bfd8df911af5"/>
            <w:lock w:val="sdtLocked"/>
            <w:richText/>
          </w:sdtPr>
          <w:sdtContent>
            <w:p>
              <w:pPr>
                <w:widowControl w:val="0"/>
                <w:suppressAutoHyphens/>
                <w:jc w:val="center"/>
                <w:rPr>
                  <w:color w:val="000000"/>
                </w:rPr>
              </w:pPr>
              <w:r>
                <w:rPr>
                  <w:color w:val="000000"/>
                </w:rPr>
                <w:t>_________________</w:t>
              </w:r>
            </w:p>
            <w:p>
              <w:pPr>
                <w:widowControl w:val="0"/>
                <w:suppressAutoHyphens/>
                <w:jc w:val="center"/>
                <w:rPr>
                  <w:rFonts w:ascii="Tahoma" w:hAnsi="Tahoma"/>
                  <w:spacing w:val="10"/>
                  <w:sz w:val="20"/>
                  <w:lang w:eastAsia="lt-LT"/>
                </w:rPr>
              </w:pPr>
            </w:p>
          </w:sdtContent>
        </w:sdt>
      </w:sdtContent>
    </w:sdt>
    <w:sdt>
      <w:sdtPr>
        <w:alias w:val="patvirtinta"/>
        <w:tag w:val="part_ba95d47edf09481c94ec4a721d4faa6c"/>
        <w:lock w:val="sdtLocked"/>
        <w:richText/>
      </w:sdtPr>
      <w:sdtContent>
        <w:p>
          <w:pPr>
            <w:widowControl w:val="0"/>
            <w:suppressAutoHyphens/>
            <w:ind w:left="5670"/>
            <w:sectPr>
              <w:footnotePr>
                <w:pos w:val="beneathText"/>
              </w:footnotePr>
              <w:pgSz w:w="11905" w:h="16837"/>
              <w:pgMar w:top="1701" w:right="567" w:bottom="1134" w:left="1701" w:header="567" w:footer="919" w:gutter="0"/>
              <w:pgNumType w:start="1"/>
              <w:cols w:space="1296"/>
              <w:formProt w:val="0"/>
              <w:titlePg/>
              <w:docGrid w:linePitch="360"/>
            </w:sectPr>
          </w:pPr>
        </w:p>
        <w:p>
          <w:pPr>
            <w:widowControl w:val="0"/>
            <w:suppressAutoHyphens/>
            <w:ind w:left="5670"/>
            <w:rPr>
              <w:color w:val="000000"/>
            </w:rPr>
          </w:pPr>
          <w:r>
            <w:rPr>
              <w:color w:val="000000"/>
            </w:rPr>
            <w:t>PATVIRTINTA</w:t>
          </w:r>
        </w:p>
        <w:p>
          <w:pPr>
            <w:widowControl w:val="0"/>
            <w:suppressAutoHyphens/>
            <w:ind w:left="5670"/>
            <w:rPr>
              <w:color w:val="000000"/>
            </w:rPr>
          </w:pPr>
          <w:r>
            <w:rPr>
              <w:color w:val="000000"/>
            </w:rPr>
            <w:t>Lietuvos Respublikos aplinkos ministro</w:t>
          </w:r>
        </w:p>
        <w:p>
          <w:pPr>
            <w:widowControl w:val="0"/>
            <w:suppressAutoHyphens/>
            <w:ind w:left="5670"/>
            <w:rPr>
              <w:color w:val="000000"/>
            </w:rPr>
          </w:pPr>
          <w:r>
            <w:rPr>
              <w:color w:val="000000"/>
            </w:rPr>
            <w:t xml:space="preserve">2021 m. kovo 10 d. </w:t>
          </w:r>
        </w:p>
        <w:p>
          <w:pPr>
            <w:widowControl w:val="0"/>
            <w:suppressAutoHyphens/>
            <w:ind w:left="5670"/>
            <w:rPr>
              <w:color w:val="000000"/>
            </w:rPr>
          </w:pPr>
          <w:r>
            <w:rPr>
              <w:color w:val="000000"/>
            </w:rPr>
            <w:t>įsakymu Nr. D1-143</w:t>
          </w:r>
        </w:p>
        <w:p>
          <w:pPr>
            <w:widowControl w:val="0"/>
            <w:suppressAutoHyphens/>
            <w:jc w:val="center"/>
            <w:rPr>
              <w:b/>
              <w:bCs/>
              <w:caps/>
              <w:color w:val="000000"/>
            </w:rPr>
          </w:pPr>
        </w:p>
        <w:p>
          <w:pPr>
            <w:widowControl w:val="0"/>
            <w:suppressAutoHyphens/>
            <w:jc w:val="center"/>
            <w:rPr>
              <w:b/>
              <w:bCs/>
              <w:caps/>
              <w:color w:val="000000"/>
            </w:rPr>
          </w:pPr>
          <w:sdt>
            <w:sdtPr>
              <w:alias w:val="Pavadinimas"/>
              <w:tag w:val="title_ba95d47edf09481c94ec4a721d4faa6c"/>
              <w:lock w:val="sdtLocked"/>
              <w:richText/>
            </w:sdtPr>
            <w:sdtContent>
              <w:r>
                <w:rPr>
                  <w:b/>
                  <w:bCs/>
                  <w:caps/>
                  <w:color w:val="000000"/>
                </w:rPr>
                <w:t>MOKESČIO UŽ APLINKOS TERŠIMĄ ir nuslėptą taršą IŠ STACIONARIŲjų TARŠOS ŠALTINIŲ APSKAIČIAVIMO TVARKOS APRAŠAS</w:t>
              </w:r>
            </w:sdtContent>
          </w:sdt>
        </w:p>
        <w:p>
          <w:pPr>
            <w:widowControl w:val="0"/>
            <w:suppressAutoHyphens/>
            <w:jc w:val="center"/>
            <w:rPr>
              <w:b/>
              <w:bCs/>
              <w:caps/>
              <w:color w:val="000000"/>
            </w:rPr>
          </w:pPr>
        </w:p>
        <w:sdt>
          <w:sdtPr>
            <w:alias w:val="skyrius"/>
            <w:tag w:val="part_865d361f098643b5b4d5cf17c5bd3381"/>
            <w:lock w:val="sdtLocked"/>
            <w:richText/>
          </w:sdtPr>
          <w:sdtContent>
            <w:p>
              <w:pPr>
                <w:widowControl w:val="0"/>
                <w:suppressAutoHyphens/>
                <w:jc w:val="center"/>
                <w:rPr>
                  <w:b/>
                  <w:bCs/>
                  <w:caps/>
                  <w:color w:val="000000"/>
                </w:rPr>
              </w:pPr>
              <w:sdt>
                <w:sdtPr>
                  <w:alias w:val="Numeris"/>
                  <w:tag w:val="nr_865d361f098643b5b4d5cf17c5bd3381"/>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865d361f098643b5b4d5cf17c5bd338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6cc858c143b4399999984f3ae48d1b0"/>
                <w:lock w:val="sdtLocked"/>
                <w:richText/>
              </w:sdtPr>
              <w:sdtContent>
                <w:p>
                  <w:pPr>
                    <w:widowControl w:val="0"/>
                    <w:suppressAutoHyphens/>
                    <w:ind w:firstLine="567"/>
                    <w:jc w:val="both"/>
                    <w:rPr>
                      <w:color w:val="000000"/>
                    </w:rPr>
                  </w:pPr>
                  <w:sdt>
                    <w:sdtPr>
                      <w:alias w:val="Numeris"/>
                      <w:tag w:val="nr_c6cc858c143b4399999984f3ae48d1b0"/>
                      <w:lock w:val="sdtLocked"/>
                      <w:richText/>
                    </w:sdtPr>
                    <w:sdtContent>
                      <w:r>
                        <w:rPr>
                          <w:color w:val="000000"/>
                        </w:rPr>
                        <w:t>1</w:t>
                      </w:r>
                    </w:sdtContent>
                  </w:sdt>
                  <w:r>
                    <w:rPr>
                      <w:color w:val="000000"/>
                    </w:rPr>
                    <w:t>. Mokesčio už aplinkos teršimą ir nuslėptą taršą iš stacionariųjų taršos šaltinių apskaičiavimo tvarkos aprašas (toliau – Tvarkos aprašas) nustato mokesčio už aplinkos teršimą ir nuslėptą taršą iš stacionariųjų taršos šaltinių apskaičiavimo tvarką.</w:t>
                  </w:r>
                </w:p>
              </w:sdtContent>
            </w:sdt>
            <w:sdt>
              <w:sdtPr>
                <w:alias w:val="2 p."/>
                <w:tag w:val="part_d32d6ee71d3a42a98ad234c370f620b1"/>
                <w:lock w:val="sdtLocked"/>
                <w:richText/>
              </w:sdtPr>
              <w:sdtContent>
                <w:p>
                  <w:pPr>
                    <w:widowControl w:val="0"/>
                    <w:ind w:firstLine="567"/>
                    <w:jc w:val="both"/>
                    <w:rPr>
                      <w:color w:val="000000"/>
                    </w:rPr>
                  </w:pPr>
                  <w:sdt>
                    <w:sdtPr>
                      <w:alias w:val="Numeris"/>
                      <w:tag w:val="nr_d32d6ee71d3a42a98ad234c370f620b1"/>
                      <w:lock w:val="sdtLocked"/>
                      <w:richText/>
                    </w:sdtPr>
                    <w:sdtContent>
                      <w:r>
                        <w:rPr>
                          <w:color w:val="000000"/>
                          <w:szCs w:val="24"/>
                          <w:lang w:eastAsia="lt-LT"/>
                        </w:rPr>
                        <w:t>2</w:t>
                      </w:r>
                    </w:sdtContent>
                  </w:sdt>
                  <w:r>
                    <w:rPr>
                      <w:color w:val="000000"/>
                      <w:szCs w:val="24"/>
                      <w:lang w:eastAsia="lt-LT"/>
                    </w:rPr>
                    <w:t>. Tvarkos apraše vartojamos sąvokos atitinka Lietuvos Respublikos mokesčio už aplinkos teršimą įstatyme, Lietuvos Respublikos atsinaujinančių išteklių energetikos įstatyme</w:t>
                  </w:r>
                  <w:r>
                    <w:rPr>
                      <w:color w:val="000000"/>
                    </w:rPr>
                    <w:t xml:space="preserve"> ir Lietuvos Respublikos aplinkos apsaugos valstybinės kontrolės įstatyme įtvirtintas sąvokas</w:t>
                  </w:r>
                  <w:r>
                    <w:rPr>
                      <w:color w:val="000000"/>
                      <w:szCs w:val="24"/>
                      <w:lang w:eastAsia="lt-LT"/>
                    </w:rPr>
                    <w:t>.</w:t>
                  </w:r>
                </w:p>
                <w:p/>
              </w:sdtContent>
            </w:sdt>
          </w:sdtContent>
        </w:sdt>
        <w:sdt>
          <w:sdtPr>
            <w:alias w:val="skyrius"/>
            <w:tag w:val="part_530073462dd64b75bc84220a784d97c8"/>
            <w:lock w:val="sdtLocked"/>
            <w:richText/>
          </w:sdtPr>
          <w:sdtContent>
            <w:p>
              <w:pPr>
                <w:widowControl w:val="0"/>
                <w:suppressAutoHyphens/>
                <w:jc w:val="center"/>
                <w:rPr>
                  <w:b/>
                  <w:bCs/>
                  <w:caps/>
                  <w:color w:val="000000"/>
                </w:rPr>
              </w:pPr>
              <w:sdt>
                <w:sdtPr>
                  <w:alias w:val="Numeris"/>
                  <w:tag w:val="nr_530073462dd64b75bc84220a784d97c8"/>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30073462dd64b75bc84220a784d97c8"/>
                  <w:lock w:val="sdtLocked"/>
                  <w:richText/>
                </w:sdtPr>
                <w:sdtContent>
                  <w:r>
                    <w:rPr>
                      <w:b/>
                      <w:bCs/>
                      <w:caps/>
                      <w:color w:val="000000"/>
                    </w:rPr>
                    <w:t>MOKESČIO APSKAIČIAVIMAS</w:t>
                  </w:r>
                </w:sdtContent>
              </w:sdt>
            </w:p>
            <w:p>
              <w:pPr>
                <w:widowControl w:val="0"/>
                <w:suppressAutoHyphens/>
                <w:ind w:firstLine="567"/>
                <w:jc w:val="both"/>
                <w:rPr>
                  <w:color w:val="000000"/>
                </w:rPr>
              </w:pPr>
            </w:p>
            <w:sdt>
              <w:sdtPr>
                <w:alias w:val="3 p."/>
                <w:tag w:val="part_f36f04b1fb9d41fcb23dbc4f4974d965"/>
                <w:lock w:val="sdtLocked"/>
                <w:richText/>
              </w:sdtPr>
              <w:sdtContent>
                <w:p>
                  <w:pPr>
                    <w:suppressAutoHyphens/>
                    <w:ind w:firstLine="567"/>
                    <w:jc w:val="both"/>
                    <w:textAlignment w:val="center"/>
                    <w:rPr>
                      <w:color w:val="000000"/>
                      <w:szCs w:val="24"/>
                      <w:lang w:eastAsia="zh-CN"/>
                    </w:rPr>
                  </w:pPr>
                  <w:sdt>
                    <w:sdtPr>
                      <w:alias w:val="Numeris"/>
                      <w:tag w:val="nr_f36f04b1fb9d41fcb23dbc4f4974d965"/>
                      <w:lock w:val="sdtLocked"/>
                      <w:richText/>
                    </w:sdtPr>
                    <w:sdtContent>
                      <w:r>
                        <w:rPr>
                          <w:color w:val="000000"/>
                          <w:szCs w:val="24"/>
                          <w:lang w:eastAsia="zh-CN"/>
                        </w:rPr>
                        <w:t>3</w:t>
                      </w:r>
                    </w:sdtContent>
                  </w:sdt>
                  <w:r>
                    <w:rPr>
                      <w:color w:val="000000"/>
                      <w:szCs w:val="24"/>
                      <w:lang w:eastAsia="zh-CN"/>
                    </w:rPr>
                    <w:t>. Mokestis už faktinį iš stacionariųjų taršos šaltinių išmestą į aplinkos orą arba išleistą į vandens telkinius, žemės paviršių ir jos gelmes (toliau – aplinka) teršalų kiekį (tonomis) susideda iš mokesčio už išmestą ar išleistą į aplinką leidžiamą teršalo kiekį, neviršijusį taršos integruotos prevencijos ir kontrolės (toliau – TIPK) leidime ar taršos leidime teršalui nustatyto leidžiamos taršos normatyvo, mokesčio, apskaičiuojamo taikant didesnį tarifą už išmestą ar išleistą į aplinką teršalo kiekį, viršijusį TIPK leidime ar taršos leidime teršalui nustatytą leidžiamos taršos normatyvą, arba kai e</w:t>
                  </w:r>
                  <w:r>
                    <w:rPr>
                      <w:szCs w:val="24"/>
                      <w:lang w:eastAsia="zh-CN"/>
                    </w:rPr>
                    <w:t xml:space="preserve">ksploatuotas privalomas įregistruoti organinius tirpiklius naudojantis įrenginys, iš mokesčio </w:t>
                  </w:r>
                  <w:r>
                    <w:rPr>
                      <w:color w:val="000000"/>
                      <w:szCs w:val="24"/>
                      <w:lang w:eastAsia="zh-CN"/>
                    </w:rPr>
                    <w:t>už faktinį išmestą į aplinkos orą teršalo kiekį ir apskaičiuojamas pagal formulę:</w:t>
                  </w:r>
                </w:p>
                <w:p>
                  <w:pPr>
                    <w:suppressAutoHyphens/>
                    <w:ind w:firstLine="567"/>
                    <w:jc w:val="both"/>
                    <w:textAlignment w:val="center"/>
                    <w:rPr>
                      <w:color w:val="000000"/>
                      <w:szCs w:val="24"/>
                      <w:lang w:eastAsia="zh-CN"/>
                    </w:rPr>
                  </w:pPr>
                </w:p>
                <w:p>
                  <w:pPr>
                    <w:suppressAutoHyphens/>
                    <w:ind w:firstLine="567"/>
                    <w:jc w:val="both"/>
                    <w:textAlignment w:val="center"/>
                    <w:rPr>
                      <w:color w:val="000000"/>
                      <w:szCs w:val="24"/>
                      <w:vertAlign w:val="subscript"/>
                      <w:lang w:eastAsia="zh-CN"/>
                    </w:rPr>
                  </w:pPr>
                  <w:r>
                    <w:rPr>
                      <w:color w:val="000000"/>
                      <w:szCs w:val="24"/>
                      <w:lang w:eastAsia="zh-CN"/>
                    </w:rPr>
                    <w:t>M = M</w:t>
                  </w:r>
                  <w:r>
                    <w:rPr>
                      <w:color w:val="000000"/>
                      <w:szCs w:val="24"/>
                      <w:vertAlign w:val="subscript"/>
                      <w:lang w:eastAsia="zh-CN"/>
                    </w:rPr>
                    <w:t>n</w:t>
                  </w:r>
                  <w:r>
                    <w:rPr>
                      <w:color w:val="000000"/>
                      <w:szCs w:val="24"/>
                      <w:lang w:eastAsia="zh-CN"/>
                    </w:rPr>
                    <w:t xml:space="preserve"> + M</w:t>
                  </w:r>
                  <w:r>
                    <w:rPr>
                      <w:color w:val="000000"/>
                      <w:szCs w:val="24"/>
                      <w:vertAlign w:val="subscript"/>
                      <w:lang w:eastAsia="zh-CN"/>
                    </w:rPr>
                    <w:t>p</w:t>
                  </w:r>
                </w:p>
                <w:p>
                  <w:pPr>
                    <w:suppressAutoHyphens/>
                    <w:ind w:firstLine="567"/>
                    <w:jc w:val="both"/>
                    <w:textAlignment w:val="center"/>
                    <w:rPr>
                      <w:color w:val="000000"/>
                      <w:szCs w:val="24"/>
                      <w:vertAlign w:val="subscript"/>
                      <w:lang w:eastAsia="zh-CN"/>
                    </w:rPr>
                  </w:pPr>
                </w:p>
                <w:p>
                  <w:pPr>
                    <w:suppressAutoHyphens/>
                    <w:ind w:firstLine="567"/>
                    <w:jc w:val="both"/>
                    <w:textAlignment w:val="center"/>
                    <w:rPr>
                      <w:color w:val="000000"/>
                      <w:szCs w:val="24"/>
                      <w:lang w:eastAsia="zh-CN"/>
                    </w:rPr>
                  </w:pPr>
                  <w:r>
                    <w:rPr>
                      <w:color w:val="000000"/>
                      <w:szCs w:val="24"/>
                      <w:lang w:eastAsia="zh-CN"/>
                    </w:rPr>
                    <w:t>kur:</w:t>
                  </w:r>
                </w:p>
                <w:p>
                  <w:pPr>
                    <w:suppressAutoHyphens/>
                    <w:ind w:firstLine="567"/>
                    <w:jc w:val="both"/>
                    <w:textAlignment w:val="center"/>
                    <w:rPr>
                      <w:color w:val="000000"/>
                      <w:szCs w:val="24"/>
                      <w:lang w:eastAsia="zh-CN"/>
                    </w:rPr>
                  </w:pPr>
                  <w:r>
                    <w:rPr>
                      <w:color w:val="000000"/>
                      <w:szCs w:val="24"/>
                      <w:lang w:eastAsia="zh-CN"/>
                    </w:rPr>
                    <w:t>M – mokestis už išmestą ar išleistą į aplinką teršalo kiekį per mokestinį laikotarpį (Eur);</w:t>
                  </w:r>
                </w:p>
                <w:p>
                  <w:pPr>
                    <w:tabs>
                      <w:tab w:val="left" w:pos="6140"/>
                    </w:tabs>
                    <w:suppressAutoHyphens/>
                    <w:ind w:firstLine="567"/>
                    <w:jc w:val="both"/>
                    <w:textAlignment w:val="center"/>
                    <w:rPr>
                      <w:color w:val="000000"/>
                      <w:szCs w:val="24"/>
                      <w:lang w:eastAsia="zh-CN"/>
                    </w:rPr>
                  </w:pPr>
                  <w:r>
                    <w:rPr>
                      <w:color w:val="000000"/>
                      <w:szCs w:val="24"/>
                      <w:lang w:eastAsia="zh-CN"/>
                    </w:rPr>
                    <w:t>M</w:t>
                  </w:r>
                  <w:r>
                    <w:rPr>
                      <w:color w:val="000000"/>
                      <w:szCs w:val="24"/>
                      <w:vertAlign w:val="subscript"/>
                      <w:lang w:eastAsia="zh-CN"/>
                    </w:rPr>
                    <w:t>n</w:t>
                  </w:r>
                  <w:r>
                    <w:rPr>
                      <w:color w:val="000000"/>
                      <w:szCs w:val="24"/>
                      <w:lang w:eastAsia="zh-CN"/>
                    </w:rPr>
                    <w:t xml:space="preserve"> – mokestis už išmestą ar išleistą į aplinką teršalo kiekį per mokestinį laikotarpį, neviršijusį TIPK leidime ar taršos leidime teršalui nustatyto leidžiamos taršos normatyvo, arba kai e</w:t>
                  </w:r>
                  <w:r>
                    <w:rPr>
                      <w:szCs w:val="24"/>
                      <w:lang w:eastAsia="zh-CN"/>
                    </w:rPr>
                    <w:t xml:space="preserve">ksploatuotas privalomas įregistruoti organinius tirpiklius naudojantis įrenginys, mokestis už </w:t>
                  </w:r>
                  <w:r>
                    <w:rPr>
                      <w:color w:val="000000"/>
                      <w:szCs w:val="24"/>
                      <w:lang w:eastAsia="zh-CN"/>
                    </w:rPr>
                    <w:t>faktinį teršalo kiekį per mokestinį laikotarpį išmestą į aplinkos orą, apskaičiuotas pagal Tvarkos aprašo 4 punktą (Eur);</w:t>
                  </w:r>
                </w:p>
                <w:p>
                  <w:pPr>
                    <w:tabs>
                      <w:tab w:val="left" w:pos="6140"/>
                    </w:tabs>
                    <w:suppressAutoHyphens/>
                    <w:ind w:firstLine="567"/>
                    <w:jc w:val="both"/>
                    <w:textAlignment w:val="center"/>
                    <w:rPr>
                      <w:color w:val="000000"/>
                      <w:szCs w:val="24"/>
                      <w:lang w:eastAsia="zh-CN"/>
                    </w:rPr>
                  </w:pPr>
                  <w:r>
                    <w:rPr>
                      <w:color w:val="000000"/>
                      <w:szCs w:val="24"/>
                      <w:lang w:eastAsia="zh-CN"/>
                    </w:rPr>
                    <w:t>M</w:t>
                  </w:r>
                  <w:r>
                    <w:rPr>
                      <w:color w:val="000000"/>
                      <w:szCs w:val="24"/>
                      <w:vertAlign w:val="subscript"/>
                      <w:lang w:eastAsia="zh-CN"/>
                    </w:rPr>
                    <w:t>p</w:t>
                  </w:r>
                  <w:r>
                    <w:rPr>
                      <w:color w:val="000000"/>
                      <w:szCs w:val="24"/>
                      <w:lang w:eastAsia="zh-CN"/>
                    </w:rPr>
                    <w:t xml:space="preserve"> – mokestis už išleistą ar išmestą į aplinką teršalo kiekį per mokestinį laikotarpį, viršijusį TIPK leidime ar taršos leidime teršalui nustatytą leidžiamos taršos normatyvą, apskaičiuotas pagal Tvarkos aprašo 5 punktą (Eur).</w:t>
                  </w:r>
                </w:p>
                <w:p>
                  <w:pPr>
                    <w:ind w:firstLine="567"/>
                    <w:jc w:val="both"/>
                    <w:rPr>
                      <w:color w:val="000000"/>
                    </w:rPr>
                  </w:pPr>
                  <w:r>
                    <w:rPr>
                      <w:szCs w:val="24"/>
                      <w:lang w:eastAsia="lt-LT"/>
                    </w:rPr>
                    <w:t xml:space="preserve">Kai neviršijami TIPK leidime ar taršos leidime teršalams nustatyti leidžiamos taršos normatyvai ar eksploatuotas privalomas įregistruoti </w:t>
                  </w:r>
                  <w:r>
                    <w:rPr>
                      <w:szCs w:val="24"/>
                      <w:lang w:eastAsia="zh-CN"/>
                    </w:rPr>
                    <w:t>organinius tirpiklius naudojantis įrenginys,</w:t>
                  </w:r>
                  <w:r>
                    <w:rPr>
                      <w:b/>
                      <w:bCs/>
                      <w:szCs w:val="24"/>
                      <w:lang w:eastAsia="zh-CN"/>
                    </w:rPr>
                    <w:t xml:space="preserve"> </w:t>
                  </w:r>
                  <w:r>
                    <w:rPr>
                      <w:szCs w:val="24"/>
                      <w:lang w:eastAsia="lt-LT"/>
                    </w:rPr>
                    <w:t>M</w:t>
                  </w:r>
                  <w:r>
                    <w:rPr>
                      <w:szCs w:val="24"/>
                      <w:vertAlign w:val="subscript"/>
                      <w:lang w:eastAsia="lt-LT"/>
                    </w:rPr>
                    <w:t>p</w:t>
                  </w:r>
                  <w:r>
                    <w:rPr>
                      <w:szCs w:val="24"/>
                      <w:lang w:eastAsia="lt-LT"/>
                    </w:rPr>
                    <w:t> = 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sdtContent>
            </w:sdt>
            <w:sdt>
              <w:sdtPr>
                <w:alias w:val="4 p."/>
                <w:tag w:val="part_042b37d32c0e4cb593db7a7250944cbd"/>
                <w:lock w:val="sdtLocked"/>
                <w:richText/>
              </w:sdtPr>
              <w:sdtContent>
                <w:p>
                  <w:pPr>
                    <w:suppressAutoHyphens/>
                    <w:ind w:firstLine="709"/>
                    <w:jc w:val="both"/>
                    <w:rPr>
                      <w:lang w:eastAsia="lt-LT"/>
                    </w:rPr>
                  </w:pPr>
                  <w:sdt>
                    <w:sdtPr>
                      <w:alias w:val="Numeris"/>
                      <w:tag w:val="nr_042b37d32c0e4cb593db7a7250944cbd"/>
                      <w:lock w:val="sdtLocked"/>
                      <w:richText/>
                    </w:sdtPr>
                    <w:sdtContent>
                      <w:r>
                        <w:rPr>
                          <w:lang w:eastAsia="lt-LT"/>
                        </w:rPr>
                        <w:t>4</w:t>
                      </w:r>
                    </w:sdtContent>
                  </w:sdt>
                  <w:r>
                    <w:rPr>
                      <w:lang w:eastAsia="lt-LT"/>
                    </w:rPr>
                    <w:t>. Mokestis už TIPK leidime ar taršos leidime nustatytą leidžiamą išmesti ar išleisti į aplinką teršalo kiekį per mokestinį laikotarpį apskaičiuojamas pasirinktinai pagal formulę:</w:t>
                  </w:r>
                </w:p>
                <w:p>
                  <w:pPr>
                    <w:suppressAutoHyphens/>
                    <w:ind w:firstLine="709"/>
                    <w:jc w:val="both"/>
                    <w:rPr>
                      <w:lang w:eastAsia="lt-LT"/>
                    </w:rPr>
                  </w:pPr>
                </w:p>
                <w:p>
                  <w:pPr>
                    <w:suppressAutoHyphens/>
                    <w:ind w:firstLine="709"/>
                    <w:jc w:val="both"/>
                    <w:rPr>
                      <w:lang w:eastAsia="lt-LT"/>
                    </w:rPr>
                  </w:pPr>
                  <w:r>
                    <w:rPr>
                      <w:lang w:eastAsia="lt-LT"/>
                    </w:rPr>
                    <w:t>M</w:t>
                  </w:r>
                  <w:r>
                    <w:rPr>
                      <w:vertAlign w:val="subscript"/>
                      <w:lang w:eastAsia="lt-LT"/>
                    </w:rPr>
                    <w:t>n</w:t>
                  </w:r>
                  <w:r>
                    <w:rPr>
                      <w:lang w:eastAsia="lt-LT"/>
                    </w:rPr>
                    <w:t> = Q × T × I × [k], kai Q ≤ N; </w:t>
                  </w:r>
                </w:p>
                <w:p>
                  <w:pPr>
                    <w:suppressAutoHyphens/>
                    <w:ind w:firstLine="709"/>
                    <w:jc w:val="both"/>
                    <w:rPr>
                      <w:lang w:eastAsia="lt-LT"/>
                    </w:rPr>
                  </w:pPr>
                  <w:r>
                    <w:rPr>
                      <w:lang w:eastAsia="lt-LT"/>
                    </w:rPr>
                    <w:t>M</w:t>
                  </w:r>
                  <w:r>
                    <w:rPr>
                      <w:vertAlign w:val="subscript"/>
                      <w:lang w:eastAsia="lt-LT"/>
                    </w:rPr>
                    <w:t>n</w:t>
                  </w:r>
                  <w:r>
                    <w:rPr>
                      <w:lang w:eastAsia="lt-LT"/>
                    </w:rPr>
                    <w:t> = (Q– ∑ Q</w:t>
                  </w:r>
                  <w:r>
                    <w:rPr>
                      <w:vertAlign w:val="subscript"/>
                      <w:lang w:eastAsia="lt-LT"/>
                    </w:rPr>
                    <w:t>nt</w:t>
                  </w:r>
                  <w:r>
                    <w:rPr>
                      <w:lang w:eastAsia="lt-LT"/>
                    </w:rPr>
                    <w:t>) × T × I × [k], kai Q</w:t>
                  </w:r>
                  <w:r>
                    <w:rPr>
                      <w:vertAlign w:val="subscript"/>
                      <w:lang w:eastAsia="lt-LT"/>
                    </w:rPr>
                    <w:t>t</w:t>
                  </w:r>
                  <w:r>
                    <w:rPr>
                      <w:lang w:eastAsia="lt-LT"/>
                    </w:rPr>
                    <w:t> &gt; N</w:t>
                  </w:r>
                  <w:r>
                    <w:rPr>
                      <w:vertAlign w:val="subscript"/>
                      <w:lang w:eastAsia="lt-LT"/>
                    </w:rPr>
                    <w:t>t</w:t>
                  </w:r>
                  <w:r>
                    <w:rPr>
                      <w:lang w:eastAsia="lt-LT"/>
                    </w:rPr>
                    <w:t>, o Q ≤ N;</w:t>
                  </w:r>
                </w:p>
                <w:p>
                  <w:pPr>
                    <w:suppressAutoHyphens/>
                    <w:ind w:firstLine="709"/>
                    <w:jc w:val="both"/>
                    <w:rPr>
                      <w:lang w:eastAsia="lt-LT"/>
                    </w:rPr>
                  </w:pPr>
                  <w:r>
                    <w:rPr>
                      <w:lang w:eastAsia="lt-LT"/>
                    </w:rPr>
                    <w:t>M</w:t>
                  </w:r>
                  <w:r>
                    <w:rPr>
                      <w:vertAlign w:val="subscript"/>
                      <w:lang w:eastAsia="lt-LT"/>
                    </w:rPr>
                    <w:t>n</w:t>
                  </w:r>
                  <w:r>
                    <w:rPr>
                      <w:lang w:eastAsia="lt-LT"/>
                    </w:rPr>
                    <w:t> = (N– ( ∑ Q</w:t>
                  </w:r>
                  <w:r>
                    <w:rPr>
                      <w:vertAlign w:val="subscript"/>
                      <w:lang w:eastAsia="lt-LT"/>
                    </w:rPr>
                    <w:t>nt</w:t>
                  </w:r>
                  <w:r>
                    <w:rPr>
                      <w:lang w:eastAsia="lt-LT"/>
                    </w:rPr>
                    <w:t>– Q</w:t>
                  </w:r>
                  <w:r>
                    <w:rPr>
                      <w:vertAlign w:val="subscript"/>
                      <w:lang w:eastAsia="lt-LT"/>
                    </w:rPr>
                    <w:t>np</w:t>
                  </w:r>
                  <w:r>
                    <w:rPr>
                      <w:lang w:eastAsia="lt-LT"/>
                    </w:rPr>
                    <w:t>)) × T × I × [k], kai Q &gt; N, o ∑ Q</w:t>
                  </w:r>
                  <w:r>
                    <w:rPr>
                      <w:vertAlign w:val="subscript"/>
                      <w:lang w:eastAsia="lt-LT"/>
                    </w:rPr>
                    <w:t>nt</w:t>
                  </w:r>
                  <w:r>
                    <w:rPr>
                      <w:lang w:eastAsia="lt-LT"/>
                    </w:rPr>
                    <w:t> &gt; Q</w:t>
                  </w:r>
                  <w:r>
                    <w:rPr>
                      <w:vertAlign w:val="subscript"/>
                      <w:lang w:eastAsia="lt-LT"/>
                    </w:rPr>
                    <w:t>np</w:t>
                  </w:r>
                  <w:r>
                    <w:rPr>
                      <w:lang w:eastAsia="lt-LT"/>
                    </w:rPr>
                    <w:t>;</w:t>
                  </w:r>
                </w:p>
                <w:p>
                  <w:pPr>
                    <w:suppressAutoHyphens/>
                    <w:ind w:firstLine="709"/>
                    <w:jc w:val="both"/>
                    <w:rPr>
                      <w:lang w:eastAsia="lt-LT"/>
                    </w:rPr>
                  </w:pPr>
                  <w:r>
                    <w:rPr>
                      <w:lang w:eastAsia="lt-LT"/>
                    </w:rPr>
                    <w:t>M</w:t>
                  </w:r>
                  <w:r>
                    <w:rPr>
                      <w:vertAlign w:val="subscript"/>
                      <w:lang w:eastAsia="lt-LT"/>
                    </w:rPr>
                    <w:t>n</w:t>
                  </w:r>
                  <w:r>
                    <w:rPr>
                      <w:lang w:eastAsia="lt-LT"/>
                    </w:rPr>
                    <w:t> = N × T × I × [k], kai Q &gt; N, o ∑Q</w:t>
                  </w:r>
                  <w:r>
                    <w:rPr>
                      <w:vertAlign w:val="subscript"/>
                      <w:lang w:eastAsia="lt-LT"/>
                    </w:rPr>
                    <w:t>nt</w:t>
                  </w:r>
                  <w:r>
                    <w:rPr>
                      <w:lang w:eastAsia="lt-LT"/>
                    </w:rPr>
                    <w:t> ≤ Q</w:t>
                  </w:r>
                  <w:r>
                    <w:rPr>
                      <w:vertAlign w:val="subscript"/>
                      <w:lang w:eastAsia="lt-LT"/>
                    </w:rPr>
                    <w:t>np</w:t>
                  </w:r>
                </w:p>
                <w:p>
                  <w:pPr>
                    <w:suppressAutoHyphens/>
                    <w:ind w:firstLine="709"/>
                    <w:jc w:val="both"/>
                    <w:rPr>
                      <w:lang w:eastAsia="lt-LT"/>
                    </w:rPr>
                  </w:pPr>
                </w:p>
                <w:p>
                  <w:pPr>
                    <w:suppressAutoHyphens/>
                    <w:ind w:firstLine="709"/>
                    <w:jc w:val="both"/>
                    <w:rPr>
                      <w:lang w:eastAsia="lt-LT"/>
                    </w:rPr>
                  </w:pPr>
                  <w:r>
                    <w:rPr>
                      <w:lang w:eastAsia="lt-LT"/>
                    </w:rPr>
                    <w:t>arba, kai eksploatuotas privalomas įregistruoti organinius tirpiklius naudojantis įrenginys, mokestis už faktinį teršalo kiekį per mokestinį laikotarpį išmestą į aplinkos orą apskaičiuojamas pagal formulę:</w:t>
                  </w:r>
                </w:p>
                <w:p>
                  <w:pPr>
                    <w:suppressAutoHyphens/>
                    <w:ind w:firstLine="709"/>
                    <w:jc w:val="both"/>
                    <w:rPr>
                      <w:lang w:eastAsia="lt-LT"/>
                    </w:rPr>
                  </w:pPr>
                </w:p>
                <w:p>
                  <w:pPr>
                    <w:suppressAutoHyphens/>
                    <w:ind w:firstLine="709"/>
                    <w:jc w:val="both"/>
                    <w:rPr>
                      <w:lang w:eastAsia="lt-LT"/>
                    </w:rPr>
                  </w:pPr>
                  <w:r>
                    <w:rPr>
                      <w:lang w:eastAsia="lt-LT"/>
                    </w:rPr>
                    <w:t>M</w:t>
                  </w:r>
                  <w:r>
                    <w:rPr>
                      <w:vertAlign w:val="subscript"/>
                      <w:lang w:eastAsia="lt-LT"/>
                    </w:rPr>
                    <w:t>n</w:t>
                  </w:r>
                  <w:r>
                    <w:rPr>
                      <w:lang w:eastAsia="lt-LT"/>
                    </w:rPr>
                    <w:t> = Q × T × I</w:t>
                  </w:r>
                </w:p>
                <w:p>
                  <w:pPr>
                    <w:suppressAutoHyphens/>
                    <w:ind w:firstLine="709"/>
                    <w:jc w:val="both"/>
                    <w:rPr>
                      <w:lang w:eastAsia="lt-LT"/>
                    </w:rPr>
                  </w:pPr>
                </w:p>
                <w:p>
                  <w:pPr>
                    <w:suppressAutoHyphens/>
                    <w:ind w:firstLine="709"/>
                    <w:jc w:val="both"/>
                    <w:rPr>
                      <w:lang w:eastAsia="lt-LT"/>
                    </w:rPr>
                  </w:pPr>
                  <w:r>
                    <w:rPr>
                      <w:lang w:eastAsia="lt-LT"/>
                    </w:rPr>
                    <w:t>kur:</w:t>
                  </w:r>
                </w:p>
                <w:p>
                  <w:pPr>
                    <w:suppressAutoHyphens/>
                    <w:ind w:firstLine="709"/>
                    <w:jc w:val="both"/>
                    <w:rPr>
                      <w:lang w:eastAsia="lt-LT"/>
                    </w:rPr>
                  </w:pPr>
                  <w:r>
                    <w:rPr>
                      <w:lang w:eastAsia="lt-LT"/>
                    </w:rPr>
                    <w:t>Q – faktinis per mokestinį laikotarpį išmestas ar išleistas į aplinką atitinkamo teršalo kiekis (t). Į aplinkos orą išmestas teršalo kiekis nustatomas instrumentinių matavimų būdu arba vadovaujantis Teršalų išmetimo į aplinkos orą apskaitos ir ataskaitų teikimo tvarkos aprašu, patvirtintu Lietuvos Respublikos aplinkos ministro 1999 m. gruodžio 20 d. įsakymu 408 „Dėl Teršalų išmetimo į aplinkos orą apskaitos ir ataskaitų teikimo tvarkos aprašo patvirtinimo“. Į vandens telkinius, žemės paviršių ir jo gelmes išleistas teršalo kiekis nustatomas instrumentinių matavimų būdu, vadovaujantis Vandens naudojimo ir nuotekų tvarkymo apskaitos tvarkos aprašo, patvirtinto Lietuvos Respublikos aplinkos ministro 2012 m. gruodžio 28 d. įsakymu Nr. D1-1120 „Dėl Vandens naudojimo ir nuotekų tvarkymo apskaitos tvarkos aprašo patvirtinimo“, nustatyta tvarka.</w:t>
                  </w:r>
                </w:p>
                <w:p>
                  <w:pPr>
                    <w:suppressAutoHyphens/>
                    <w:ind w:firstLine="709"/>
                    <w:jc w:val="both"/>
                    <w:rPr>
                      <w:lang w:eastAsia="lt-LT"/>
                    </w:rPr>
                  </w:pPr>
                  <w:r>
                    <w:rPr>
                      <w:lang w:eastAsia="lt-LT"/>
                    </w:rPr>
                    <w:t>Apskaičiuojant į aplinką išmetamų arba išleidžiamų teršalų faktinį kiekį pagal instrumentinio matavimo duomenis, vertinami visi ūkio subjekto aplinkos monitoringą vykdžiusių laboratorijų, atitinkančių Lietuvos Respublikos aplinkos monitoringo įstatymo 11 straipsnio 2 dalyje nustatytus reikalavimus, per mokestinį laikotarpį atliktų tyrimų rezultatai ir valstybinių laboratorinių tyrimų rezultatai, skaičiuojant pagal faktinius matavimo rezultatus nuo matavimo iki matavimo. Jei pirmasis matavimas mokestiniais metais atliktas ne sausio 1 d., išmesto (išleisto) teršalo į aplinką kiekiui nustatyti naudojamas prieš tai buvusio mokestinio laikotarpio paskutinis matavimo rezultatas. Kai faktinis į aplinkos orą išmestas teršalo kiekis nustatomas ne instrumentinio matavimo būdu, o pagal Į atmosferą išmetamo teršalų kiekio apskaičiavimo metodikų sąraše, patvirtintame Lietuvos Respublikos aplinkos ministro 1999 m. gruodžio 13 d. įsakymu Nr. 395 „Dėl Į atmosferą išmetamo teršalų kiekio apskaičiavimo metodikų sąrašo patvirtinimo ir apmokestinamų teršalų kiekio nustatymo asmenims, kurie netvarko privalomosios teršalų išmetimo į aplinką apskaitos“, nurodytas metodikas, faktinis teršalo kiekis nustatomas pagal tą pačią metodiką, pagal kurią nustatytas išmetamų teršalų kiekis TIPK leidime ar taršos leidime arba kurios buvo naudojamos įregistruojant organinius tirpiklius naudojantį įrenginį (t).</w:t>
                  </w:r>
                </w:p>
                <w:p>
                  <w:pPr>
                    <w:suppressAutoHyphens/>
                    <w:ind w:firstLine="709"/>
                    <w:jc w:val="both"/>
                    <w:rPr>
                      <w:lang w:eastAsia="lt-LT"/>
                    </w:rPr>
                  </w:pPr>
                  <w:r>
                    <w:rPr>
                      <w:lang w:eastAsia="lt-LT"/>
                    </w:rPr>
                    <w:t>T – teršalo tarifas, nustatytas Mokesčio už aplinkos teršimą įstatymo 1 priede;</w:t>
                  </w:r>
                </w:p>
                <w:p>
                  <w:pPr>
                    <w:suppressAutoHyphens/>
                    <w:ind w:firstLine="709"/>
                    <w:jc w:val="both"/>
                    <w:rPr>
                      <w:lang w:eastAsia="lt-LT"/>
                    </w:rPr>
                  </w:pPr>
                  <w:r>
                    <w:rPr>
                      <w:lang w:eastAsia="lt-LT"/>
                    </w:rPr>
                    <w:t>I – mokestinio laikotarpio indeksavimo koeficientas;</w:t>
                  </w:r>
                </w:p>
                <w:p>
                  <w:pPr>
                    <w:suppressAutoHyphens/>
                    <w:ind w:firstLine="709"/>
                    <w:jc w:val="both"/>
                    <w:rPr>
                      <w:lang w:eastAsia="lt-LT"/>
                    </w:rPr>
                  </w:pPr>
                  <w:r>
                    <w:rPr>
                      <w:lang w:eastAsia="lt-LT"/>
                    </w:rPr>
                    <w:t>[k] – koeficientas (lygus 1,2), kuris, vadovaujantis Mokesčio už aplinkos teršimą įstatymo 7 straipsnio 3 dalimi, taikomas apskaičiuojant mokestį už aplinkos teršimą iš stacionariųjų taršos šaltinių už teršalus, kuriems TIPK leidime ar taršos leidime nustatytas laikinai leidžiamos taršos normatyvas;</w:t>
                  </w:r>
                </w:p>
                <w:p>
                  <w:pPr>
                    <w:suppressAutoHyphens/>
                    <w:ind w:firstLine="709"/>
                    <w:jc w:val="both"/>
                    <w:rPr>
                      <w:lang w:eastAsia="lt-LT"/>
                    </w:rPr>
                  </w:pPr>
                  <w:r>
                    <w:rPr>
                      <w:lang w:eastAsia="lt-LT"/>
                    </w:rPr>
                    <w:t>Q</w:t>
                  </w:r>
                  <w:r>
                    <w:rPr>
                      <w:vertAlign w:val="subscript"/>
                      <w:lang w:eastAsia="lt-LT"/>
                    </w:rPr>
                    <w:t>np</w:t>
                  </w:r>
                  <w:r>
                    <w:rPr>
                      <w:lang w:eastAsia="lt-LT"/>
                    </w:rPr>
                    <w:t> – normatyvą viršijantis teršalo kiekis, viršijus TIPK leidime ar taršos leidime nustatytą per mokestinį laikotarpį leidžiamą išmesti ar išleisti į aplinką teršalo kiekį, kuris lygus faktinio ir normatyvinio teršalo kiekio skirtumui (Q – N) (t);</w:t>
                  </w:r>
                </w:p>
                <w:p>
                  <w:pPr>
                    <w:suppressAutoHyphens/>
                    <w:ind w:firstLine="709"/>
                    <w:jc w:val="both"/>
                    <w:rPr>
                      <w:lang w:eastAsia="lt-LT"/>
                    </w:rPr>
                  </w:pPr>
                  <w:r>
                    <w:rPr>
                      <w:lang w:eastAsia="lt-LT"/>
                    </w:rPr>
                    <w:t>Q</w:t>
                  </w:r>
                  <w:r>
                    <w:rPr>
                      <w:vertAlign w:val="subscript"/>
                      <w:lang w:eastAsia="lt-LT"/>
                    </w:rPr>
                    <w:t>nt</w:t>
                  </w:r>
                  <w:r>
                    <w:rPr>
                      <w:lang w:eastAsia="lt-LT"/>
                    </w:rPr>
                    <w:t> – tam tikrą laiką mokestiniu laikotarpiu normatyvą viršijantis teršalo kiekis, viršijus TIPK leidime ar taršos leidime nustatytą didžiausią leidžiamą momentinę ar paros vidutinę teršalo koncentraciją ir (ar) vienkartinį leidžiamos taršos normatyvą per visą mokestinio laikotarpio normatyvo viršijimo laiką. Teršalo kiekis, išleistas į vandens telkinius ir žemės paviršių ir jos gelmes, apskaičiuojamas taip: nuotekų kiekį, išleistą į vandens telkinius ir (ar) žemės paviršių ir jos gelmes, per visą mokestinio laikotarpio normatyvo viršijimo laikotarpį padauginus iš nustatytos faktinės teršalo koncentracijos ir iš gauto kiekio atėmus leidžiamą per viršijimo laikotarpį išmesti į vandens telkinius arba žemės paviršių ir jos gelmes teršalo kiekį. Teršalo kiekis, išmestas į aplinkos orą, apskaičiuojamas taip: per visą mokestinio laikotarpio normatyvo viršijimo laikotarpį išmestą į aplinkos orą dujų kiekį (Nm</w:t>
                  </w:r>
                  <w:r>
                    <w:rPr>
                      <w:vertAlign w:val="superscript"/>
                      <w:lang w:eastAsia="lt-LT"/>
                    </w:rPr>
                    <w:t>3</w:t>
                  </w:r>
                  <w:r>
                    <w:rPr>
                      <w:lang w:eastAsia="lt-LT"/>
                    </w:rPr>
                    <w:t>) padauginus iš nustatytos per viršijimo laikotarpį faktinės teršalo koncentracijos (mg/Nm</w:t>
                  </w:r>
                  <w:r>
                    <w:rPr>
                      <w:vertAlign w:val="superscript"/>
                      <w:lang w:eastAsia="lt-LT"/>
                    </w:rPr>
                    <w:t>3</w:t>
                  </w:r>
                  <w:r>
                    <w:rPr>
                      <w:lang w:eastAsia="lt-LT"/>
                    </w:rPr>
                    <w:t>), perskaičiuotos esant normalioms sąlygoms – 101,3 kPa slėgiui ir 0 °C temperatūrai, (mg/Nm</w:t>
                  </w:r>
                  <w:r>
                    <w:rPr>
                      <w:vertAlign w:val="superscript"/>
                      <w:lang w:eastAsia="lt-LT"/>
                    </w:rPr>
                    <w:t>3</w:t>
                  </w:r>
                  <w:r>
                    <w:rPr>
                      <w:lang w:eastAsia="lt-LT"/>
                    </w:rPr>
                    <w:t>) (kai kartu su išmatuota teršalo koncentracija nepateikiamas išmatuotas dujų kiekis (Nm</w:t>
                  </w:r>
                  <w:r>
                    <w:rPr>
                      <w:vertAlign w:val="superscript"/>
                      <w:lang w:eastAsia="lt-LT"/>
                    </w:rPr>
                    <w:t>3</w:t>
                  </w:r>
                  <w:r>
                    <w:rPr>
                      <w:lang w:eastAsia="lt-LT"/>
                    </w:rPr>
                    <w:t>), skaičiavimui naudojamas dujų kiekis (Nm</w:t>
                  </w:r>
                  <w:r>
                    <w:rPr>
                      <w:vertAlign w:val="superscript"/>
                      <w:lang w:eastAsia="lt-LT"/>
                    </w:rPr>
                    <w:t>3</w:t>
                  </w:r>
                  <w:r>
                    <w:rPr>
                      <w:lang w:eastAsia="lt-LT"/>
                    </w:rPr>
                    <w:t>) iš Aplinkos oro taršos šaltinių ir iš jų išmetamų teršalų inventorizacijos ataskaitos, parengtos vadovaujantis Aplinkos oro taršos šaltinių ir iš jų išmetamų teršalų inventorizacijos ir ataskaitų teikimo taisyklėmis, patvirtintomis Lietuvos Respublikos aplinkos ministro 2002 m. birželio 27 d. įsakymu Nr. 340 „Dėl Aplinkos oro taršos šaltinių ir iš jų išmetamų teršalų inventorizacijos ir ataskaitų teikimo taisyklių patvirtinimo“, arba faktinį per viršijimo laikotarpį išmestą teršalo kiekį per laiko vienetą (g/s) padauginus iš laiko (s), per kurį viršytas teršalo normatyvas, ir iš gauto kiekio atėmus per viršijimo laikotarpį leidžiamą išmesti į aplinkos orą teršalo kiekį (t);</w:t>
                  </w:r>
                </w:p>
                <w:p>
                  <w:pPr>
                    <w:suppressAutoHyphens/>
                    <w:ind w:firstLine="709"/>
                    <w:jc w:val="both"/>
                    <w:rPr>
                      <w:lang w:eastAsia="lt-LT"/>
                    </w:rPr>
                  </w:pPr>
                  <w:r>
                    <w:rPr>
                      <w:lang w:eastAsia="lt-LT"/>
                    </w:rPr>
                    <w:t>N – leidžiamas išmesti arba išleisti į aplinką per mokestinį laikotarpį normatyvinis teršalo kiekis, nustatytas TIPK leidime ar taršos leidime. Jeigu TIPK leidime ar taršos leidime nustatyti metiniai teršalų išmetimo arba išleidimo į aplinką normatyvai mokestiniu laikotarpiu tikslinti, apskaičiuojant mokestį už išmestą į aplinką per mokestinį laikotarpį teršalų kiekį vadovaujamasi perskaičiuotu (keičiant arba tikslinant TIPK leidimą ar taršos leidimą) leidžiamo išmesti arba išleisti į aplinką per mokestinį laikotarpį teršalo normatyvu. Šio mokestinio laikotarpio metinis teršalo normatyvas nustatomas sumuojant leidžiamą išmesti į aplinką teršalo kiekį, kuris išskaičiuojamas atskiriems normatyvo galiojimo (taikymo) laikotarpiams, jei per mokestinį laikotarpį teršalui taikyti keli skirtingi metiniai leidžiamos taršos normatyvai. Metinis teršalo normatyvas apskaičiuojamas taip: TIPK leidime ar taršos leidime nustatytą vidutinį per parą leidžiamą išmesti į aplinką teršalo normatyvą (kiekį) padauginus iš dienų, kada taikytas šis normatyvas, skaičiaus. Kai TIPK leidime ar taršos leidime nenustatytas vidutinis per parą leidžiamas išmesti į aplinką teršalo normatyvas, metinis leidžiamas išmesti į aplinką teršalo normatyvas apskaičiuojamas taip: metinį leidžiamą išmesti į aplinką teršalo normatyvą (kiekį) dalijant iš metinio kalendorinių dienų skaičiaus ir gautą teršalo kiekį dauginant iš dienų skaičiaus, per kurį šis normatyvas taikytas (t);</w:t>
                  </w:r>
                </w:p>
                <w:p>
                  <w:pPr>
                    <w:suppressAutoHyphens/>
                    <w:ind w:firstLine="709"/>
                    <w:jc w:val="both"/>
                    <w:rPr>
                      <w:lang w:eastAsia="lt-LT"/>
                    </w:rPr>
                  </w:pPr>
                  <w:r>
                    <w:rPr>
                      <w:lang w:eastAsia="lt-LT"/>
                    </w:rPr>
                    <w:t>N</w:t>
                  </w:r>
                  <w:r>
                    <w:rPr>
                      <w:vertAlign w:val="subscript"/>
                      <w:lang w:eastAsia="lt-LT"/>
                    </w:rPr>
                    <w:t>t</w:t>
                  </w:r>
                  <w:r>
                    <w:rPr>
                      <w:lang w:eastAsia="lt-LT"/>
                    </w:rPr>
                    <w:t> – didžiausias leidžiamas išmesti arba išleisti į aplinką momentinis ir (ar) paros vidutinis ir (ar) vienkartinis leidžiamos taršos normatyvinis teršalo kiekis. Leidžiamas išmesti arba išleisti į vandens telkinius ar žemės paviršių ir jos gelmes normatyvinis teršalo kiekis apskaičiuojamas taip: leidžiamą per parą išmesti arba išleisti į aplinką teršalo kiekį padauginus iš skaičiaus parų, per kurias viršytas teršalo normatyvas. Leidžiamas išmesti į aplinkos orą teršalo kiekis apskaičiuojamas taip: vienkartinį leidžiamos taršos normatyvinį teršalo kiekį, nustatytą g/s, padauginus iš laiko (s), per kurį viršytas teršalo normatyvas, arba vienkartinį leidžiamos taršos normatyvinį teršalo kiekį, nustatytą mg/Nm</w:t>
                  </w:r>
                  <w:r>
                    <w:rPr>
                      <w:vertAlign w:val="superscript"/>
                      <w:lang w:eastAsia="lt-LT"/>
                    </w:rPr>
                    <w:t>3</w:t>
                  </w:r>
                  <w:r>
                    <w:rPr>
                      <w:lang w:eastAsia="lt-LT"/>
                    </w:rPr>
                    <w:t>, padauginus iš dujų tūrio debito (Nm</w:t>
                  </w:r>
                  <w:r>
                    <w:rPr>
                      <w:vertAlign w:val="superscript"/>
                      <w:lang w:eastAsia="lt-LT"/>
                    </w:rPr>
                    <w:t>3</w:t>
                  </w:r>
                  <w:r>
                    <w:rPr>
                      <w:lang w:eastAsia="lt-LT"/>
                    </w:rPr>
                    <w:t>/s) ir iš laiko (s), per kurį viršytas teršalo normatyvas (t);</w:t>
                  </w:r>
                </w:p>
                <w:p>
                  <w:pPr>
                    <w:suppressAutoHyphens/>
                    <w:ind w:firstLine="709"/>
                    <w:jc w:val="both"/>
                    <w:rPr>
                      <w:color w:val="000000"/>
                    </w:rPr>
                  </w:pPr>
                  <w:r>
                    <w:rPr>
                      <w:lang w:eastAsia="lt-LT"/>
                    </w:rPr>
                    <w:t>Q</w:t>
                  </w:r>
                  <w:r>
                    <w:rPr>
                      <w:vertAlign w:val="subscript"/>
                      <w:lang w:eastAsia="lt-LT"/>
                    </w:rPr>
                    <w:t>t</w:t>
                  </w:r>
                  <w:r>
                    <w:rPr>
                      <w:lang w:eastAsia="lt-LT"/>
                    </w:rPr>
                    <w:t> – faktinis teršalo kiekis, išmestas arba išleistas į aplinką per didžiausios leidžiamos momentinės ar paros vidutinės teršalo koncentracijos ir (ar) vienkartinės leidžiamos taršos normatyvo viršijimo laikotarpį. Teršalo kiekis, išleistas į vandens telkinius ar žemės paviršių ir jos gelmes, viršijus didžiausią leidžiamą momentinę ar paros vidutinę teršalo koncentraciją normatyvo viršijimo laikotarpiu, apskaičiuojamas taip: faktinį per viršijimo laikotarpį išleistą nuotekų kiekį dauginant iš faktinės teršalo koncentracijos. Teršalo kiekis, išmestas į aplinkos orą viršijus vienkartinį leidžiamos taršos normatyvą per normatyvo viršijimo laikotarpį, apskaičiuojamas taip: faktinį per viršijimo laikotarpį išmestą dujų kiekį (Nm</w:t>
                  </w:r>
                  <w:r>
                    <w:rPr>
                      <w:vertAlign w:val="superscript"/>
                      <w:lang w:eastAsia="lt-LT"/>
                    </w:rPr>
                    <w:t>3</w:t>
                  </w:r>
                  <w:r>
                    <w:rPr>
                      <w:lang w:eastAsia="lt-LT"/>
                    </w:rPr>
                    <w:t>) padauginus</w:t>
                  </w:r>
                  <w:r>
                    <w:rPr>
                      <w:b/>
                      <w:bCs/>
                      <w:lang w:eastAsia="lt-LT"/>
                    </w:rPr>
                    <w:t> </w:t>
                  </w:r>
                  <w:r>
                    <w:rPr>
                      <w:lang w:eastAsia="lt-LT"/>
                    </w:rPr>
                    <w:t>iš faktinės teršalo koncentracijos (mg/Nm</w:t>
                  </w:r>
                  <w:r>
                    <w:rPr>
                      <w:vertAlign w:val="superscript"/>
                      <w:lang w:eastAsia="lt-LT"/>
                    </w:rPr>
                    <w:t>3</w:t>
                  </w:r>
                  <w:r>
                    <w:rPr>
                      <w:lang w:eastAsia="lt-LT"/>
                    </w:rPr>
                    <w:t>) arba, kai TIPK leidime ar taršos leidime vienkartinis leidžiamos taršos normatyvas nustatytas g/s, – faktinį per normatyvo viršijimo laikotarpį išmestą teršalo kiekį (g/s) padauginus iš laiko (s), per kurį viršytas teršalo normatyvas (t).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038070c91611f08918e1adc7c5b1ec">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2025-11-24,
paskelbta TAR 2025-11-24, i. k. 2025-19615            </w:t>
                  </w:r>
                </w:p>
                <w:p/>
              </w:sdtContent>
            </w:sdt>
            <w:sdt>
              <w:sdtPr>
                <w:alias w:val="5 p."/>
                <w:tag w:val="part_211eb73ddcb949e89424f3be10d56c67"/>
                <w:lock w:val="sdtLocked"/>
                <w:richText/>
              </w:sdtPr>
              <w:sdtContent>
                <w:p>
                  <w:pPr>
                    <w:widowControl w:val="0"/>
                    <w:ind w:firstLine="567"/>
                    <w:jc w:val="both"/>
                    <w:rPr>
                      <w:color w:val="000000"/>
                      <w:szCs w:val="24"/>
                      <w:lang w:eastAsia="lt-LT"/>
                    </w:rPr>
                  </w:pPr>
                  <w:sdt>
                    <w:sdtPr>
                      <w:alias w:val="Numeris"/>
                      <w:tag w:val="nr_211eb73ddcb949e89424f3be10d56c67"/>
                      <w:lock w:val="sdtLocked"/>
                      <w:richText/>
                    </w:sdtPr>
                    <w:sdtContent>
                      <w:r>
                        <w:rPr>
                          <w:color w:val="000000"/>
                          <w:szCs w:val="24"/>
                          <w:lang w:eastAsia="lt-LT"/>
                        </w:rPr>
                        <w:t>5</w:t>
                      </w:r>
                    </w:sdtContent>
                  </w:sdt>
                  <w:r>
                    <w:rPr>
                      <w:color w:val="000000"/>
                      <w:szCs w:val="24"/>
                      <w:lang w:eastAsia="lt-LT"/>
                    </w:rPr>
                    <w:t>. Mokestis taikant didesnį tarifą už išmestą ar išleistą į aplinką teršalo kiekį per mokestinį laikotarpį, viršijusį TIPK leidime ar taršos leidime nustatytą leidžiamos taršos normatyvą, įskaitant ir normatyvą viršijusį teršalo kiekį, išmestą į aplinkos orą, kuris susidaro deginant biokurą; neturint TIPK leidimo ar taršos leidimo su nustatytais teršalų išmetimo ar išleidimo į aplinką normatyvais, kai toks leidimas įstatymų ar kitų teisės aktų nustatytais atvejais privalomas, visas be TIPK leidimo ar taršos leidimo išmestas arba išleistas į aplinką teršalo kiekis, įskaitant išmestą į aplinkos orą teršalo kiekį, kuris susidaro deginant biokurą, yra viršnormatyvinis N=0, apskaičiuojamas pagal formulę:</w:t>
                  </w:r>
                </w:p>
                <w:p>
                  <w:pPr>
                    <w:widowControl w:val="0"/>
                    <w:ind w:firstLine="567"/>
                    <w:jc w:val="both"/>
                    <w:rPr>
                      <w:color w:val="000000"/>
                      <w:szCs w:val="24"/>
                      <w:lang w:eastAsia="lt-LT"/>
                    </w:rPr>
                  </w:pPr>
                </w:p>
                <w:p>
                  <w:pPr>
                    <w:widowControl w:val="0"/>
                    <w:ind w:firstLine="567"/>
                    <w:jc w:val="both"/>
                    <w:rPr>
                      <w:color w:val="000000"/>
                      <w:szCs w:val="24"/>
                      <w:lang w:eastAsia="lt-LT"/>
                    </w:rPr>
                  </w:pPr>
                  <w:r>
                    <w:rPr>
                      <w:color w:val="000000"/>
                      <w:szCs w:val="24"/>
                      <w:lang w:eastAsia="lt-LT"/>
                    </w:rPr>
                    <w:t>M</w:t>
                  </w:r>
                  <w:r>
                    <w:rPr>
                      <w:color w:val="000000"/>
                      <w:szCs w:val="24"/>
                      <w:vertAlign w:val="subscript"/>
                      <w:lang w:eastAsia="lt-LT"/>
                    </w:rPr>
                    <w:t>p</w:t>
                  </w:r>
                  <w:r>
                    <w:rPr>
                      <w:color w:val="000000"/>
                      <w:szCs w:val="24"/>
                      <w:lang w:eastAsia="lt-LT"/>
                    </w:rPr>
                    <w:t xml:space="preserve"> = Q</w:t>
                  </w:r>
                  <w:r>
                    <w:rPr>
                      <w:color w:val="000000"/>
                      <w:szCs w:val="24"/>
                      <w:vertAlign w:val="subscript"/>
                      <w:lang w:eastAsia="lt-LT"/>
                    </w:rPr>
                    <w:t>np</w:t>
                  </w:r>
                  <w:r>
                    <w:rPr>
                      <w:color w:val="000000"/>
                      <w:szCs w:val="24"/>
                      <w:lang w:eastAsia="lt-LT"/>
                    </w:rPr>
                    <w:t xml:space="preserve"> x T</w:t>
                  </w:r>
                  <w:r>
                    <w:rPr>
                      <w:color w:val="000000"/>
                      <w:szCs w:val="24"/>
                      <w:vertAlign w:val="subscript"/>
                      <w:lang w:eastAsia="lt-LT"/>
                    </w:rPr>
                    <w:t>b</w:t>
                  </w:r>
                  <w:r>
                    <w:rPr>
                      <w:color w:val="000000"/>
                      <w:szCs w:val="24"/>
                      <w:lang w:eastAsia="lt-LT"/>
                    </w:rPr>
                    <w:t xml:space="preserve"> x I x [k], </w:t>
                    <w:tab/>
                    <w:t xml:space="preserve">kai </w:t>
                  </w:r>
                  <w:r>
                    <w:rPr>
                      <w:color w:val="000000"/>
                      <w:position w:val="-14"/>
                      <w:szCs w:val="24"/>
                      <w:lang w:eastAsia="lt-LT"/>
                    </w:rPr>
                    <w:object w:dxaOrig="465" w:dyaOrig="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pt;height:22.9pt" o:ole="">
                        <v:imagedata r:id="rId14" o:title=""/>
                      </v:shape>
                      <o:OLEObject Type="Embed" ProgID="Equation.3" ShapeID="_x0000_i1025" DrawAspect="Content" ObjectID="_0000000001" r:id="rId15"/>
                    </w:object>
                  </w:r>
                  <w:r>
                    <w:rPr>
                      <w:color w:val="000000"/>
                      <w:szCs w:val="24"/>
                      <w:lang w:eastAsia="lt-LT"/>
                    </w:rPr>
                    <w:t>Q</w:t>
                  </w:r>
                  <w:r>
                    <w:rPr>
                      <w:color w:val="000000"/>
                      <w:szCs w:val="24"/>
                      <w:vertAlign w:val="subscript"/>
                      <w:lang w:eastAsia="lt-LT"/>
                    </w:rPr>
                    <w:t>nt</w:t>
                  </w:r>
                  <w:r>
                    <w:rPr>
                      <w:color w:val="000000"/>
                      <w:szCs w:val="24"/>
                      <w:lang w:eastAsia="lt-LT"/>
                    </w:rPr>
                    <w:t xml:space="preserve"> </w:t>
                  </w:r>
                  <w:r>
                    <w:rPr>
                      <w:color w:val="000000"/>
                      <w:position w:val="-4"/>
                      <w:szCs w:val="24"/>
                      <w:lang w:eastAsia="lt-LT"/>
                    </w:rPr>
                    <w:object w:dxaOrig="195" w:dyaOrig="240">
                      <v:shape id="_x0000_i1026" type="#_x0000_t75" style="width:13.9pt;height:13.9pt" o:ole="">
                        <v:imagedata r:id="rId16" o:title=""/>
                      </v:shape>
                      <o:OLEObject Type="Embed" ProgID="Equation.3" ShapeID="_x0000_i1026" DrawAspect="Content" ObjectID="_0000000001" r:id="rId17"/>
                    </w:object>
                  </w:r>
                  <w:r>
                    <w:rPr>
                      <w:color w:val="000000"/>
                      <w:szCs w:val="24"/>
                      <w:lang w:eastAsia="lt-LT"/>
                    </w:rPr>
                    <w:t xml:space="preserve"> Q</w:t>
                  </w:r>
                  <w:r>
                    <w:rPr>
                      <w:color w:val="000000"/>
                      <w:szCs w:val="24"/>
                      <w:vertAlign w:val="subscript"/>
                      <w:lang w:eastAsia="lt-LT"/>
                    </w:rPr>
                    <w:t>np</w:t>
                  </w:r>
                  <w:r>
                    <w:rPr>
                      <w:color w:val="000000"/>
                      <w:szCs w:val="24"/>
                      <w:lang w:eastAsia="lt-LT"/>
                    </w:rPr>
                    <w:t xml:space="preserve"> arba N = 0, arba</w:t>
                  </w:r>
                </w:p>
                <w:p>
                  <w:pPr>
                    <w:widowControl w:val="0"/>
                    <w:ind w:firstLine="567"/>
                    <w:jc w:val="both"/>
                    <w:rPr>
                      <w:color w:val="000000"/>
                      <w:szCs w:val="24"/>
                      <w:lang w:eastAsia="lt-LT"/>
                    </w:rPr>
                  </w:pPr>
                  <w:r>
                    <w:rPr>
                      <w:color w:val="000000"/>
                      <w:szCs w:val="24"/>
                      <w:lang w:eastAsia="lt-LT"/>
                    </w:rPr>
                    <w:t>M</w:t>
                  </w:r>
                  <w:r>
                    <w:rPr>
                      <w:color w:val="000000"/>
                      <w:szCs w:val="24"/>
                      <w:vertAlign w:val="subscript"/>
                      <w:lang w:eastAsia="lt-LT"/>
                    </w:rPr>
                    <w:t>p</w:t>
                  </w:r>
                  <w:r>
                    <w:rPr>
                      <w:color w:val="000000"/>
                      <w:szCs w:val="24"/>
                      <w:lang w:eastAsia="lt-LT"/>
                    </w:rPr>
                    <w:t xml:space="preserve"> = </w:t>
                  </w:r>
                  <w:r>
                    <w:rPr>
                      <w:color w:val="000000"/>
                      <w:position w:val="-14"/>
                      <w:szCs w:val="24"/>
                      <w:lang w:eastAsia="lt-LT"/>
                    </w:rPr>
                    <w:object w:dxaOrig="465" w:dyaOrig="405">
                      <v:shape id="_x0000_i1027" type="#_x0000_t75" style="width:22.9pt;height:22.9pt" o:ole="">
                        <v:imagedata r:id="rId18" o:title=""/>
                      </v:shape>
                      <o:OLEObject Type="Embed" ProgID="Equation.3" ShapeID="_x0000_i1027" DrawAspect="Content" ObjectID="_0000000001" r:id="rId19"/>
                    </w:object>
                  </w:r>
                  <w:r>
                    <w:rPr>
                      <w:color w:val="000000"/>
                      <w:szCs w:val="24"/>
                      <w:lang w:eastAsia="lt-LT"/>
                    </w:rPr>
                    <w:t>Q</w:t>
                  </w:r>
                  <w:r>
                    <w:rPr>
                      <w:color w:val="000000"/>
                      <w:szCs w:val="24"/>
                      <w:vertAlign w:val="subscript"/>
                      <w:lang w:eastAsia="lt-LT"/>
                    </w:rPr>
                    <w:t>nt</w:t>
                  </w:r>
                  <w:r>
                    <w:rPr>
                      <w:color w:val="000000"/>
                      <w:szCs w:val="24"/>
                      <w:lang w:eastAsia="lt-LT"/>
                    </w:rPr>
                    <w:t xml:space="preserve"> x T</w:t>
                  </w:r>
                  <w:r>
                    <w:rPr>
                      <w:color w:val="000000"/>
                      <w:szCs w:val="24"/>
                      <w:vertAlign w:val="subscript"/>
                      <w:lang w:eastAsia="lt-LT"/>
                    </w:rPr>
                    <w:t>b</w:t>
                  </w:r>
                  <w:r>
                    <w:rPr>
                      <w:color w:val="000000"/>
                      <w:szCs w:val="24"/>
                      <w:lang w:eastAsia="lt-LT"/>
                    </w:rPr>
                    <w:t xml:space="preserve">  x I x [k], kai </w:t>
                  </w:r>
                  <w:r>
                    <w:rPr>
                      <w:color w:val="000000"/>
                      <w:position w:val="-14"/>
                      <w:szCs w:val="24"/>
                      <w:lang w:eastAsia="lt-LT"/>
                    </w:rPr>
                    <w:object w:dxaOrig="465" w:dyaOrig="405">
                      <v:shape id="_x0000_i1028" type="#_x0000_t75" style="width:22.9pt;height:22.9pt" o:ole="">
                        <v:imagedata r:id="rId20" o:title=""/>
                      </v:shape>
                      <o:OLEObject Type="Embed" ProgID="Equation.3" ShapeID="_x0000_i1028" DrawAspect="Content" ObjectID="_0000000001" r:id="rId21"/>
                    </w:object>
                  </w:r>
                  <w:r>
                    <w:rPr>
                      <w:color w:val="000000"/>
                      <w:szCs w:val="24"/>
                      <w:lang w:eastAsia="lt-LT"/>
                    </w:rPr>
                    <w:t>Q</w:t>
                  </w:r>
                  <w:r>
                    <w:rPr>
                      <w:color w:val="000000"/>
                      <w:szCs w:val="24"/>
                      <w:vertAlign w:val="subscript"/>
                      <w:lang w:eastAsia="lt-LT"/>
                    </w:rPr>
                    <w:t>nt</w:t>
                  </w:r>
                  <w:r>
                    <w:rPr>
                      <w:color w:val="000000"/>
                      <w:szCs w:val="24"/>
                      <w:lang w:eastAsia="lt-LT"/>
                    </w:rPr>
                    <w:t xml:space="preserve"> &gt; Q</w:t>
                  </w:r>
                  <w:r>
                    <w:rPr>
                      <w:color w:val="000000"/>
                      <w:szCs w:val="24"/>
                      <w:vertAlign w:val="subscript"/>
                      <w:lang w:eastAsia="lt-LT"/>
                    </w:rPr>
                    <w:t>np</w:t>
                  </w:r>
                </w:p>
                <w:p>
                  <w:pPr>
                    <w:widowControl w:val="0"/>
                    <w:ind w:firstLine="567"/>
                    <w:jc w:val="both"/>
                    <w:rPr>
                      <w:color w:val="000000"/>
                      <w:szCs w:val="24"/>
                      <w:lang w:eastAsia="lt-LT"/>
                    </w:rPr>
                  </w:pPr>
                </w:p>
                <w:p>
                  <w:pPr>
                    <w:widowControl w:val="0"/>
                    <w:ind w:firstLine="567"/>
                    <w:jc w:val="both"/>
                    <w:rPr>
                      <w:color w:val="000000"/>
                      <w:szCs w:val="24"/>
                      <w:lang w:eastAsia="lt-LT"/>
                    </w:rPr>
                  </w:pPr>
                  <w:r>
                    <w:rPr>
                      <w:color w:val="000000"/>
                      <w:szCs w:val="24"/>
                      <w:lang w:eastAsia="lt-LT"/>
                    </w:rPr>
                    <w:t>kur:</w:t>
                  </w:r>
                </w:p>
                <w:p>
                  <w:pPr>
                    <w:suppressAutoHyphens/>
                    <w:ind w:firstLine="567"/>
                    <w:jc w:val="both"/>
                    <w:textAlignment w:val="center"/>
                    <w:rPr>
                      <w:color w:val="000000"/>
                      <w:spacing w:val="-6"/>
                      <w:szCs w:val="24"/>
                    </w:rPr>
                  </w:pPr>
                  <w:r>
                    <w:rPr>
                      <w:color w:val="000000"/>
                      <w:spacing w:val="-6"/>
                      <w:szCs w:val="24"/>
                    </w:rPr>
                    <w:t>Q</w:t>
                  </w:r>
                  <w:r>
                    <w:rPr>
                      <w:color w:val="000000"/>
                      <w:spacing w:val="-6"/>
                      <w:szCs w:val="24"/>
                      <w:vertAlign w:val="subscript"/>
                    </w:rPr>
                    <w:t>np</w:t>
                  </w:r>
                  <w:r>
                    <w:rPr>
                      <w:color w:val="000000"/>
                      <w:spacing w:val="-6"/>
                      <w:szCs w:val="24"/>
                    </w:rPr>
                    <w:t xml:space="preserve"> – normatyvą viršijantis teršalo kiekis, viršijus TIPK leidime ar taršos leidime nustatytą per mokestinį laikotarpį leidžiamą išmesti ar išleisti į aplinką teršalo kiekį, kuris lygus faktinio ir normatyvinio teršalo kiekio skirtumui (Q – N) (t);</w:t>
                  </w:r>
                </w:p>
                <w:p>
                  <w:pPr>
                    <w:suppressAutoHyphens/>
                    <w:ind w:firstLine="567"/>
                    <w:jc w:val="both"/>
                    <w:textAlignment w:val="center"/>
                    <w:rPr>
                      <w:b/>
                      <w:color w:val="000000"/>
                      <w:spacing w:val="-6"/>
                      <w:szCs w:val="24"/>
                    </w:rPr>
                  </w:pPr>
                  <w:r>
                    <w:rPr>
                      <w:color w:val="000000"/>
                      <w:spacing w:val="-6"/>
                      <w:szCs w:val="24"/>
                    </w:rPr>
                    <w:t>Q</w:t>
                  </w:r>
                  <w:r>
                    <w:rPr>
                      <w:color w:val="000000"/>
                      <w:spacing w:val="-6"/>
                      <w:szCs w:val="24"/>
                      <w:vertAlign w:val="subscript"/>
                    </w:rPr>
                    <w:t>nt</w:t>
                  </w:r>
                  <w:r>
                    <w:rPr>
                      <w:color w:val="000000"/>
                      <w:spacing w:val="-6"/>
                      <w:szCs w:val="24"/>
                    </w:rPr>
                    <w:t xml:space="preserve"> – atskirą mokestinį laikotarpį normatyvą viršijantis teršalo kiekis, viršijus TIPK leidime ar taršos leidime nustatytą didžiausią leidžiamą momentinę ar paros vidutinę teršalo koncentraciją ir (ar) vienkartinį leidžiamos taršos normatyvą per visą mokestinio laikotarpio normatyvo viršijimo laiką. Teršalo kiekis, išleistas į vandens telkinius ir žemės paviršių ir jos gelmes, apskaičiuojamas taip: nuotekų kiekį, išleistą į vandens telkinius ir (ar) žemės paviršių ir jos gelmes, per visą mokestinio laikotarpio normatyvo viršijimo laikotarpį padauginus iš nustatytos faktinės teršalo koncentracijos ir iš gauto kiekio atėmus leidžiamą per viršijimo laikotarpį išmesti į vandens telkinius arba žemės paviršių ir jos gelmes teršalo kiekį. Teršalo kiekis, išmestas į aplinkos orą, apskaičiuojamas taip: per visą mokestinio laikotarpio normatyvo viršijimo laikotarpį išmestą į aplinkos orą dujų kiekį (Nm</w:t>
                  </w:r>
                  <w:r>
                    <w:rPr>
                      <w:color w:val="000000"/>
                      <w:spacing w:val="-6"/>
                      <w:szCs w:val="24"/>
                      <w:vertAlign w:val="superscript"/>
                    </w:rPr>
                    <w:t>3</w:t>
                  </w:r>
                  <w:r>
                    <w:rPr>
                      <w:color w:val="000000"/>
                      <w:spacing w:val="-6"/>
                      <w:szCs w:val="24"/>
                    </w:rPr>
                    <w:t>) padauginus iš nustatytos per viršijimo laikotarpį</w:t>
                  </w:r>
                  <w:r>
                    <w:rPr>
                      <w:bCs/>
                      <w:color w:val="000000"/>
                      <w:spacing w:val="-6"/>
                      <w:szCs w:val="24"/>
                    </w:rPr>
                    <w:t xml:space="preserve"> </w:t>
                  </w:r>
                  <w:r>
                    <w:rPr>
                      <w:color w:val="000000"/>
                      <w:spacing w:val="-6"/>
                      <w:szCs w:val="24"/>
                    </w:rPr>
                    <w:t>faktinės teršalo koncentracijos (mg/Nm</w:t>
                  </w:r>
                  <w:r>
                    <w:rPr>
                      <w:color w:val="000000"/>
                      <w:spacing w:val="-6"/>
                      <w:szCs w:val="24"/>
                      <w:vertAlign w:val="superscript"/>
                    </w:rPr>
                    <w:t>3</w:t>
                  </w:r>
                  <w:r>
                    <w:rPr>
                      <w:color w:val="000000"/>
                      <w:spacing w:val="-6"/>
                      <w:szCs w:val="24"/>
                    </w:rPr>
                    <w:t>), perskaičiuotos esant normalioms sąlygoms – 101,3 kPa slėgiui ir 0 °C temperatūrai, (mg/Nm</w:t>
                  </w:r>
                  <w:r>
                    <w:rPr>
                      <w:color w:val="000000"/>
                      <w:spacing w:val="-6"/>
                      <w:szCs w:val="24"/>
                      <w:vertAlign w:val="superscript"/>
                    </w:rPr>
                    <w:t>3</w:t>
                  </w:r>
                  <w:r>
                    <w:rPr>
                      <w:color w:val="000000"/>
                      <w:spacing w:val="-6"/>
                      <w:szCs w:val="24"/>
                    </w:rPr>
                    <w:t>) (kai kartu su išmatuota teršalo koncentracija nepateikiamas išmatuotas dujų kiekis (Nm</w:t>
                  </w:r>
                  <w:r>
                    <w:rPr>
                      <w:color w:val="000000"/>
                      <w:spacing w:val="-6"/>
                      <w:szCs w:val="24"/>
                      <w:vertAlign w:val="superscript"/>
                    </w:rPr>
                    <w:t>3</w:t>
                  </w:r>
                  <w:r>
                    <w:rPr>
                      <w:color w:val="000000"/>
                      <w:spacing w:val="-6"/>
                      <w:szCs w:val="24"/>
                    </w:rPr>
                    <w:t>), skaičiavimui naudojamas dujų kiekis (Nm</w:t>
                  </w:r>
                  <w:r>
                    <w:rPr>
                      <w:color w:val="000000"/>
                      <w:spacing w:val="-6"/>
                      <w:szCs w:val="24"/>
                      <w:vertAlign w:val="superscript"/>
                    </w:rPr>
                    <w:t>3</w:t>
                  </w:r>
                  <w:r>
                    <w:rPr>
                      <w:color w:val="000000"/>
                      <w:spacing w:val="-6"/>
                      <w:szCs w:val="24"/>
                    </w:rPr>
                    <w:t>) iš Aplinkos oro taršos šaltinių ir iš jų išmetamų teršalų inventorizacijos ataskaitos, parengtos vadovaujantis Aplinkos oro taršos šaltinių ir iš jų išmetamų teršalų inventorizacijos ir ataskaitų teikimo taisyklėmis, patvirtintomis Lietuvos Respublikos aplinkos ministro 2002 m. birželio 27 d. įsakymu Nr. 340 „Dėl Aplinkos oro taršos šaltinių ir iš jų išmetamų teršalų inventorizacijos ir ataskaitų teikimo taisyklių patvirtinimo“, arba faktinį per viršijimo laikotarpį išmestą teršalo kiekį per laiko vienetą (g/s) padauginus iš laiko (s), per kurį viršytas teršalo normatyvas,</w:t>
                  </w:r>
                  <w:r>
                    <w:rPr>
                      <w:bCs/>
                      <w:color w:val="000000"/>
                      <w:spacing w:val="-6"/>
                      <w:szCs w:val="24"/>
                    </w:rPr>
                    <w:t xml:space="preserve"> </w:t>
                  </w:r>
                  <w:r>
                    <w:rPr>
                      <w:color w:val="000000"/>
                      <w:spacing w:val="-6"/>
                      <w:szCs w:val="24"/>
                    </w:rPr>
                    <w:t>ir iš gauto kiekio atėmus per viršijimo laikotarpį leidžiamą išmesti į aplinkos orą teršalo kiekį (tonomis);</w:t>
                  </w:r>
                </w:p>
                <w:p>
                  <w:pPr>
                    <w:suppressAutoHyphens/>
                    <w:ind w:firstLine="567"/>
                    <w:jc w:val="both"/>
                    <w:textAlignment w:val="center"/>
                    <w:rPr>
                      <w:color w:val="000000"/>
                      <w:spacing w:val="-6"/>
                      <w:szCs w:val="24"/>
                    </w:rPr>
                  </w:pPr>
                  <w:r>
                    <w:rPr>
                      <w:color w:val="000000"/>
                      <w:spacing w:val="-6"/>
                      <w:szCs w:val="24"/>
                    </w:rPr>
                    <w:t>N – leidžiamas išmesti arba išleisti į aplinką per mokestinį laikotarpį normatyvinis teršalo kiekis, nustatytas TIPK leidime ar taršos leidime (t);</w:t>
                  </w:r>
                </w:p>
                <w:p>
                  <w:pPr>
                    <w:widowControl w:val="0"/>
                    <w:ind w:firstLine="567"/>
                    <w:jc w:val="both"/>
                    <w:rPr>
                      <w:color w:val="000000"/>
                      <w:szCs w:val="24"/>
                      <w:lang w:eastAsia="lt-LT"/>
                    </w:rPr>
                  </w:pPr>
                  <w:r>
                    <w:rPr>
                      <w:color w:val="000000"/>
                      <w:szCs w:val="24"/>
                      <w:lang w:eastAsia="lt-LT"/>
                    </w:rPr>
                    <w:t>T</w:t>
                  </w:r>
                  <w:r>
                    <w:rPr>
                      <w:color w:val="000000"/>
                      <w:szCs w:val="24"/>
                      <w:vertAlign w:val="subscript"/>
                      <w:lang w:eastAsia="lt-LT"/>
                    </w:rPr>
                    <w:t>b</w:t>
                  </w:r>
                  <w:r>
                    <w:rPr>
                      <w:color w:val="000000"/>
                      <w:szCs w:val="24"/>
                      <w:lang w:eastAsia="lt-LT"/>
                    </w:rPr>
                    <w:t xml:space="preserve"> – teršalo tarifas, nustatytas Mokesčio už aplinkos teršimą įstatymo 2 priede;</w:t>
                  </w:r>
                </w:p>
                <w:p>
                  <w:pPr>
                    <w:widowControl w:val="0"/>
                    <w:ind w:firstLine="567"/>
                    <w:jc w:val="both"/>
                    <w:rPr>
                      <w:color w:val="000000"/>
                      <w:spacing w:val="-6"/>
                      <w:szCs w:val="24"/>
                    </w:rPr>
                  </w:pPr>
                  <w:r>
                    <w:rPr>
                      <w:color w:val="000000"/>
                      <w:spacing w:val="-6"/>
                      <w:szCs w:val="24"/>
                    </w:rPr>
                    <w:t>I – mokestinio laikotarpio indeksavimo koeficientas;</w:t>
                  </w:r>
                </w:p>
                <w:p>
                  <w:pPr>
                    <w:widowControl w:val="0"/>
                    <w:ind w:firstLine="567"/>
                    <w:jc w:val="both"/>
                    <w:rPr>
                      <w:color w:val="000000"/>
                    </w:rPr>
                  </w:pPr>
                  <w:r>
                    <w:rPr>
                      <w:color w:val="000000"/>
                      <w:spacing w:val="-6"/>
                      <w:szCs w:val="24"/>
                    </w:rPr>
                    <w:t>[k] – koeficientas (lygus 1,2), kuris, vadovaujantis Mokesčio už aplinkos teršimą įstatymo 7 straipsnio 2 dalimi, taikomas skaičiuojant mokestį už aplinkos teršimą iš stacionariųjų taršos šaltinių už teršalus, kuriems TIPK leidime ar taršos leidime nustatytas laikinai leidžiamos taršos normatyvas.</w:t>
                  </w:r>
                </w:p>
              </w:sdtContent>
            </w:sdt>
            <w:sdt>
              <w:sdtPr>
                <w:alias w:val="6 p."/>
                <w:tag w:val="part_7926950d12ab498588b2070d0e72c1ad"/>
                <w:lock w:val="sdtLocked"/>
                <w:richText/>
              </w:sdtPr>
              <w:sdtContent>
                <w:p>
                  <w:pPr>
                    <w:suppressAutoHyphens/>
                    <w:ind w:firstLine="709"/>
                    <w:jc w:val="both"/>
                    <w:rPr>
                      <w:color w:val="000000"/>
                    </w:rPr>
                  </w:pPr>
                  <w:sdt>
                    <w:sdtPr>
                      <w:alias w:val="Numeris"/>
                      <w:tag w:val="nr_7926950d12ab498588b2070d0e72c1ad"/>
                      <w:lock w:val="sdtLocked"/>
                      <w:richText/>
                    </w:sdtPr>
                    <w:sdtContent>
                      <w:r>
                        <w:rPr>
                          <w:lang w:eastAsia="lt-LT"/>
                        </w:rPr>
                        <w:t>6</w:t>
                      </w:r>
                    </w:sdtContent>
                  </w:sdt>
                  <w:r>
                    <w:rPr>
                      <w:lang w:eastAsia="lt-LT"/>
                    </w:rPr>
                    <w:t>. Įvykus stichiniams ir katastrofiniams hidrometeorologiniams reiškiniams, kurie atitinka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2 priede nustatytus ekstremaliųjų įvykių kriterijus (toliau – Ekstremaliųjų įvykių kriterijų sąrašas), avarinio išleistuvo savininkui (naudotojui), turinčiam ūkinės veiklos objektui eksploatuoti išduotą TIPK leidimą su teršalų išleidimo su nuotekomis į gamtinę aplinką dalimi arba taršos leidimą su specialiąja leidimo dalimi nuotekoms tvarkyti ir išleisti, kai išleidžia teršalus į paviršinius vandens telkinius ar žemės paviršių ir jos gelmes per nuotekų avarinį išleistuvą ir apie tai informuoja plombavimo procedūrą vykdžiusią instituciją, Aplinkos apsaugos departamentą prie Aplinkos ministerijos (toliau – AAD), Geriamojo vandens tiekimo ir nuotekų tvarkymo infrastruktūros naudojimo ir priežiūros taisyklių, patvirtintų Lietuvos Respublikos aplinkos ministro 2006 m. gruodžio 29 d. įsakymu Nr. D1-629 „Dėl Geriamojo vandens tiekimo ir nuotekų tvarkymo infrastruktūros naudojimo ir priežiūros taisyklių patvirtinimo“, nustatyta tvarka, mokestis mokamas už visą į paviršinius vandens telkinius ar žemės paviršių ir jos gelmes išleistą teršalo kiekį, kuris apskaičiuojamas pagal Tvarkos aprašo 4 punktą. Kai teršalai išleidžiami į vandens telkinius, žemės paviršių ir jos gelmes per nuotekų avarinį išleistuvą neinformavus AAD, išskyrus Ekstremaliųjų įvykių kriterijų sąraše nustatytus stichinių ir katastrofinių hidrometeorologinių reiškinių įvykius, apskaičiuojamas mokestis už aplinkos teršimą pagal Tvarkos aprašo 5 punktą, išskyrus atvejus, kai skaičiuojama aplinkai padaryta žala pagal Aplinkai padarytos žalos atlyginimo dydžių apskaičiavimo metodiką, patvirtintą Lietuvos Respublikos aplinkos ministro 2002 m. rugsėjo 9 d. įsakymu Nr. 471 „Dėl Aplinkai padarytos žalos atlyginimo dydžių apskaičiavimo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038070c91611f08918e1adc7c5b1ec">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2025-11-24,
paskelbta TAR 2025-11-24, i. k. 2025-19615            </w:t>
                  </w:r>
                </w:p>
                <w:p/>
              </w:sdtContent>
            </w:sdt>
            <w:sdt>
              <w:sdtPr>
                <w:alias w:val="7 p."/>
                <w:tag w:val="part_a39c49e76f714b5e9f16563d46f02584"/>
                <w:lock w:val="sdtLocked"/>
                <w:richText/>
              </w:sdtPr>
              <w:sdtContent>
                <w:p>
                  <w:pPr>
                    <w:widowControl w:val="0"/>
                    <w:suppressAutoHyphens/>
                    <w:ind w:firstLine="567"/>
                    <w:jc w:val="both"/>
                    <w:rPr>
                      <w:color w:val="000000"/>
                    </w:rPr>
                  </w:pPr>
                  <w:sdt>
                    <w:sdtPr>
                      <w:alias w:val="Numeris"/>
                      <w:tag w:val="nr_a39c49e76f714b5e9f16563d46f02584"/>
                      <w:lock w:val="sdtLocked"/>
                      <w:richText/>
                    </w:sdtPr>
                    <w:sdtContent>
                      <w:r>
                        <w:rPr>
                          <w:color w:val="000000"/>
                        </w:rPr>
                        <w:t>7</w:t>
                      </w:r>
                    </w:sdtContent>
                  </w:sdt>
                  <w:r>
                    <w:rPr>
                      <w:color w:val="000000"/>
                    </w:rPr>
                    <w:t xml:space="preserve">. Esant TIPK leidime </w:t>
                  </w:r>
                  <w:r>
                    <w:rPr>
                      <w:color w:val="000000"/>
                      <w:szCs w:val="24"/>
                      <w:lang w:eastAsia="lt-LT"/>
                    </w:rPr>
                    <w:t>ar taršos</w:t>
                  </w:r>
                  <w:r>
                    <w:rPr>
                      <w:color w:val="000000"/>
                    </w:rPr>
                    <w:t xml:space="preserve"> leidime numatytoms tam tikroms veiklos sąlygoms, t. y. paleidžiant, stabdant, derinant įrenginį, mokestis už išmestą ar išleistą į aplinką faktinį teršalų kiekį iš įrenginio apskaičiuojamas pagal Tvarkos aprašo 4 punktą.</w:t>
                  </w:r>
                </w:p>
              </w:sdtContent>
            </w:sdt>
            <w:sdt>
              <w:sdtPr>
                <w:alias w:val="8. p."/>
                <w:tag w:val="part_6824817f42ef4349a2174271d453573b"/>
                <w:lock w:val="sdtLocked"/>
                <w:richText/>
              </w:sdtPr>
              <w:sdtContent>
                <w:p>
                  <w:pPr>
                    <w:suppressAutoHyphens/>
                    <w:ind w:firstLine="709"/>
                    <w:jc w:val="both"/>
                    <w:rPr>
                      <w:spacing w:val="-6"/>
                      <w:lang w:eastAsia="lt-LT"/>
                    </w:rPr>
                  </w:pPr>
                  <w:sdt>
                    <w:sdtPr>
                      <w:alias w:val="Numeris"/>
                      <w:tag w:val="nr_6824817f42ef4349a2174271d453573b"/>
                      <w:lock w:val="sdtLocked"/>
                      <w:richText/>
                    </w:sdtPr>
                    <w:sdtContent>
                      <w:r>
                        <w:rPr>
                          <w:lang w:eastAsia="lt-LT"/>
                        </w:rPr>
                        <w:t>8.</w:t>
                      </w:r>
                    </w:sdtContent>
                  </w:sdt>
                  <w:r>
                    <w:rPr>
                      <w:lang w:eastAsia="lt-LT"/>
                    </w:rPr>
                    <w:t xml:space="preserve"> Didžiausios leidžiamos momentinės ar paros vidutinės koncentracijos ir (ar) vienkartinės leidžiamos taršos (normatyvo) viršijimo pabaiga yra ėminio, kurio matavimo rezultatai atitinka normatyvinius rodiklius, paėmimo diena. Jei vadovaudamasis tyrimų rezultatais, atliktais laboratorijos, atitinkančios Aplinkos monitoringo įstatymo 11 straipsnio 2 dalyje nustatytus reikalavimus, mokesčio mokėtojas įrodo, kad išmestas arba išleistas į aplinką teršalo kiekis nebeviršija TIPK leidime ar taršos leidime nustatytų leidžiamos taršos normatyvų, apie normatyvus viršijančią teršimo pabaigą ir atitinkančių normatyvą matavimų ar skaičiavimų rezultatus mokesčio mokėtojas per 3 darbo dienas nuo tyrimo rezultato gavimo raštu praneša AAD. Jei tą pačią dieną atlikti skirtingų laboratorijų tyrimai (mėginiai) skiriasi, vadovaujamasi valstybinių laboratorinių tyrimų rezultatais.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038070c91611f08918e1adc7c5b1ec">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2025-11-24,
paskelbta TAR 2025-11-24, i. k. 2025-19615            </w:t>
                  </w:r>
                </w:p>
                <w:p/>
              </w:sdtContent>
            </w:sdt>
            <w:sdt>
              <w:sdtPr>
                <w:alias w:val="9 p."/>
                <w:tag w:val="part_46a49fbe11d541ea905b350e253789ef"/>
                <w:lock w:val="sdtLocked"/>
                <w:richText/>
              </w:sdtPr>
              <w:sdtContent>
                <w:p>
                  <w:pPr>
                    <w:widowControl w:val="0"/>
                    <w:suppressAutoHyphens/>
                    <w:ind w:firstLine="567"/>
                    <w:jc w:val="both"/>
                    <w:rPr>
                      <w:color w:val="000000"/>
                    </w:rPr>
                  </w:pPr>
                  <w:sdt>
                    <w:sdtPr>
                      <w:alias w:val="Numeris"/>
                      <w:tag w:val="nr_46a49fbe11d541ea905b350e253789ef"/>
                      <w:lock w:val="sdtLocked"/>
                      <w:richText/>
                    </w:sdtPr>
                    <w:sdtContent>
                      <w:r>
                        <w:rPr>
                          <w:color w:val="000000"/>
                        </w:rPr>
                        <w:t>9</w:t>
                      </w:r>
                    </w:sdtContent>
                  </w:sdt>
                  <w:r>
                    <w:rPr>
                      <w:color w:val="000000"/>
                    </w:rPr>
                    <w:t>. Į didžiausios leidžiamos momentinės ar paros vidutinės koncentracijos (normatyvo) ir (ar) vienkartinės leidžiamos taršos normatyvo viršijimo periodą įskaitomas laikas nuo normatyvą viršijusio ėminio paėmimo dienos iki normatyvą atitinkančio ėminio paėmimo dienos. Minimalus normatyvo viršijimo periodas yra viena para, t. y. nustatant normatyvo viršijimo periodą, vertinami rezultatai tik ėminių, paimtų po 24 valandų nuo ėminio paėmimo, kuriuo nustatytas normatyvo viršijimas.</w:t>
                  </w:r>
                </w:p>
              </w:sdtContent>
            </w:sdt>
            <w:sdt>
              <w:sdtPr>
                <w:alias w:val="10 p."/>
                <w:tag w:val="part_2a39693abc8e4b5a9092219fb079057a"/>
                <w:lock w:val="sdtLocked"/>
                <w:richText/>
              </w:sdtPr>
              <w:sdtContent>
                <w:p>
                  <w:pPr>
                    <w:suppressAutoHyphens/>
                    <w:ind w:firstLine="567"/>
                    <w:jc w:val="both"/>
                    <w:rPr>
                      <w:lang w:eastAsia="lt-LT"/>
                    </w:rPr>
                  </w:pPr>
                  <w:sdt>
                    <w:sdtPr>
                      <w:alias w:val="Numeris"/>
                      <w:tag w:val="nr_2a39693abc8e4b5a9092219fb079057a"/>
                      <w:lock w:val="sdtLocked"/>
                      <w:richText/>
                    </w:sdtPr>
                    <w:sdtContent>
                      <w:r>
                        <w:rPr>
                          <w:spacing w:val="-6"/>
                          <w:lang w:eastAsia="lt-LT"/>
                        </w:rPr>
                        <w:t>10</w:t>
                      </w:r>
                    </w:sdtContent>
                  </w:sdt>
                  <w:r>
                    <w:rPr>
                      <w:spacing w:val="-6"/>
                      <w:lang w:eastAsia="lt-LT"/>
                    </w:rPr>
                    <w:t xml:space="preserve">. Mokestis už išmestą arba išleistą į aplinką teršalų kiekį, įskaitant ir mokestį, taikant didesnį tarifą už išmestą ar išleistą į aplinką teršalų kiekį, viršijus didžiausią leidžiamą momentinę ar paros vidutinę koncentraciją ir (ar) vienkartinį leidžiamos taršos normatyvą, ir (ar) mokestinio laikotarpio normatyvą, apskaičiuojamas ir sumokamas pasibaigus mokestiniam laikotarpiui, per kurį viršytas leidžiamas išmesti arba išleisti į aplinką teršalo kiekis. Išmestų arba išleistų į aplinką teršalų kiekis nustatomas pagal mokesčio mokėtojo laboratorinių tyrimų duomenis ir </w:t>
                  </w:r>
                  <w:r>
                    <w:rPr>
                      <w:bCs/>
                      <w:spacing w:val="-6"/>
                      <w:lang w:eastAsia="lt-LT"/>
                    </w:rPr>
                    <w:t>aplinkos apsaugos valstybinės kontrolės atliktų valstybinių laboratorinių tyrimų ir matavimų duomenis</w:t>
                  </w:r>
                  <w:r>
                    <w:rPr>
                      <w:spacing w:val="-6"/>
                      <w:lang w:eastAsia="lt-LT"/>
                    </w:rPr>
                    <w:t xml:space="preserve">. Kai mokesčio mokėtojo ir </w:t>
                  </w:r>
                  <w:r>
                    <w:rPr>
                      <w:bCs/>
                      <w:spacing w:val="-6"/>
                      <w:lang w:eastAsia="lt-LT"/>
                    </w:rPr>
                    <w:t>aplinkos apsaugos valstybinės kontrolės atliktų tą pačią dieną laboratorinių tyrimų ir matavimų</w:t>
                  </w:r>
                  <w:r>
                    <w:rPr>
                      <w:b/>
                      <w:bCs/>
                      <w:spacing w:val="-6"/>
                      <w:lang w:eastAsia="lt-LT"/>
                    </w:rPr>
                    <w:t xml:space="preserve"> </w:t>
                  </w:r>
                  <w:r>
                    <w:rPr>
                      <w:spacing w:val="-6"/>
                      <w:lang w:eastAsia="lt-LT"/>
                    </w:rPr>
                    <w:t xml:space="preserve">duomenys (rezultatai) skiriasi, vadovaujamasi </w:t>
                  </w:r>
                  <w:r>
                    <w:rPr>
                      <w:bCs/>
                      <w:spacing w:val="-6"/>
                      <w:lang w:eastAsia="lt-LT"/>
                    </w:rPr>
                    <w:t>aplinkos apsaugos valstybinės kontrolės atliktų valstybinių laboratorinių tyrimų ir matavimų</w:t>
                  </w:r>
                  <w:r>
                    <w:rPr>
                      <w:spacing w:val="-6"/>
                      <w:lang w:eastAsia="lt-LT"/>
                    </w:rPr>
                    <w:t xml:space="preserve"> duomenimis.</w:t>
                  </w:r>
                  <w:r>
                    <w:t xml:space="preserve"> A</w:t>
                  </w:r>
                  <w:r>
                    <w:rPr>
                      <w:lang w:eastAsia="lt-LT"/>
                    </w:rPr>
                    <w:t>pmokestinamųjų su nuotekomis į aplinką išleistų teršalų kiekis, nustačius teršalo normatyvo viršijimą, apskaičiuojamas pagal valstybinių laboratorinių tyrimų duomenis nuo mėginio ar matavimo, kai nustatytas normatyvo viršijimas, iki kito mėginio ar matavimo, kai nenustatytas teršalo normatyvo viršijimas, paėmimo dienos.</w:t>
                  </w:r>
                </w:p>
              </w:sdtContent>
            </w:sdt>
            <w:sdt>
              <w:sdtPr>
                <w:alias w:val="11 p."/>
                <w:tag w:val="part_a752c3d7659a41c5b35a1d085e1d443c"/>
                <w:lock w:val="sdtLocked"/>
                <w:richText/>
              </w:sdtPr>
              <w:sdtContent>
                <w:p>
                  <w:pPr>
                    <w:suppressAutoHyphens/>
                    <w:ind w:firstLine="567"/>
                    <w:jc w:val="both"/>
                    <w:rPr>
                      <w:color w:val="000000"/>
                    </w:rPr>
                  </w:pPr>
                  <w:sdt>
                    <w:sdtPr>
                      <w:alias w:val="Numeris"/>
                      <w:tag w:val="nr_a752c3d7659a41c5b35a1d085e1d443c"/>
                      <w:lock w:val="sdtLocked"/>
                      <w:richText/>
                    </w:sdtPr>
                    <w:sdtContent>
                      <w:r>
                        <w:rPr>
                          <w:color w:val="000000"/>
                        </w:rPr>
                        <w:t>11</w:t>
                      </w:r>
                    </w:sdtContent>
                  </w:sdt>
                  <w:r>
                    <w:rPr>
                      <w:color w:val="000000"/>
                    </w:rPr>
                    <w:t xml:space="preserve">. Juridiniai ir fiziniai asmenys, </w:t>
                  </w:r>
                  <w:r>
                    <w:rPr>
                      <w:shd w:val="clear" w:color="auto" w:fill="FFFFFF"/>
                      <w:lang w:eastAsia="lt-LT"/>
                    </w:rPr>
                    <w:t xml:space="preserve">Nuotekų filtravimo sistemų įrengimo aplinkosaugos taisyklėse, patvirtintose Lietuvos Respublikos </w:t>
                  </w:r>
                  <w:r>
                    <w:rPr>
                      <w:color w:val="000000"/>
                    </w:rPr>
                    <w:t xml:space="preserve">aplinkos ministro 2001 m. gegužės 9 d. įsakymu Nr. 252 </w:t>
                  </w:r>
                  <w:r>
                    <w:rPr>
                      <w:lang w:eastAsia="lt-LT"/>
                    </w:rPr>
                    <w:t>„</w:t>
                  </w:r>
                  <w:r>
                    <w:rPr>
                      <w:shd w:val="clear" w:color="auto" w:fill="FFFFFF"/>
                      <w:lang w:eastAsia="lt-LT"/>
                    </w:rPr>
                    <w:t>Dėl Nuotekų filtravimo sistemų įrengimo aplinkosaugos taisyklių patvirtinimo“,</w:t>
                  </w:r>
                  <w:r>
                    <w:rPr>
                      <w:color w:val="000000"/>
                    </w:rPr>
                    <w:t xml:space="preserve"> nustatytomis sąlygomis išleidžiantys nuotekas į gruntą, moka mokestį už visą į gruntą patenkantį teršalų kiekį.</w:t>
                  </w:r>
                </w:p>
              </w:sdtContent>
            </w:sdt>
            <w:sdt>
              <w:sdtPr>
                <w:alias w:val="12 p."/>
                <w:tag w:val="part_158401bedb9347bba9d104e0be982f4b"/>
                <w:lock w:val="sdtLocked"/>
                <w:richText/>
              </w:sdtPr>
              <w:sdtContent>
                <w:p>
                  <w:pPr>
                    <w:widowControl w:val="0"/>
                    <w:suppressAutoHyphens/>
                    <w:ind w:firstLine="567"/>
                    <w:jc w:val="both"/>
                    <w:rPr>
                      <w:color w:val="000000"/>
                    </w:rPr>
                  </w:pPr>
                  <w:sdt>
                    <w:sdtPr>
                      <w:alias w:val="Numeris"/>
                      <w:tag w:val="nr_158401bedb9347bba9d104e0be982f4b"/>
                      <w:lock w:val="sdtLocked"/>
                      <w:richText/>
                    </w:sdtPr>
                    <w:sdtContent>
                      <w:r>
                        <w:rPr>
                          <w:color w:val="000000"/>
                        </w:rPr>
                        <w:t>12</w:t>
                      </w:r>
                    </w:sdtContent>
                  </w:sdt>
                  <w:r>
                    <w:rPr>
                      <w:color w:val="000000"/>
                    </w:rPr>
                    <w:t xml:space="preserve">. Kai nuotekos, srutos ar skystosios atliekos (pavyzdžiui, pieno išrūgos, spirito žlaugtai, biologiškai skaidžios atliekos ir pan.) išlaistomos (paskleidžiamos) laukuose (plotuose) nepažeidžiant nustatytų mėšlo ir srutų tvarkymo bei tręšimo reikalavimų, nustatytų </w:t>
                  </w:r>
                  <w:r>
                    <w:rPr>
                      <w:color w:val="000000"/>
                      <w:lang w:eastAsia="lt-LT"/>
                    </w:rPr>
                    <w:t>Biologiškai skaidžių atliekų naudojimo tręšimui laikinųjų aplinkosauginių reikalavimų apraše, patvirtintame </w:t>
                  </w:r>
                  <w:r>
                    <w:rPr>
                      <w:color w:val="000000"/>
                    </w:rPr>
                    <w:t xml:space="preserve"> Lietuvos Respublikos aplinkos ministro 2011 m. balandžio 18 d. įsakymu Nr. D1-327 „Dėl Biologiškai skaidžių atliekų naudojimo tręšimui laikinųjų aplinkosauginių reikalavimų aprašo patvirtinimo“, už į vandens telkinius patenkantį teršalų kiekį ir į aplinkos orą išmestą teršalų kiekį iš laukuose išlaistytų srutų ir paskleisto mėšlo ar tręšimui panaudojus biologiškai skaidžias atliekas mokestis netaikomas.</w:t>
                  </w:r>
                </w:p>
              </w:sdtContent>
            </w:sdt>
            <w:sdt>
              <w:sdtPr>
                <w:alias w:val="13 p."/>
                <w:tag w:val="part_57f1f64986274a93a57ac56abb4a7243"/>
                <w:lock w:val="sdtLocked"/>
                <w:richText/>
              </w:sdtPr>
              <w:sdtContent>
                <w:p>
                  <w:pPr>
                    <w:widowControl w:val="0"/>
                    <w:ind w:firstLine="567"/>
                    <w:jc w:val="both"/>
                    <w:rPr>
                      <w:color w:val="000000"/>
                      <w:szCs w:val="24"/>
                      <w:lang w:eastAsia="lt-LT"/>
                    </w:rPr>
                  </w:pPr>
                  <w:sdt>
                    <w:sdtPr>
                      <w:alias w:val="Numeris"/>
                      <w:tag w:val="nr_57f1f64986274a93a57ac56abb4a7243"/>
                      <w:lock w:val="sdtLocked"/>
                      <w:richText/>
                    </w:sdtPr>
                    <w:sdtContent>
                      <w:r>
                        <w:rPr>
                          <w:color w:val="000000"/>
                          <w:szCs w:val="24"/>
                          <w:lang w:eastAsia="lt-LT"/>
                        </w:rPr>
                        <w:t>13</w:t>
                      </w:r>
                    </w:sdtContent>
                  </w:sdt>
                  <w:r>
                    <w:rPr>
                      <w:color w:val="000000"/>
                      <w:szCs w:val="24"/>
                      <w:lang w:eastAsia="lt-LT"/>
                    </w:rPr>
                    <w:t>. Mokestis už teršalus, išleidžiamus į vandens telkinius su paviršinėmis (lietaus) nuotekomis:</w:t>
                  </w:r>
                </w:p>
                <w:sdt>
                  <w:sdtPr>
                    <w:alias w:val="13.1 pp."/>
                    <w:tag w:val="part_3aabb01e21364f8bb12bd58e2ff34499"/>
                    <w:lock w:val="sdtLocked"/>
                    <w:richText/>
                  </w:sdtPr>
                  <w:sdtContent>
                    <w:p>
                      <w:pPr>
                        <w:tabs>
                          <w:tab w:val="left" w:pos="1276"/>
                        </w:tabs>
                        <w:suppressAutoHyphens/>
                        <w:ind w:firstLine="567"/>
                        <w:jc w:val="both"/>
                        <w:rPr>
                          <w:color w:val="000000"/>
                          <w:szCs w:val="24"/>
                          <w:lang w:eastAsia="lt-LT"/>
                        </w:rPr>
                      </w:pPr>
                      <w:r>
                        <w:rPr>
                          <w:color w:val="000000"/>
                          <w:lang w:eastAsia="zh-CN"/>
                        </w:rPr>
                        <w:t xml:space="preserve">13.1. už teršalų kiekį, neviršijantį TIPK leidime ar taršos leidime ir (arba) jo priede, kuriame nurodyti paviršinių nuotekų surinkimo sistemos abonentai, išleidimo su paviršinėmis nuotekomis per mokestinį laikotarpį normatyvų, apskaičiuojamas taip: mokestinio laikotarpio pabaigoje dauginant objektui nustatytą vidutinę metinę leidžiamą teršalo koncentraciją, </w:t>
                      </w:r>
                      <w:r>
                        <w:rPr>
                          <w:color w:val="000000"/>
                          <w:szCs w:val="24"/>
                          <w:lang w:eastAsia="zh-CN"/>
                        </w:rPr>
                        <w:t>kai</w:t>
                      </w:r>
                      <w:r>
                        <w:rPr>
                          <w:color w:val="000000"/>
                          <w:szCs w:val="24"/>
                          <w:shd w:val="clear" w:color="auto" w:fill="FFFFFF"/>
                          <w:lang w:eastAsia="zh-CN"/>
                        </w:rPr>
                        <w:t xml:space="preserve"> vidutinė metinė leidžiama teršalo koncentracija nenustatoma, objektui nustatytą</w:t>
                      </w:r>
                      <w:r>
                        <w:rPr>
                          <w:color w:val="000000"/>
                          <w:szCs w:val="24"/>
                          <w:lang w:eastAsia="zh-CN"/>
                        </w:rPr>
                        <w:t xml:space="preserve"> </w:t>
                      </w:r>
                      <w:r>
                        <w:rPr>
                          <w:color w:val="000000"/>
                          <w:szCs w:val="24"/>
                          <w:shd w:val="clear" w:color="auto" w:fill="FFFFFF"/>
                          <w:lang w:eastAsia="zh-CN"/>
                        </w:rPr>
                        <w:t xml:space="preserve">didžiausią momentinę </w:t>
                      </w:r>
                      <w:r>
                        <w:rPr>
                          <w:color w:val="000000"/>
                          <w:lang w:eastAsia="zh-CN"/>
                        </w:rPr>
                        <w:t>leidžiamą</w:t>
                      </w:r>
                      <w:r>
                        <w:rPr>
                          <w:color w:val="000000"/>
                          <w:szCs w:val="24"/>
                          <w:shd w:val="clear" w:color="auto" w:fill="FFFFFF"/>
                          <w:lang w:eastAsia="zh-CN"/>
                        </w:rPr>
                        <w:t xml:space="preserve"> teršalo koncentraciją</w:t>
                      </w:r>
                      <w:r>
                        <w:rPr>
                          <w:color w:val="000000"/>
                          <w:lang w:eastAsia="zh-CN"/>
                        </w:rPr>
                        <w:t xml:space="preserve"> arba laikinai leidžiamą teršalo koncentraciją iš faktiškai per tą laikotarpį išleisto nuotekų kiekio, pagal Tvarkos aprašo 4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sdtContent>
                </w:sdt>
                <w:sdt>
                  <w:sdtPr>
                    <w:alias w:val="13.2 pp."/>
                    <w:tag w:val="part_9721e7be7e724b3aa477bbac45581633"/>
                    <w:lock w:val="sdtLocked"/>
                    <w:richText/>
                  </w:sdtPr>
                  <w:sdtContent>
                    <w:p>
                      <w:pPr>
                        <w:widowControl w:val="0"/>
                        <w:suppressAutoHyphens/>
                        <w:ind w:firstLine="567"/>
                        <w:jc w:val="both"/>
                        <w:rPr>
                          <w:color w:val="000000"/>
                          <w:szCs w:val="24"/>
                          <w:lang w:eastAsia="lt-LT"/>
                        </w:rPr>
                      </w:pPr>
                      <w:sdt>
                        <w:sdtPr>
                          <w:alias w:val="Numeris"/>
                          <w:tag w:val="nr_9721e7be7e724b3aa477bbac45581633"/>
                          <w:lock w:val="sdtLocked"/>
                          <w:richText/>
                        </w:sdtPr>
                        <w:sdtContent>
                          <w:r>
                            <w:rPr>
                              <w:color w:val="000000"/>
                              <w:szCs w:val="24"/>
                              <w:lang w:eastAsia="lt-LT"/>
                            </w:rPr>
                            <w:t>13.2</w:t>
                          </w:r>
                        </w:sdtContent>
                      </w:sdt>
                      <w:r>
                        <w:rPr>
                          <w:color w:val="000000"/>
                          <w:szCs w:val="24"/>
                          <w:lang w:eastAsia="lt-LT"/>
                        </w:rPr>
                        <w:t>. už teršalų kiekį, viršijusį TIPK leidime ar taršos leidime ir (arba) jo priede, kuriame nurodyti paviršinių nuotekų surinkimo sistemos abonentai, išleidimo su paviršinėmis nuotekomis normatyvus, mokėtinas mokestis už metinio normatyvo viršijimą taikant didesnį tarifą apskaičiuojamas pagal Tvarkos aprašo 5 punktą.</w:t>
                      </w:r>
                    </w:p>
                  </w:sdtContent>
                </w:sdt>
              </w:sdtContent>
            </w:sdt>
            <w:sdt>
              <w:sdtPr>
                <w:alias w:val="14 p."/>
                <w:tag w:val="part_e66be2ae746f4ccfbe8f1b99c434a4e3"/>
                <w:lock w:val="sdtLocked"/>
                <w:richText/>
              </w:sdtPr>
              <w:sdtContent>
                <w:p>
                  <w:pPr>
                    <w:widowControl w:val="0"/>
                    <w:suppressAutoHyphens/>
                    <w:ind w:firstLine="567"/>
                    <w:jc w:val="both"/>
                    <w:rPr>
                      <w:color w:val="000000"/>
                    </w:rPr>
                  </w:pPr>
                  <w:sdt>
                    <w:sdtPr>
                      <w:alias w:val="Numeris"/>
                      <w:tag w:val="nr_e66be2ae746f4ccfbe8f1b99c434a4e3"/>
                      <w:lock w:val="sdtLocked"/>
                      <w:richText/>
                    </w:sdtPr>
                    <w:sdtContent>
                      <w:r>
                        <w:rPr>
                          <w:color w:val="000000"/>
                        </w:rPr>
                        <w:t>14</w:t>
                      </w:r>
                    </w:sdtContent>
                  </w:sdt>
                  <w:r>
                    <w:rPr>
                      <w:color w:val="000000"/>
                    </w:rPr>
                    <w:t>. Pasibaigus mokestiniam laikotarpiui, išleistas su paviršinėmis nuotekomis teršalų kiekis tonomis per metus apskaičiuojamas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Q = (W</w:t>
                  </w:r>
                  <w:r>
                    <w:rPr>
                      <w:color w:val="000000"/>
                      <w:vertAlign w:val="subscript"/>
                    </w:rPr>
                    <w:t>f</w:t>
                  </w:r>
                  <w:r>
                    <w:rPr>
                      <w:color w:val="000000"/>
                    </w:rPr>
                    <w:t xml:space="preserve"> x C</w:t>
                  </w:r>
                  <w:r>
                    <w:rPr>
                      <w:color w:val="000000"/>
                      <w:vertAlign w:val="subscript"/>
                    </w:rPr>
                    <w:t>f</w:t>
                  </w:r>
                  <w:r>
                    <w:rPr>
                      <w:color w:val="000000"/>
                    </w:rPr>
                    <w:t>) / (1000 x 1000)</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rPr>
                    <w:t xml:space="preserve">Q – </w:t>
                  </w:r>
                  <w:r>
                    <w:rPr>
                      <w:color w:val="000000"/>
                      <w:spacing w:val="-6"/>
                      <w:szCs w:val="24"/>
                    </w:rPr>
                    <w:t>faktinis per mokestinį laikotarpį su paviršinėmis nuotekomis išleistas į vandens telkinius, žemės paviršių ir jos gelmes atitinkamo teršalo kiekis (t);</w:t>
                  </w:r>
                </w:p>
                <w:p>
                  <w:pPr>
                    <w:widowControl w:val="0"/>
                    <w:suppressAutoHyphens/>
                    <w:ind w:firstLine="567"/>
                    <w:jc w:val="both"/>
                    <w:rPr>
                      <w:color w:val="000000"/>
                    </w:rPr>
                  </w:pPr>
                  <w:r>
                    <w:rPr>
                      <w:color w:val="000000"/>
                    </w:rPr>
                    <w:t>C</w:t>
                  </w:r>
                  <w:r>
                    <w:rPr>
                      <w:color w:val="000000"/>
                      <w:vertAlign w:val="subscript"/>
                    </w:rPr>
                    <w:t>f</w:t>
                  </w:r>
                  <w:r>
                    <w:rPr>
                      <w:color w:val="000000"/>
                    </w:rPr>
                    <w:t xml:space="preserve"> – atitinkamų teršalų faktinė vidutinė mokestinio laikotarpio koncentracija (mg/l), nustatoma vertinant visų matavimų vidurkį; neturint reikiamo matavimų skaičiaus, vidutinei mokestinio laikotarpio teršalo koncentracijai nustatyti naudojamas arba prilyginamas vidutinei mokestinio laikotarpio koncentracijai </w:t>
                  </w:r>
                  <w:r>
                    <w:rPr>
                      <w:lang w:eastAsia="lt-LT"/>
                    </w:rPr>
                    <w:t>TIPK leidime ar taršos leidime nustatytas teršalo normatyvas</w:t>
                  </w:r>
                  <w:r>
                    <w:rPr>
                      <w:color w:val="000000"/>
                    </w:rPr>
                    <w:t xml:space="preserve"> (mg/l);</w:t>
                  </w:r>
                </w:p>
                <w:p>
                  <w:pPr>
                    <w:widowControl w:val="0"/>
                    <w:suppressAutoHyphens/>
                    <w:ind w:firstLine="567"/>
                    <w:jc w:val="both"/>
                    <w:rPr>
                      <w:color w:val="000000"/>
                    </w:rPr>
                  </w:pPr>
                  <w:r>
                    <w:rPr>
                      <w:color w:val="000000"/>
                    </w:rPr>
                    <w:t>W</w:t>
                  </w:r>
                  <w:r>
                    <w:rPr>
                      <w:color w:val="000000"/>
                      <w:vertAlign w:val="subscript"/>
                    </w:rPr>
                    <w:t>f</w:t>
                  </w:r>
                  <w:r>
                    <w:rPr>
                      <w:color w:val="000000"/>
                    </w:rPr>
                    <w:t xml:space="preserve"> – faktinis paviršinių nuotekų kiekis (m</w:t>
                  </w:r>
                  <w:r>
                    <w:rPr>
                      <w:color w:val="000000"/>
                      <w:vertAlign w:val="superscript"/>
                    </w:rPr>
                    <w:t>3</w:t>
                  </w:r>
                  <w:r>
                    <w:rPr>
                      <w:color w:val="000000"/>
                    </w:rPr>
                    <w:t xml:space="preserve">/m.), matuojamas apskaitos prietaisais; kai jų nėra, apskaičiuojamas </w:t>
                  </w:r>
                  <w:r>
                    <w:rPr>
                      <w:color w:val="000000"/>
                      <w:spacing w:val="-6"/>
                      <w:szCs w:val="24"/>
                    </w:rPr>
                    <w:t>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W</w:t>
                  </w:r>
                  <w:r>
                    <w:rPr>
                      <w:color w:val="000000"/>
                      <w:vertAlign w:val="subscript"/>
                    </w:rPr>
                    <w:t>f</w:t>
                  </w:r>
                  <w:r>
                    <w:rPr>
                      <w:color w:val="000000"/>
                    </w:rPr>
                    <w:t xml:space="preserve"> = 10 x H</w:t>
                  </w:r>
                  <w:r>
                    <w:rPr>
                      <w:color w:val="000000"/>
                      <w:vertAlign w:val="subscript"/>
                    </w:rPr>
                    <w:t>f</w:t>
                  </w:r>
                  <w:r>
                    <w:rPr>
                      <w:color w:val="000000"/>
                    </w:rPr>
                    <w:t xml:space="preserve"> x ps x F x K</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rPr>
                    <w:t>H</w:t>
                  </w:r>
                  <w:r>
                    <w:rPr>
                      <w:color w:val="000000"/>
                      <w:vertAlign w:val="subscript"/>
                    </w:rPr>
                    <w:t>f</w:t>
                  </w:r>
                  <w:r>
                    <w:rPr>
                      <w:color w:val="000000"/>
                    </w:rPr>
                    <w:t xml:space="preserve"> – </w:t>
                  </w:r>
                  <w:r>
                    <w:rPr>
                      <w:color w:val="000000"/>
                      <w:lang w:eastAsia="lt-LT"/>
                    </w:rPr>
                    <w:t>faktinis metinis kritulių kiekis (mm) (pagal Lietuvos hidrometeorologijos tarnybos prie Aplinkos ministerijos duomenis)</w:t>
                  </w:r>
                  <w:r>
                    <w:rPr>
                      <w:color w:val="000000"/>
                    </w:rPr>
                    <w:t>;</w:t>
                  </w:r>
                </w:p>
                <w:p>
                  <w:pPr>
                    <w:widowControl w:val="0"/>
                    <w:suppressAutoHyphens/>
                    <w:ind w:firstLine="567"/>
                    <w:jc w:val="both"/>
                    <w:rPr>
                      <w:color w:val="000000"/>
                      <w:lang w:val="fr-FR"/>
                    </w:rPr>
                  </w:pPr>
                  <w:r>
                    <w:rPr>
                      <w:color w:val="000000"/>
                    </w:rPr>
                    <w:t>ps – paviršinio nuotėkio koeficientas:</w:t>
                  </w:r>
                </w:p>
                <w:p>
                  <w:pPr>
                    <w:widowControl w:val="0"/>
                    <w:suppressAutoHyphens/>
                    <w:ind w:firstLine="567"/>
                    <w:jc w:val="both"/>
                    <w:rPr>
                      <w:color w:val="000000"/>
                      <w:lang w:val="fr-FR"/>
                    </w:rPr>
                  </w:pPr>
                  <w:r>
                    <w:rPr>
                      <w:color w:val="000000"/>
                    </w:rPr>
                    <w:t>ps=0,85 – stogų dangoms;</w:t>
                  </w:r>
                </w:p>
                <w:p>
                  <w:pPr>
                    <w:widowControl w:val="0"/>
                    <w:suppressAutoHyphens/>
                    <w:ind w:firstLine="567"/>
                    <w:jc w:val="both"/>
                    <w:rPr>
                      <w:color w:val="000000"/>
                      <w:lang w:val="fr-FR"/>
                    </w:rPr>
                  </w:pPr>
                  <w:r>
                    <w:rPr>
                      <w:color w:val="000000"/>
                    </w:rPr>
                    <w:t>ps=0,83 – kietoms, vandeniui nelaidžioms, dangoms;</w:t>
                  </w:r>
                </w:p>
                <w:p>
                  <w:pPr>
                    <w:widowControl w:val="0"/>
                    <w:suppressAutoHyphens/>
                    <w:ind w:firstLine="567"/>
                    <w:jc w:val="both"/>
                    <w:rPr>
                      <w:color w:val="000000"/>
                      <w:lang w:val="fr-FR"/>
                    </w:rPr>
                  </w:pPr>
                  <w:r>
                    <w:rPr>
                      <w:color w:val="000000"/>
                    </w:rPr>
                    <w:t>ps=0,78 – akmenų grindiniui;</w:t>
                  </w:r>
                </w:p>
                <w:p>
                  <w:pPr>
                    <w:widowControl w:val="0"/>
                    <w:suppressAutoHyphens/>
                    <w:ind w:firstLine="567"/>
                    <w:jc w:val="both"/>
                    <w:rPr>
                      <w:color w:val="000000"/>
                      <w:lang w:val="fr-FR"/>
                    </w:rPr>
                  </w:pPr>
                  <w:r>
                    <w:rPr>
                      <w:color w:val="000000"/>
                    </w:rPr>
                    <w:t>ps=0,4 – iš dalies vandeniui laidiems paviršiams (pavyzdžiui, sutankintas gruntas, žvyras, skalda, ir pan.);</w:t>
                  </w:r>
                </w:p>
                <w:p>
                  <w:pPr>
                    <w:widowControl w:val="0"/>
                    <w:suppressAutoHyphens/>
                    <w:ind w:firstLine="567"/>
                    <w:jc w:val="both"/>
                    <w:rPr>
                      <w:color w:val="000000"/>
                      <w:lang w:val="fr-FR"/>
                    </w:rPr>
                  </w:pPr>
                  <w:r>
                    <w:rPr>
                      <w:color w:val="000000"/>
                    </w:rPr>
                    <w:t>ps=0,2 – žaliesiems plotams (pavyzdžiui, pievos, vejos, gėlynai ir pan.), kuriuose įrengta vandens surinkimo infrastruktūra;</w:t>
                  </w:r>
                </w:p>
                <w:p>
                  <w:pPr>
                    <w:widowControl w:val="0"/>
                    <w:suppressAutoHyphens/>
                    <w:ind w:firstLine="567"/>
                    <w:jc w:val="both"/>
                    <w:rPr>
                      <w:color w:val="000000"/>
                      <w:lang w:val="fr-FR"/>
                    </w:rPr>
                  </w:pPr>
                  <w:r>
                    <w:rPr>
                      <w:color w:val="000000"/>
                    </w:rPr>
                    <w:t>ps=0,8 – koeficientas taikomas, kai nežinomas paviršiaus tipas ir konkretaus paviršiaus plotas;</w:t>
                  </w:r>
                </w:p>
                <w:p>
                  <w:pPr>
                    <w:widowControl w:val="0"/>
                    <w:suppressAutoHyphens/>
                    <w:ind w:firstLine="567"/>
                    <w:jc w:val="both"/>
                    <w:rPr>
                      <w:color w:val="000000"/>
                      <w:lang w:val="fr-FR"/>
                    </w:rPr>
                  </w:pPr>
                  <w:r>
                    <w:rPr>
                      <w:color w:val="000000"/>
                    </w:rPr>
                    <w:t>F – teritorijos plotas, išskyrus žaliuosius plotus, kuriuose neįrengta vandens surinkimo infrastruktūra, ir žemės ūkio naudmenas (ha);</w:t>
                  </w:r>
                </w:p>
                <w:p>
                  <w:pPr>
                    <w:widowControl w:val="0"/>
                    <w:suppressAutoHyphens/>
                    <w:ind w:firstLine="567"/>
                    <w:jc w:val="both"/>
                    <w:rPr>
                      <w:color w:val="000000"/>
                    </w:rPr>
                  </w:pPr>
                  <w:r>
                    <w:rPr>
                      <w:color w:val="000000"/>
                    </w:rPr>
                    <w:t>K – paviršinio nuotėkio koeficientas atsižvelgiant į tai, ar iš teritorijos pašalinamas sniegas. Jei sniegas pašalinamas, – K= 0,85, jei nešalinamas, – K = 1.</w:t>
                  </w:r>
                </w:p>
                <w:p>
                  <w:pPr>
                    <w:widowControl w:val="0"/>
                    <w:suppressAutoHyphens/>
                    <w:jc w:val="both"/>
                    <w:rPr>
                      <w:color w:val="000000"/>
                    </w:rPr>
                  </w:pPr>
                </w:p>
              </w:sdtContent>
            </w:sdt>
          </w:sdtContent>
        </w:sdt>
        <w:sdt>
          <w:sdtPr>
            <w:alias w:val="skyrius"/>
            <w:tag w:val="part_08c66b73982d493db63a6e9344559b33"/>
            <w:lock w:val="sdtLocked"/>
            <w:richText/>
          </w:sdtPr>
          <w:sdtContent>
            <w:p>
              <w:pPr>
                <w:widowControl w:val="0"/>
                <w:suppressAutoHyphens/>
                <w:ind w:firstLine="567"/>
                <w:jc w:val="center"/>
                <w:rPr>
                  <w:b/>
                  <w:color w:val="000000"/>
                  <w:szCs w:val="24"/>
                </w:rPr>
              </w:pPr>
              <w:sdt>
                <w:sdtPr>
                  <w:alias w:val="Numeris"/>
                  <w:tag w:val="nr_08c66b73982d493db63a6e9344559b33"/>
                  <w:lock w:val="sdtLocked"/>
                  <w:richText/>
                </w:sdtPr>
                <w:sdtContent>
                  <w:r>
                    <w:rPr>
                      <w:b/>
                      <w:color w:val="000000"/>
                      <w:szCs w:val="24"/>
                    </w:rPr>
                    <w:t>III</w:t>
                  </w:r>
                </w:sdtContent>
              </w:sdt>
              <w:r>
                <w:rPr>
                  <w:b/>
                  <w:color w:val="000000"/>
                  <w:szCs w:val="24"/>
                </w:rPr>
                <w:t xml:space="preserve"> SKYRIUS</w:t>
              </w:r>
            </w:p>
            <w:p>
              <w:pPr>
                <w:ind w:firstLine="567"/>
                <w:jc w:val="center"/>
                <w:rPr>
                  <w:color w:val="000000"/>
                  <w:szCs w:val="24"/>
                </w:rPr>
              </w:pPr>
              <w:sdt>
                <w:sdtPr>
                  <w:alias w:val="Pavadinimas"/>
                  <w:tag w:val="title_08c66b73982d493db63a6e9344559b33"/>
                  <w:lock w:val="sdtLocked"/>
                  <w:richText/>
                </w:sdtPr>
                <w:sdtContent>
                  <w:r>
                    <w:rPr>
                      <w:b/>
                      <w:color w:val="000000"/>
                      <w:szCs w:val="24"/>
                    </w:rPr>
                    <w:t>MOKESČIO UŽ NUSLĖPTĄ TARŠĄ APSKAIČIAVIMAS</w:t>
                  </w:r>
                </w:sdtContent>
              </w:sdt>
            </w:p>
            <w:p>
              <w:pPr>
                <w:widowControl w:val="0"/>
                <w:suppressAutoHyphens/>
                <w:ind w:firstLine="567"/>
                <w:jc w:val="both"/>
                <w:rPr>
                  <w:color w:val="000000"/>
                  <w:spacing w:val="-3"/>
                </w:rPr>
              </w:pPr>
            </w:p>
            <w:sdt>
              <w:sdtPr>
                <w:alias w:val="15 p."/>
                <w:tag w:val="part_a5ee711a4d3849d6af9da7ae8a91b80d"/>
                <w:lock w:val="sdtLocked"/>
                <w:richText/>
              </w:sdtPr>
              <w:sdtContent>
                <w:p>
                  <w:pPr>
                    <w:tabs>
                      <w:tab w:val="left" w:pos="6140"/>
                    </w:tabs>
                    <w:suppressAutoHyphens/>
                    <w:ind w:firstLine="567"/>
                    <w:jc w:val="both"/>
                    <w:textAlignment w:val="center"/>
                    <w:rPr>
                      <w:color w:val="000000"/>
                      <w:szCs w:val="24"/>
                    </w:rPr>
                  </w:pPr>
                  <w:sdt>
                    <w:sdtPr>
                      <w:alias w:val="Numeris"/>
                      <w:tag w:val="nr_a5ee711a4d3849d6af9da7ae8a91b80d"/>
                      <w:lock w:val="sdtLocked"/>
                      <w:richText/>
                    </w:sdtPr>
                    <w:sdtContent>
                      <w:r>
                        <w:rPr>
                          <w:color w:val="000000"/>
                          <w:lang w:eastAsia="zh-CN"/>
                        </w:rPr>
                        <w:t>15</w:t>
                      </w:r>
                    </w:sdtContent>
                  </w:sdt>
                  <w:r>
                    <w:rPr>
                      <w:color w:val="000000"/>
                      <w:lang w:eastAsia="zh-CN"/>
                    </w:rPr>
                    <w:t>. Mokestis už nuslėptą taršą iš stacionariųjų taršos šaltinių, kai turėdamas TIPK leidimą ar taršos leidimą arba eksploatuodamas privalomą įregistruoti organinius tirpiklius naudojantį įrenginį, mokesčio mokėtojas nedeklaravo ar deklaravo mažesnį už išmestą ar išleistą į aplinką atitinkamo teršalo kiekį, ir (ar) kai eksploatavo neįregistruotą privalomą įregistruoti organinius tirpiklius naudojantį įrenginį, apskaičiuojamas 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sdt>
                  <w:sdtPr>
                    <w:alias w:val="15.1 pp."/>
                    <w:tag w:val="part_cdd37a6247b945a3b66be40367780529"/>
                    <w:lock w:val="sdtLocked"/>
                    <w:richText/>
                  </w:sdtPr>
                  <w:sdtContent>
                    <w:p>
                      <w:pPr>
                        <w:tabs>
                          <w:tab w:val="left" w:pos="6140"/>
                        </w:tabs>
                        <w:suppressAutoHyphens/>
                        <w:ind w:firstLine="567"/>
                        <w:jc w:val="both"/>
                        <w:textAlignment w:val="center"/>
                        <w:rPr>
                          <w:color w:val="000000"/>
                          <w:szCs w:val="24"/>
                        </w:rPr>
                      </w:pPr>
                      <w:sdt>
                        <w:sdtPr>
                          <w:alias w:val="Numeris"/>
                          <w:tag w:val="nr_cdd37a6247b945a3b66be40367780529"/>
                          <w:lock w:val="sdtLocked"/>
                          <w:richText/>
                        </w:sdtPr>
                        <w:sdtContent>
                          <w:r>
                            <w:rPr>
                              <w:color w:val="000000"/>
                              <w:szCs w:val="24"/>
                            </w:rPr>
                            <w:t>15.1</w:t>
                          </w:r>
                        </w:sdtContent>
                      </w:sdt>
                      <w:r>
                        <w:rPr>
                          <w:color w:val="000000"/>
                          <w:szCs w:val="24"/>
                        </w:rPr>
                        <w:t xml:space="preserve">. </w:t>
                      </w:r>
                      <w:r>
                        <w:rPr>
                          <w:color w:val="000000"/>
                        </w:rPr>
                        <w:t xml:space="preserve">teršalo kiekiui, neviršijusiam TIPK leidime ar taršos leidime nustatyto normatyvo, pagal formulę: </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 T × I × [k] ×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tabs>
                          <w:tab w:val="left" w:pos="6140"/>
                        </w:tabs>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ind w:firstLine="567"/>
                        <w:jc w:val="both"/>
                        <w:rPr>
                          <w:szCs w:val="24"/>
                          <w:lang w:eastAsia="lt-LT"/>
                        </w:rPr>
                      </w:pPr>
                      <w:r>
                        <w:rPr>
                          <w:szCs w:val="24"/>
                          <w:lang w:eastAsia="lt-LT"/>
                        </w:rPr>
                        <w:t>Q</w:t>
                      </w:r>
                      <w:r>
                        <w:rPr>
                          <w:szCs w:val="24"/>
                          <w:vertAlign w:val="subscript"/>
                          <w:lang w:eastAsia="lt-LT"/>
                        </w:rPr>
                        <w:t>NUS</w:t>
                      </w:r>
                      <w:r>
                        <w:rPr>
                          <w:szCs w:val="24"/>
                          <w:lang w:eastAsia="lt-LT"/>
                        </w:rPr>
                        <w:t xml:space="preserve"> – mokesčio mokėtojo per mokestinį laikotarpį į aplinką išmestas ar išleistas atitinkamo teršalo nedeklaruotas kiekis (t);</w:t>
                      </w:r>
                    </w:p>
                    <w:p>
                      <w:pPr>
                        <w:widowControl w:val="0"/>
                        <w:ind w:firstLine="567"/>
                        <w:jc w:val="both"/>
                        <w:rPr>
                          <w:color w:val="000000"/>
                          <w:szCs w:val="24"/>
                          <w:lang w:eastAsia="lt-LT"/>
                        </w:rPr>
                      </w:pPr>
                      <w:r>
                        <w:rPr>
                          <w:color w:val="000000"/>
                          <w:spacing w:val="-6"/>
                          <w:szCs w:val="24"/>
                        </w:rPr>
                        <w:t>T – teršalo tarifas, nustatytas Mokesčio už aplinkos teršimą įstatymo 1 priede;</w:t>
                      </w:r>
                    </w:p>
                    <w:p>
                      <w:pPr>
                        <w:ind w:firstLine="567"/>
                        <w:jc w:val="both"/>
                        <w:rPr>
                          <w:szCs w:val="24"/>
                          <w:lang w:eastAsia="lt-LT"/>
                        </w:rPr>
                      </w:pPr>
                      <w:r>
                        <w:rPr>
                          <w:color w:val="000000"/>
                          <w:spacing w:val="-6"/>
                          <w:szCs w:val="24"/>
                        </w:rPr>
                        <w:t>I – mokestinio laikotarpio indeksavimo koeficientas;</w:t>
                      </w:r>
                    </w:p>
                    <w:p>
                      <w:pPr>
                        <w:widowControl w:val="0"/>
                        <w:ind w:firstLine="567"/>
                        <w:jc w:val="both"/>
                        <w:rPr>
                          <w:color w:val="000000"/>
                          <w:szCs w:val="24"/>
                          <w:lang w:eastAsia="lt-LT"/>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sdtContent>
                </w:sdt>
                <w:sdt>
                  <w:sdtPr>
                    <w:alias w:val="15.2 pp."/>
                    <w:tag w:val="part_42943e7d0d6444a18ac26a69aa9fc8fc"/>
                    <w:lock w:val="sdtLocked"/>
                    <w:richText/>
                  </w:sdtPr>
                  <w:sdtContent>
                    <w:p>
                      <w:pPr>
                        <w:tabs>
                          <w:tab w:val="left" w:pos="6140"/>
                        </w:tabs>
                        <w:suppressAutoHyphens/>
                        <w:ind w:firstLine="567"/>
                        <w:jc w:val="both"/>
                        <w:textAlignment w:val="center"/>
                        <w:rPr>
                          <w:color w:val="000000"/>
                          <w:szCs w:val="24"/>
                        </w:rPr>
                      </w:pPr>
                      <w:sdt>
                        <w:sdtPr>
                          <w:alias w:val="Numeris"/>
                          <w:tag w:val="nr_42943e7d0d6444a18ac26a69aa9fc8fc"/>
                          <w:lock w:val="sdtLocked"/>
                          <w:richText/>
                        </w:sdtPr>
                        <w:sdtContent>
                          <w:r>
                            <w:rPr>
                              <w:color w:val="000000"/>
                            </w:rPr>
                            <w:t>15.2</w:t>
                          </w:r>
                        </w:sdtContent>
                      </w:sdt>
                      <w:r>
                        <w:rPr>
                          <w:color w:val="000000"/>
                        </w:rPr>
                        <w:t>. teršalo kiekiui, viršytam TIPK leidime ar taršos leidime šiam teršalui nustatytą normatyvą, pagal formulę</w:t>
                      </w:r>
                      <w:r>
                        <w:rPr>
                          <w:color w:val="000000"/>
                          <w:szCs w:val="24"/>
                        </w:rPr>
                        <w:t>:</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 T</w:t>
                      </w:r>
                      <w:r>
                        <w:rPr>
                          <w:color w:val="000000"/>
                          <w:szCs w:val="24"/>
                          <w:vertAlign w:val="subscript"/>
                        </w:rPr>
                        <w:t>b</w:t>
                      </w:r>
                      <w:r>
                        <w:rPr>
                          <w:color w:val="000000"/>
                          <w:szCs w:val="24"/>
                        </w:rPr>
                        <w:t xml:space="preserve"> × I × [k] × 2</w:t>
                      </w:r>
                    </w:p>
                    <w:p>
                      <w:pPr>
                        <w:suppressAutoHyphens/>
                        <w:ind w:firstLine="567"/>
                        <w:jc w:val="both"/>
                        <w:textAlignment w:val="center"/>
                        <w:rPr>
                          <w:color w:val="000000"/>
                        </w:rPr>
                      </w:pPr>
                    </w:p>
                    <w:p>
                      <w:pPr>
                        <w:suppressAutoHyphens/>
                        <w:ind w:firstLine="567"/>
                        <w:jc w:val="both"/>
                        <w:textAlignment w:val="center"/>
                        <w:rPr>
                          <w:color w:val="000000"/>
                          <w:szCs w:val="24"/>
                        </w:rPr>
                      </w:pPr>
                      <w:r>
                        <w:rPr>
                          <w:color w:val="000000"/>
                        </w:rPr>
                        <w:t>kur:</w:t>
                      </w:r>
                    </w:p>
                    <w:p>
                      <w:pPr>
                        <w:widowControl w:val="0"/>
                        <w:ind w:firstLine="567"/>
                        <w:jc w:val="both"/>
                        <w:rPr>
                          <w:color w:val="000000"/>
                          <w:szCs w:val="24"/>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widowControl w:val="0"/>
                        <w:ind w:firstLine="567"/>
                        <w:jc w:val="both"/>
                        <w:rPr>
                          <w:color w:val="000000"/>
                          <w:spacing w:val="-6"/>
                          <w:szCs w:val="24"/>
                        </w:rPr>
                      </w:pPr>
                      <w:r>
                        <w:rPr>
                          <w:szCs w:val="24"/>
                          <w:lang w:eastAsia="lt-LT"/>
                        </w:rPr>
                        <w:t>Q</w:t>
                      </w:r>
                      <w:r>
                        <w:rPr>
                          <w:szCs w:val="24"/>
                          <w:vertAlign w:val="subscript"/>
                          <w:lang w:eastAsia="lt-LT"/>
                        </w:rPr>
                        <w:t>NUS</w:t>
                      </w:r>
                      <w:r>
                        <w:rPr>
                          <w:szCs w:val="24"/>
                          <w:lang w:eastAsia="lt-LT"/>
                        </w:rPr>
                        <w:t xml:space="preserve"> – mokesčio mokėtojo per mokestinį laikotarpį į aplinką išmestas ar išleistas atitinkamo teršalo nedeklaruotas  normatyvą viršijantis kiekis (t);</w:t>
                      </w:r>
                    </w:p>
                    <w:p>
                      <w:pPr>
                        <w:widowControl w:val="0"/>
                        <w:ind w:firstLine="567"/>
                        <w:jc w:val="both"/>
                        <w:rPr>
                          <w:color w:val="000000"/>
                          <w:szCs w:val="24"/>
                          <w:lang w:eastAsia="lt-LT"/>
                        </w:rPr>
                      </w:pPr>
                      <w:r>
                        <w:rPr>
                          <w:color w:val="000000"/>
                          <w:szCs w:val="24"/>
                          <w:lang w:eastAsia="lt-LT"/>
                        </w:rPr>
                        <w:t>T</w:t>
                      </w:r>
                      <w:r>
                        <w:rPr>
                          <w:color w:val="000000"/>
                          <w:szCs w:val="24"/>
                          <w:vertAlign w:val="subscript"/>
                          <w:lang w:eastAsia="lt-LT"/>
                        </w:rPr>
                        <w:t>b</w:t>
                      </w:r>
                      <w:r>
                        <w:rPr>
                          <w:color w:val="000000"/>
                          <w:szCs w:val="24"/>
                          <w:lang w:eastAsia="lt-LT"/>
                        </w:rPr>
                        <w:t xml:space="preserve"> – teršalo tarifas, nustatytas Mokesčio už aplinkos teršimą įstatymo 2 priede;</w:t>
                      </w:r>
                    </w:p>
                    <w:p>
                      <w:pPr>
                        <w:suppressAutoHyphens/>
                        <w:ind w:firstLine="567"/>
                        <w:jc w:val="both"/>
                        <w:textAlignment w:val="center"/>
                        <w:rPr>
                          <w:color w:val="000000"/>
                          <w:spacing w:val="-6"/>
                          <w:szCs w:val="24"/>
                        </w:rPr>
                      </w:pPr>
                      <w:r>
                        <w:rPr>
                          <w:color w:val="000000"/>
                          <w:spacing w:val="-6"/>
                          <w:szCs w:val="24"/>
                        </w:rPr>
                        <w:t>I – mokestinio laikotarpio indeksavimo koeficientas;</w:t>
                      </w:r>
                    </w:p>
                    <w:p>
                      <w:pPr>
                        <w:suppressAutoHyphens/>
                        <w:ind w:firstLine="567"/>
                        <w:jc w:val="both"/>
                        <w:textAlignment w:val="center"/>
                        <w:rPr>
                          <w:color w:val="000000"/>
                          <w:spacing w:val="-3"/>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sdtContent>
                </w:sdt>
                <w:sdt>
                  <w:sdtPr>
                    <w:alias w:val="15.3 pp."/>
                    <w:tag w:val="part_48e830274f4c41e292d57b18a767469d"/>
                    <w:lock w:val="sdtLocked"/>
                    <w:richText/>
                  </w:sdtPr>
                  <w:sdtContent>
                    <w:p>
                      <w:pPr>
                        <w:suppressAutoHyphens/>
                        <w:ind w:firstLine="567"/>
                        <w:jc w:val="both"/>
                        <w:textAlignment w:val="center"/>
                        <w:rPr>
                          <w:color w:val="000000"/>
                          <w:szCs w:val="24"/>
                          <w:lang w:eastAsia="zh-CN"/>
                        </w:rPr>
                      </w:pPr>
                      <w:sdt>
                        <w:sdtPr>
                          <w:alias w:val="Numeris"/>
                          <w:tag w:val="nr_48e830274f4c41e292d57b18a767469d"/>
                          <w:lock w:val="sdtLocked"/>
                          <w:richText/>
                        </w:sdtPr>
                        <w:sdtContent>
                          <w:r>
                            <w:rPr>
                              <w:color w:val="000000"/>
                              <w:szCs w:val="24"/>
                              <w:lang w:eastAsia="zh-CN"/>
                            </w:rPr>
                            <w:t>15.3</w:t>
                          </w:r>
                        </w:sdtContent>
                      </w:sdt>
                      <w:r>
                        <w:rPr>
                          <w:color w:val="000000"/>
                          <w:szCs w:val="24"/>
                          <w:lang w:eastAsia="zh-CN"/>
                        </w:rPr>
                        <w:t>. teršalo kiekiui, išmestam į aplinkos orą per mokestinį laikotarpį, kai eksploatuotas privalomas įregistruoti organinius tirpiklius naudojantis įrenginys, pagal formulę:</w:t>
                      </w:r>
                    </w:p>
                    <w:p>
                      <w:pPr>
                        <w:suppressAutoHyphens/>
                        <w:ind w:firstLine="567"/>
                        <w:jc w:val="both"/>
                        <w:textAlignment w:val="center"/>
                        <w:rPr>
                          <w:color w:val="000000"/>
                          <w:szCs w:val="24"/>
                          <w:lang w:eastAsia="zh-CN"/>
                        </w:rPr>
                      </w:pPr>
                    </w:p>
                    <w:p>
                      <w:pPr>
                        <w:suppressAutoHyphens/>
                        <w:ind w:firstLine="567"/>
                        <w:jc w:val="both"/>
                        <w:textAlignment w:val="center"/>
                        <w:rPr>
                          <w:color w:val="000000"/>
                          <w:szCs w:val="24"/>
                          <w:lang w:eastAsia="zh-CN"/>
                        </w:rPr>
                      </w:pPr>
                      <w:r>
                        <w:rPr>
                          <w:color w:val="000000"/>
                          <w:szCs w:val="24"/>
                          <w:lang w:eastAsia="zh-CN"/>
                        </w:rPr>
                        <w:t>M</w:t>
                      </w:r>
                      <w:r>
                        <w:rPr>
                          <w:color w:val="000000"/>
                          <w:szCs w:val="24"/>
                          <w:vertAlign w:val="subscript"/>
                          <w:lang w:eastAsia="zh-CN"/>
                        </w:rPr>
                        <w:t>NUS</w:t>
                      </w:r>
                      <w:r>
                        <w:rPr>
                          <w:color w:val="000000"/>
                          <w:szCs w:val="24"/>
                          <w:lang w:eastAsia="zh-CN"/>
                        </w:rPr>
                        <w:t>= Q</w:t>
                      </w:r>
                      <w:r>
                        <w:rPr>
                          <w:color w:val="000000"/>
                          <w:szCs w:val="24"/>
                          <w:vertAlign w:val="subscript"/>
                          <w:lang w:eastAsia="zh-CN"/>
                        </w:rPr>
                        <w:t>NUS</w:t>
                      </w:r>
                      <w:r>
                        <w:rPr>
                          <w:color w:val="000000"/>
                          <w:szCs w:val="24"/>
                          <w:lang w:eastAsia="zh-CN"/>
                        </w:rPr>
                        <w:t>× T × I × 2</w:t>
                      </w:r>
                    </w:p>
                    <w:p>
                      <w:pPr>
                        <w:suppressAutoHyphens/>
                        <w:ind w:firstLine="567"/>
                        <w:jc w:val="both"/>
                        <w:textAlignment w:val="center"/>
                        <w:rPr>
                          <w:color w:val="000000"/>
                          <w:szCs w:val="24"/>
                          <w:lang w:eastAsia="zh-CN"/>
                        </w:rPr>
                      </w:pPr>
                    </w:p>
                    <w:p>
                      <w:pPr>
                        <w:suppressAutoHyphens/>
                        <w:ind w:firstLine="567"/>
                        <w:jc w:val="both"/>
                        <w:textAlignment w:val="center"/>
                        <w:rPr>
                          <w:color w:val="000000"/>
                          <w:szCs w:val="24"/>
                          <w:lang w:eastAsia="zh-CN"/>
                        </w:rPr>
                      </w:pPr>
                      <w:r>
                        <w:rPr>
                          <w:color w:val="000000"/>
                          <w:szCs w:val="24"/>
                          <w:lang w:eastAsia="zh-CN"/>
                        </w:rPr>
                        <w:t>kur:</w:t>
                      </w:r>
                    </w:p>
                    <w:p>
                      <w:pPr>
                        <w:suppressAutoHyphens/>
                        <w:ind w:firstLine="567"/>
                        <w:jc w:val="both"/>
                        <w:textAlignment w:val="center"/>
                        <w:rPr>
                          <w:color w:val="000000"/>
                          <w:szCs w:val="24"/>
                          <w:lang w:eastAsia="zh-CN"/>
                        </w:rPr>
                      </w:pPr>
                      <w:r>
                        <w:rPr>
                          <w:color w:val="000000"/>
                          <w:szCs w:val="24"/>
                          <w:lang w:eastAsia="zh-CN"/>
                        </w:rPr>
                        <w:t>M</w:t>
                      </w:r>
                      <w:r>
                        <w:rPr>
                          <w:color w:val="000000"/>
                          <w:szCs w:val="24"/>
                          <w:vertAlign w:val="subscript"/>
                          <w:lang w:eastAsia="zh-CN"/>
                        </w:rPr>
                        <w:t>NUS</w:t>
                      </w:r>
                      <w:r>
                        <w:rPr>
                          <w:color w:val="000000"/>
                          <w:szCs w:val="24"/>
                          <w:lang w:eastAsia="zh-CN"/>
                        </w:rPr>
                        <w:t xml:space="preserve"> – mokestis už nuslėptą atitinkamo teršalo kiekį (Eur);</w:t>
                      </w:r>
                    </w:p>
                    <w:p>
                      <w:pPr>
                        <w:suppressAutoHyphens/>
                        <w:ind w:firstLine="567"/>
                        <w:jc w:val="both"/>
                        <w:rPr>
                          <w:color w:val="000000"/>
                          <w:szCs w:val="24"/>
                          <w:lang w:eastAsia="zh-CN"/>
                        </w:rPr>
                      </w:pPr>
                      <w:r>
                        <w:rPr>
                          <w:color w:val="000000"/>
                          <w:szCs w:val="24"/>
                          <w:lang w:eastAsia="zh-CN"/>
                        </w:rPr>
                        <w:t>Q</w:t>
                      </w:r>
                      <w:r>
                        <w:rPr>
                          <w:color w:val="000000"/>
                          <w:szCs w:val="24"/>
                          <w:vertAlign w:val="subscript"/>
                          <w:lang w:eastAsia="zh-CN"/>
                        </w:rPr>
                        <w:t>NUS</w:t>
                      </w:r>
                      <w:r>
                        <w:rPr>
                          <w:color w:val="000000"/>
                          <w:szCs w:val="24"/>
                          <w:lang w:eastAsia="zh-CN"/>
                        </w:rPr>
                        <w:t xml:space="preserve"> – mokesčio mokėtojo per mokestinį laikotarpį į aplinką išmestas ar išleistas atitinkamo teršalo nedeklaruotas kiekis (t). Jei eksploatuotas neįregistruotas organinius tirpiklius naudojantis įrenginys, nedeklaruotas teršalo kiekis apskaičiuojamas pagal tirpiklio, lakų, dažų ar kitos naudojamos medžiagos saugos duomenų lapuose pateiktą procentinę sudėtį;</w:t>
                      </w:r>
                    </w:p>
                    <w:p>
                      <w:pPr>
                        <w:suppressAutoHyphens/>
                        <w:ind w:firstLine="567"/>
                        <w:jc w:val="both"/>
                        <w:rPr>
                          <w:color w:val="000000"/>
                          <w:szCs w:val="24"/>
                          <w:lang w:eastAsia="zh-CN"/>
                        </w:rPr>
                      </w:pPr>
                      <w:r>
                        <w:rPr>
                          <w:color w:val="000000"/>
                          <w:spacing w:val="-6"/>
                          <w:szCs w:val="24"/>
                          <w:lang w:eastAsia="zh-CN"/>
                        </w:rPr>
                        <w:t>T – teršalo tarifas, nustatytas Mokesčio už aplinkos teršimą įstatymo 1 priede;</w:t>
                      </w:r>
                    </w:p>
                    <w:p>
                      <w:pPr>
                        <w:suppressAutoHyphens/>
                        <w:ind w:firstLine="567"/>
                        <w:jc w:val="both"/>
                      </w:pPr>
                      <w:r>
                        <w:rPr>
                          <w:color w:val="000000"/>
                          <w:spacing w:val="-6"/>
                          <w:szCs w:val="24"/>
                          <w:lang w:eastAsia="zh-CN"/>
                        </w:rPr>
                        <w:t>I – mokestinio laikotarpio indeksavimo koeficientas.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sdtContent>
                </w:sdt>
              </w:sdtContent>
            </w:sdt>
            <w:sdt>
              <w:sdtPr>
                <w:alias w:val="16 p."/>
                <w:tag w:val="part_370f24e875014c97a826621bf3c2c2ea"/>
                <w:lock w:val="sdtLocked"/>
                <w:richText/>
              </w:sdtPr>
              <w:sdtContent>
                <w:p>
                  <w:pPr>
                    <w:widowControl w:val="0"/>
                    <w:suppressAutoHyphens/>
                    <w:ind w:firstLine="567"/>
                    <w:jc w:val="both"/>
                    <w:rPr>
                      <w:color w:val="000000"/>
                    </w:rPr>
                  </w:pPr>
                  <w:sdt>
                    <w:sdtPr>
                      <w:alias w:val="Numeris"/>
                      <w:tag w:val="nr_370f24e875014c97a826621bf3c2c2ea"/>
                      <w:lock w:val="sdtLocked"/>
                      <w:richText/>
                    </w:sdtPr>
                    <w:sdtContent>
                      <w:r>
                        <w:rPr>
                          <w:color w:val="000000"/>
                          <w:spacing w:val="-3"/>
                        </w:rPr>
                        <w:t>16</w:t>
                      </w:r>
                    </w:sdtContent>
                  </w:sdt>
                  <w:r>
                    <w:rPr>
                      <w:color w:val="000000"/>
                      <w:spacing w:val="-3"/>
                    </w:rPr>
                    <w:t xml:space="preserve">. Mokestis už iš stacionariojo taršos šaltinio, kai mokesčio mokėtojas, apskaičiuodamas mokestį už visą išmesto ar išleisto į aplinką teršalo kiekį, neteisingai taikė mokesčio už aplinkos teršimą tarifą ar iš viso netaikė privalomo taikyti pagal Mokesčio už aplinkos teršimą įstatymo 7 straipsnio 2 dalį koeficiento (k = 1,2), </w:t>
                  </w:r>
                  <w:r>
                    <w:rPr>
                      <w:color w:val="000000"/>
                    </w:rPr>
                    <w:t>todėl sumokėtas mažesnis mokestis, apskaičiuojamas taip:</w:t>
                  </w:r>
                </w:p>
                <w:sdt>
                  <w:sdtPr>
                    <w:alias w:val="16.1 pp."/>
                    <w:tag w:val="part_25bad290008e4c7c80676769cca68f54"/>
                    <w:lock w:val="sdtLocked"/>
                    <w:richText/>
                  </w:sdtPr>
                  <w:sdtContent>
                    <w:p>
                      <w:pPr>
                        <w:tabs>
                          <w:tab w:val="left" w:pos="6140"/>
                        </w:tabs>
                        <w:suppressAutoHyphens/>
                        <w:ind w:firstLine="567"/>
                        <w:jc w:val="both"/>
                        <w:textAlignment w:val="center"/>
                        <w:rPr>
                          <w:color w:val="000000"/>
                          <w:szCs w:val="24"/>
                        </w:rPr>
                      </w:pPr>
                      <w:sdt>
                        <w:sdtPr>
                          <w:alias w:val="Numeris"/>
                          <w:tag w:val="nr_25bad290008e4c7c80676769cca68f54"/>
                          <w:lock w:val="sdtLocked"/>
                          <w:richText/>
                        </w:sdtPr>
                        <w:sdtContent>
                          <w:r>
                            <w:rPr>
                              <w:color w:val="000000"/>
                            </w:rPr>
                            <w:t>16.1</w:t>
                          </w:r>
                        </w:sdtContent>
                      </w:sdt>
                      <w:r>
                        <w:rPr>
                          <w:color w:val="000000"/>
                        </w:rPr>
                        <w:t xml:space="preserve">. teršalo kiekiui, </w:t>
                      </w:r>
                      <w:r>
                        <w:rPr>
                          <w:color w:val="000000"/>
                          <w:szCs w:val="24"/>
                        </w:rPr>
                        <w:t>neviršijusiam TIPK leidime ar taršos leidime nustatyto normatyvo,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M</w:t>
                      </w:r>
                      <w:r>
                        <w:rPr>
                          <w:color w:val="000000"/>
                          <w:vertAlign w:val="subscript"/>
                        </w:rPr>
                        <w:t>NUS</w:t>
                      </w:r>
                      <w:r>
                        <w:rPr>
                          <w:color w:val="000000"/>
                        </w:rPr>
                        <w:t xml:space="preserve"> = (Q</w:t>
                      </w:r>
                      <w:r>
                        <w:rPr>
                          <w:color w:val="000000"/>
                          <w:vertAlign w:val="subscript"/>
                        </w:rPr>
                        <w:t>DEK</w:t>
                      </w:r>
                      <w:r>
                        <w:rPr>
                          <w:color w:val="000000"/>
                        </w:rPr>
                        <w:t xml:space="preserve"> x T x I x [k] – M</w:t>
                      </w:r>
                      <w:r>
                        <w:rPr>
                          <w:color w:val="000000"/>
                          <w:vertAlign w:val="subscript"/>
                        </w:rPr>
                        <w:t>(sumokėta)</w:t>
                      </w:r>
                      <w:r>
                        <w:rPr>
                          <w:color w:val="000000"/>
                        </w:rPr>
                        <w:t>) x 2</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widowControl w:val="0"/>
                        <w:tabs>
                          <w:tab w:val="left" w:pos="6840"/>
                        </w:tabs>
                        <w:suppressAutoHyphens/>
                        <w:ind w:firstLine="567"/>
                        <w:jc w:val="both"/>
                        <w:rPr>
                          <w:color w:val="000000"/>
                        </w:rPr>
                      </w:pPr>
                      <w:r>
                        <w:rPr>
                          <w:color w:val="000000"/>
                        </w:rPr>
                        <w:t>M</w:t>
                      </w:r>
                      <w:r>
                        <w:rPr>
                          <w:color w:val="000000"/>
                          <w:vertAlign w:val="subscript"/>
                        </w:rPr>
                        <w:t>(sumokėta)</w:t>
                      </w:r>
                      <w:r>
                        <w:rPr>
                          <w:color w:val="000000"/>
                        </w:rPr>
                        <w:t xml:space="preserve"> </w:t>
                      </w:r>
                      <w:r>
                        <w:rPr>
                          <w:color w:val="000000"/>
                          <w:szCs w:val="24"/>
                        </w:rPr>
                        <w:t xml:space="preserve">– </w:t>
                      </w:r>
                      <w:r>
                        <w:rPr>
                          <w:color w:val="000000"/>
                        </w:rPr>
                        <w:t xml:space="preserve">sumokėtas mokestis už aplinkos teršimą iš stacionariojo taršos šaltinio, kuriam apskaičiuoti </w:t>
                      </w:r>
                      <w:r>
                        <w:rPr>
                          <w:color w:val="000000"/>
                          <w:szCs w:val="24"/>
                        </w:rPr>
                        <w:t xml:space="preserve">neteisingai taikytas </w:t>
                      </w:r>
                      <w:r>
                        <w:rPr>
                          <w:color w:val="000000"/>
                          <w:spacing w:val="-3"/>
                        </w:rPr>
                        <w:t>mokesčio už aplinkos teršimą tarifas ar netaikytas privalomas taikyti pagal Mokesčio už aplinkos teršimą įstatymo 7 straipsnio 2 dalį koeficientas (k = 1,2) (Eur)</w:t>
                      </w:r>
                      <w:r>
                        <w:rPr>
                          <w:color w:val="000000"/>
                        </w:rPr>
                        <w:t>;</w:t>
                      </w:r>
                    </w:p>
                    <w:p>
                      <w:pPr>
                        <w:widowControl w:val="0"/>
                        <w:tabs>
                          <w:tab w:val="left" w:pos="6840"/>
                        </w:tabs>
                        <w:suppressAutoHyphens/>
                        <w:ind w:firstLine="567"/>
                        <w:jc w:val="both"/>
                        <w:rPr>
                          <w:color w:val="000000"/>
                        </w:rPr>
                      </w:pPr>
                      <w:r>
                        <w:rPr>
                          <w:color w:val="000000"/>
                        </w:rPr>
                        <w:t>Q</w:t>
                      </w:r>
                      <w:r>
                        <w:rPr>
                          <w:color w:val="000000"/>
                          <w:vertAlign w:val="subscript"/>
                        </w:rPr>
                        <w:t>DEK</w:t>
                      </w:r>
                      <w:r>
                        <w:rPr>
                          <w:color w:val="000000"/>
                        </w:rPr>
                        <w:t xml:space="preserve"> – deklaruotas išmestas ar išleistas į aplinką atitinkamo teršalo kiekis (tonomis);</w:t>
                      </w:r>
                    </w:p>
                    <w:p>
                      <w:pPr>
                        <w:widowControl w:val="0"/>
                        <w:tabs>
                          <w:tab w:val="left" w:pos="6840"/>
                        </w:tabs>
                        <w:suppressAutoHyphens/>
                        <w:ind w:firstLine="567"/>
                        <w:jc w:val="both"/>
                        <w:rPr>
                          <w:color w:val="000000"/>
                          <w:spacing w:val="-6"/>
                          <w:szCs w:val="24"/>
                        </w:rPr>
                      </w:pPr>
                      <w:r>
                        <w:rPr>
                          <w:color w:val="000000"/>
                          <w:spacing w:val="-6"/>
                          <w:szCs w:val="24"/>
                        </w:rPr>
                        <w:t>T – teršalo tarifas, nustatytas Mokesčio už aplinkos teršimą įstatymo 1 priede;</w:t>
                      </w:r>
                    </w:p>
                    <w:p>
                      <w:pPr>
                        <w:widowControl w:val="0"/>
                        <w:tabs>
                          <w:tab w:val="left" w:pos="6840"/>
                        </w:tabs>
                        <w:suppressAutoHyphens/>
                        <w:ind w:firstLine="567"/>
                        <w:jc w:val="both"/>
                        <w:rPr>
                          <w:color w:val="000000"/>
                          <w:spacing w:val="-6"/>
                          <w:szCs w:val="24"/>
                        </w:rPr>
                      </w:pPr>
                      <w:r>
                        <w:rPr>
                          <w:color w:val="000000"/>
                          <w:spacing w:val="-6"/>
                          <w:szCs w:val="24"/>
                        </w:rPr>
                        <w:t>I – mokestinio laikotarpio indeksavimo koeficientas;</w:t>
                      </w:r>
                    </w:p>
                    <w:p>
                      <w:pPr>
                        <w:widowControl w:val="0"/>
                        <w:tabs>
                          <w:tab w:val="left" w:pos="6840"/>
                        </w:tabs>
                        <w:suppressAutoHyphens/>
                        <w:ind w:firstLine="567"/>
                        <w:jc w:val="both"/>
                        <w:rPr>
                          <w:color w:val="000000"/>
                          <w:spacing w:val="-6"/>
                          <w:szCs w:val="24"/>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sdtContent>
                </w:sdt>
                <w:sdt>
                  <w:sdtPr>
                    <w:alias w:val="16.2 pp."/>
                    <w:tag w:val="part_6f8f25dcd5874bfea2ca477f6761daa3"/>
                    <w:lock w:val="sdtLocked"/>
                    <w:richText/>
                  </w:sdtPr>
                  <w:sdtContent>
                    <w:p>
                      <w:pPr>
                        <w:widowControl w:val="0"/>
                        <w:tabs>
                          <w:tab w:val="left" w:pos="6840"/>
                        </w:tabs>
                        <w:suppressAutoHyphens/>
                        <w:ind w:firstLine="567"/>
                        <w:jc w:val="both"/>
                        <w:rPr>
                          <w:color w:val="000000"/>
                        </w:rPr>
                      </w:pPr>
                      <w:sdt>
                        <w:sdtPr>
                          <w:alias w:val="Numeris"/>
                          <w:tag w:val="nr_6f8f25dcd5874bfea2ca477f6761daa3"/>
                          <w:lock w:val="sdtLocked"/>
                          <w:richText/>
                        </w:sdtPr>
                        <w:sdtContent>
                          <w:r>
                            <w:rPr>
                              <w:color w:val="000000"/>
                            </w:rPr>
                            <w:t>16.2</w:t>
                          </w:r>
                        </w:sdtContent>
                      </w:sdt>
                      <w:r>
                        <w:rPr>
                          <w:color w:val="000000"/>
                        </w:rPr>
                        <w:t>. teršalo kiekiui, viršijusiam TIPK leidime ar taršos leidime teršalui nustatytą normatyvą, pagal formulę:</w:t>
                      </w:r>
                    </w:p>
                    <w:p>
                      <w:pPr>
                        <w:widowControl w:val="0"/>
                        <w:suppressAutoHyphens/>
                        <w:ind w:firstLine="567"/>
                        <w:jc w:val="both"/>
                        <w:rPr>
                          <w:color w:val="000000"/>
                        </w:rPr>
                      </w:pPr>
                    </w:p>
                    <w:p>
                      <w:pPr>
                        <w:widowControl w:val="0"/>
                        <w:suppressAutoHyphens/>
                        <w:ind w:firstLine="567"/>
                        <w:jc w:val="both"/>
                        <w:rPr>
                          <w:color w:val="000000"/>
                        </w:rPr>
                      </w:pPr>
                      <w:r>
                        <w:rPr>
                          <w:color w:val="000000"/>
                        </w:rPr>
                        <w:t>M</w:t>
                      </w:r>
                      <w:r>
                        <w:rPr>
                          <w:color w:val="000000"/>
                          <w:vertAlign w:val="subscript"/>
                        </w:rPr>
                        <w:t>NUS</w:t>
                      </w:r>
                      <w:r>
                        <w:rPr>
                          <w:color w:val="000000"/>
                        </w:rPr>
                        <w:t xml:space="preserve"> = (Q</w:t>
                      </w:r>
                      <w:r>
                        <w:rPr>
                          <w:color w:val="000000"/>
                          <w:vertAlign w:val="subscript"/>
                        </w:rPr>
                        <w:t>DEK</w:t>
                      </w:r>
                      <w:r>
                        <w:rPr>
                          <w:color w:val="000000"/>
                        </w:rPr>
                        <w:t xml:space="preserve"> x T</w:t>
                      </w:r>
                      <w:r>
                        <w:rPr>
                          <w:color w:val="000000"/>
                          <w:vertAlign w:val="subscript"/>
                        </w:rPr>
                        <w:t>b</w:t>
                      </w:r>
                      <w:r>
                        <w:rPr>
                          <w:color w:val="000000"/>
                        </w:rPr>
                        <w:t xml:space="preserve"> x I x [k] – M</w:t>
                      </w:r>
                      <w:r>
                        <w:rPr>
                          <w:color w:val="000000"/>
                          <w:vertAlign w:val="subscript"/>
                        </w:rPr>
                        <w:t>(sumokėta)</w:t>
                      </w:r>
                      <w:r>
                        <w:rPr>
                          <w:color w:val="000000"/>
                        </w:rPr>
                        <w:t>) x 2</w:t>
                      </w:r>
                    </w:p>
                    <w:p>
                      <w:pPr>
                        <w:widowControl w:val="0"/>
                        <w:suppressAutoHyphens/>
                        <w:ind w:firstLine="567"/>
                        <w:jc w:val="both"/>
                        <w:rPr>
                          <w:color w:val="000000"/>
                        </w:rPr>
                      </w:pPr>
                    </w:p>
                    <w:p>
                      <w:pPr>
                        <w:widowControl w:val="0"/>
                        <w:suppressAutoHyphens/>
                        <w:ind w:firstLine="567"/>
                        <w:jc w:val="both"/>
                        <w:rPr>
                          <w:color w:val="000000"/>
                        </w:rPr>
                      </w:pPr>
                      <w:r>
                        <w:rPr>
                          <w:color w:val="000000"/>
                        </w:rPr>
                        <w:t>kur:</w:t>
                      </w:r>
                    </w:p>
                    <w:p>
                      <w:pPr>
                        <w:widowControl w:val="0"/>
                        <w:suppressAutoHyphens/>
                        <w:ind w:firstLine="567"/>
                        <w:jc w:val="both"/>
                        <w:rPr>
                          <w:color w:val="000000"/>
                          <w:szCs w:val="24"/>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widowControl w:val="0"/>
                        <w:ind w:firstLine="567"/>
                        <w:jc w:val="both"/>
                        <w:rPr>
                          <w:color w:val="000000"/>
                        </w:rPr>
                      </w:pPr>
                      <w:r>
                        <w:rPr>
                          <w:color w:val="000000"/>
                        </w:rPr>
                        <w:t>Q</w:t>
                      </w:r>
                      <w:r>
                        <w:rPr>
                          <w:color w:val="000000"/>
                          <w:vertAlign w:val="subscript"/>
                        </w:rPr>
                        <w:t>DEK</w:t>
                      </w:r>
                      <w:r>
                        <w:rPr>
                          <w:color w:val="000000"/>
                        </w:rPr>
                        <w:t xml:space="preserve"> – deklaruotas išmestas ar išleistas į aplinką atitinkamo teršalo kiekis (t);</w:t>
                      </w:r>
                    </w:p>
                    <w:p>
                      <w:pPr>
                        <w:widowControl w:val="0"/>
                        <w:ind w:firstLine="567"/>
                        <w:jc w:val="both"/>
                        <w:rPr>
                          <w:color w:val="000000"/>
                          <w:szCs w:val="24"/>
                          <w:lang w:eastAsia="lt-LT"/>
                        </w:rPr>
                      </w:pPr>
                      <w:r>
                        <w:rPr>
                          <w:color w:val="000000"/>
                        </w:rPr>
                        <w:t>M</w:t>
                      </w:r>
                      <w:r>
                        <w:rPr>
                          <w:color w:val="000000"/>
                          <w:vertAlign w:val="subscript"/>
                        </w:rPr>
                        <w:t>(sumokėta)</w:t>
                      </w:r>
                      <w:r>
                        <w:rPr>
                          <w:color w:val="000000"/>
                        </w:rPr>
                        <w:t xml:space="preserve"> </w:t>
                      </w:r>
                      <w:r>
                        <w:rPr>
                          <w:color w:val="000000"/>
                          <w:szCs w:val="24"/>
                        </w:rPr>
                        <w:t xml:space="preserve">– </w:t>
                      </w:r>
                      <w:r>
                        <w:rPr>
                          <w:color w:val="000000"/>
                        </w:rPr>
                        <w:t xml:space="preserve">sumokėtas mokestis už aplinkos teršimą iš stacionariojo taršos šaltinio, kuriam apskaičiuoti </w:t>
                      </w:r>
                      <w:r>
                        <w:rPr>
                          <w:color w:val="000000"/>
                          <w:szCs w:val="24"/>
                        </w:rPr>
                        <w:t xml:space="preserve">neteisingai taikytas </w:t>
                      </w:r>
                      <w:r>
                        <w:rPr>
                          <w:color w:val="000000"/>
                          <w:spacing w:val="-3"/>
                        </w:rPr>
                        <w:t xml:space="preserve">mokesčio už aplinkos teršimą tarifas ar netaikytas privalomas taikyti pagal Mokesčio už aplinkos teršimą įstatymo 7 straipsnio 2 dalį  koeficientas (k = 1,2) (Eur)</w:t>
                      </w:r>
                      <w:r>
                        <w:rPr>
                          <w:color w:val="000000"/>
                        </w:rPr>
                        <w:t>;</w:t>
                      </w:r>
                    </w:p>
                    <w:p>
                      <w:pPr>
                        <w:widowControl w:val="0"/>
                        <w:ind w:firstLine="567"/>
                        <w:jc w:val="both"/>
                        <w:rPr>
                          <w:color w:val="000000"/>
                          <w:szCs w:val="24"/>
                          <w:lang w:eastAsia="lt-LT"/>
                        </w:rPr>
                      </w:pPr>
                      <w:r>
                        <w:rPr>
                          <w:color w:val="000000"/>
                          <w:szCs w:val="24"/>
                          <w:lang w:eastAsia="lt-LT"/>
                        </w:rPr>
                        <w:t>T</w:t>
                      </w:r>
                      <w:r>
                        <w:rPr>
                          <w:color w:val="000000"/>
                          <w:szCs w:val="24"/>
                          <w:vertAlign w:val="subscript"/>
                          <w:lang w:eastAsia="lt-LT"/>
                        </w:rPr>
                        <w:t>b</w:t>
                      </w:r>
                      <w:r>
                        <w:rPr>
                          <w:color w:val="000000"/>
                          <w:szCs w:val="24"/>
                          <w:lang w:eastAsia="lt-LT"/>
                        </w:rPr>
                        <w:t xml:space="preserve"> – teršalo tarifas, nustatytas Mokesčio už aplinkos teršimą įstatymo 2 priede;</w:t>
                      </w:r>
                    </w:p>
                    <w:p>
                      <w:pPr>
                        <w:widowControl w:val="0"/>
                        <w:suppressAutoHyphens/>
                        <w:ind w:firstLine="567"/>
                        <w:jc w:val="both"/>
                        <w:rPr>
                          <w:color w:val="000000"/>
                          <w:spacing w:val="-6"/>
                          <w:szCs w:val="24"/>
                        </w:rPr>
                      </w:pPr>
                      <w:r>
                        <w:rPr>
                          <w:color w:val="000000"/>
                          <w:spacing w:val="-6"/>
                          <w:szCs w:val="24"/>
                        </w:rPr>
                        <w:t>I – mokestinio laikotarpio indeksavimo koeficientas;</w:t>
                      </w:r>
                    </w:p>
                    <w:p>
                      <w:pPr>
                        <w:widowControl w:val="0"/>
                        <w:suppressAutoHyphens/>
                        <w:ind w:firstLine="567"/>
                        <w:jc w:val="both"/>
                        <w:rPr>
                          <w:color w:val="000000"/>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sdtContent>
                </w:sdt>
                <w:sdt>
                  <w:sdtPr>
                    <w:alias w:val="16.3 pp."/>
                    <w:tag w:val="part_10fd26fbcb5d4d09b66df829a90149ec"/>
                    <w:lock w:val="sdtLocked"/>
                    <w:richText/>
                  </w:sdtPr>
                  <w:sdtContent>
                    <w:p>
                      <w:pPr>
                        <w:tabs>
                          <w:tab w:val="left" w:pos="1418"/>
                        </w:tabs>
                        <w:suppressAutoHyphens/>
                        <w:ind w:firstLine="567"/>
                        <w:jc w:val="both"/>
                        <w:rPr>
                          <w:szCs w:val="24"/>
                          <w:lang w:eastAsia="en-GB"/>
                        </w:rPr>
                      </w:pPr>
                      <w:sdt>
                        <w:sdtPr>
                          <w:alias w:val="Numeris"/>
                          <w:tag w:val="nr_10fd26fbcb5d4d09b66df829a90149ec"/>
                          <w:lock w:val="sdtLocked"/>
                          <w:richText/>
                        </w:sdtPr>
                        <w:sdtContent>
                          <w:r>
                            <w:rPr>
                              <w:szCs w:val="24"/>
                              <w:lang w:eastAsia="en-GB"/>
                            </w:rPr>
                            <w:t>16.3</w:t>
                          </w:r>
                        </w:sdtContent>
                      </w:sdt>
                      <w:r>
                        <w:rPr>
                          <w:szCs w:val="24"/>
                          <w:lang w:eastAsia="en-GB"/>
                        </w:rPr>
                        <w:t xml:space="preserve">. </w:t>
                      </w:r>
                      <w:r>
                        <w:rPr>
                          <w:color w:val="000000"/>
                          <w:szCs w:val="24"/>
                          <w:lang w:eastAsia="lt-LT"/>
                        </w:rPr>
                        <w:t xml:space="preserve">teršalo kiekiui, išmestam į aplinkos orą per mokestinį laikotarpį, kai eksploatuotas privalomas </w:t>
                      </w:r>
                      <w:r>
                        <w:rPr>
                          <w:color w:val="000000"/>
                          <w:szCs w:val="24"/>
                          <w:lang w:eastAsia="zh-CN"/>
                        </w:rPr>
                        <w:t>įregistruoti organinius tirpiklius naudojantis įrenginys</w:t>
                      </w:r>
                      <w:r>
                        <w:rPr>
                          <w:color w:val="000000"/>
                          <w:szCs w:val="24"/>
                          <w:lang w:eastAsia="lt-LT"/>
                        </w:rPr>
                        <w:t>, pagal formulę:</w:t>
                      </w:r>
                    </w:p>
                    <w:p>
                      <w:pPr>
                        <w:suppressAutoHyphens/>
                        <w:ind w:firstLine="567"/>
                        <w:jc w:val="both"/>
                        <w:rPr>
                          <w:color w:val="000000"/>
                          <w:szCs w:val="24"/>
                          <w:lang w:eastAsia="en-GB"/>
                        </w:rPr>
                      </w:pPr>
                    </w:p>
                    <w:p>
                      <w:pPr>
                        <w:suppressAutoHyphens/>
                        <w:ind w:firstLine="567"/>
                        <w:jc w:val="both"/>
                        <w:rPr>
                          <w:color w:val="000000"/>
                          <w:szCs w:val="24"/>
                          <w:lang w:eastAsia="zh-CN"/>
                        </w:rPr>
                      </w:pPr>
                      <w:r>
                        <w:rPr>
                          <w:color w:val="000000"/>
                          <w:szCs w:val="24"/>
                          <w:lang w:eastAsia="zh-CN"/>
                        </w:rPr>
                        <w:t>M</w:t>
                      </w:r>
                      <w:r>
                        <w:rPr>
                          <w:color w:val="000000"/>
                          <w:szCs w:val="24"/>
                          <w:vertAlign w:val="subscript"/>
                          <w:lang w:eastAsia="zh-CN"/>
                        </w:rPr>
                        <w:t xml:space="preserve">NUS </w:t>
                      </w:r>
                      <w:r>
                        <w:rPr>
                          <w:color w:val="000000"/>
                          <w:szCs w:val="24"/>
                          <w:lang w:eastAsia="zh-CN"/>
                        </w:rPr>
                        <w:t>= (Q</w:t>
                      </w:r>
                      <w:r>
                        <w:rPr>
                          <w:color w:val="000000"/>
                          <w:szCs w:val="24"/>
                          <w:vertAlign w:val="subscript"/>
                          <w:lang w:eastAsia="zh-CN"/>
                        </w:rPr>
                        <w:t>DEK</w:t>
                      </w:r>
                      <w:r>
                        <w:rPr>
                          <w:color w:val="000000"/>
                          <w:szCs w:val="24"/>
                          <w:lang w:eastAsia="zh-CN"/>
                        </w:rPr>
                        <w:t xml:space="preserve"> x T x I – M</w:t>
                      </w:r>
                      <w:r>
                        <w:rPr>
                          <w:color w:val="000000"/>
                          <w:szCs w:val="24"/>
                          <w:vertAlign w:val="subscript"/>
                          <w:lang w:eastAsia="zh-CN"/>
                        </w:rPr>
                        <w:t>(sumokėta)</w:t>
                      </w:r>
                      <w:r>
                        <w:rPr>
                          <w:color w:val="000000"/>
                          <w:szCs w:val="24"/>
                          <w:lang w:eastAsia="zh-CN"/>
                        </w:rPr>
                        <w:t>) x 2</w:t>
                      </w:r>
                    </w:p>
                    <w:p>
                      <w:pPr>
                        <w:suppressAutoHyphens/>
                        <w:ind w:firstLine="567"/>
                        <w:jc w:val="both"/>
                        <w:rPr>
                          <w:color w:val="000000"/>
                          <w:szCs w:val="24"/>
                          <w:lang w:eastAsia="zh-CN"/>
                        </w:rPr>
                      </w:pPr>
                    </w:p>
                    <w:p>
                      <w:pPr>
                        <w:suppressAutoHyphens/>
                        <w:ind w:firstLine="567"/>
                        <w:jc w:val="both"/>
                        <w:rPr>
                          <w:color w:val="000000"/>
                          <w:szCs w:val="24"/>
                          <w:lang w:eastAsia="zh-CN"/>
                        </w:rPr>
                      </w:pPr>
                      <w:r>
                        <w:rPr>
                          <w:color w:val="000000"/>
                          <w:szCs w:val="24"/>
                          <w:lang w:eastAsia="zh-CN"/>
                        </w:rPr>
                        <w:t>kur:</w:t>
                      </w:r>
                    </w:p>
                    <w:p>
                      <w:pPr>
                        <w:suppressAutoHyphens/>
                        <w:ind w:firstLine="567"/>
                        <w:jc w:val="both"/>
                        <w:rPr>
                          <w:color w:val="000000"/>
                          <w:szCs w:val="24"/>
                          <w:lang w:eastAsia="zh-CN"/>
                        </w:rPr>
                      </w:pPr>
                      <w:r>
                        <w:rPr>
                          <w:color w:val="000000"/>
                          <w:szCs w:val="24"/>
                          <w:lang w:eastAsia="zh-CN"/>
                        </w:rPr>
                        <w:t>M</w:t>
                      </w:r>
                      <w:r>
                        <w:rPr>
                          <w:color w:val="000000"/>
                          <w:szCs w:val="24"/>
                          <w:vertAlign w:val="subscript"/>
                          <w:lang w:eastAsia="zh-CN"/>
                        </w:rPr>
                        <w:t>NUS</w:t>
                      </w:r>
                      <w:r>
                        <w:rPr>
                          <w:color w:val="000000"/>
                          <w:szCs w:val="24"/>
                          <w:lang w:eastAsia="zh-CN"/>
                        </w:rPr>
                        <w:t xml:space="preserve"> – mokestis už nuslėptą atitinkamo teršalo kiekį (Eur);</w:t>
                      </w:r>
                    </w:p>
                    <w:p>
                      <w:pPr>
                        <w:suppressAutoHyphens/>
                        <w:ind w:firstLine="567"/>
                        <w:jc w:val="both"/>
                        <w:rPr>
                          <w:color w:val="000000"/>
                          <w:szCs w:val="24"/>
                          <w:lang w:eastAsia="zh-CN"/>
                        </w:rPr>
                      </w:pPr>
                      <w:r>
                        <w:rPr>
                          <w:color w:val="000000"/>
                          <w:szCs w:val="24"/>
                          <w:lang w:eastAsia="zh-CN"/>
                        </w:rPr>
                        <w:t>M</w:t>
                      </w:r>
                      <w:r>
                        <w:rPr>
                          <w:color w:val="000000"/>
                          <w:szCs w:val="24"/>
                          <w:vertAlign w:val="subscript"/>
                          <w:lang w:eastAsia="zh-CN"/>
                        </w:rPr>
                        <w:t>(sumokėta)</w:t>
                      </w:r>
                      <w:r>
                        <w:rPr>
                          <w:color w:val="000000"/>
                          <w:szCs w:val="24"/>
                          <w:lang w:eastAsia="zh-CN"/>
                        </w:rPr>
                        <w:t xml:space="preserve"> – sumokėtas mokestis už aplinkos teršimą iš stacionariojo taršos šaltinio, kuriam apskaičiuoti neteisingai taikytas </w:t>
                      </w:r>
                      <w:r>
                        <w:rPr>
                          <w:color w:val="000000"/>
                          <w:spacing w:val="-3"/>
                          <w:szCs w:val="24"/>
                          <w:lang w:eastAsia="zh-CN"/>
                        </w:rPr>
                        <w:t>mokesčio už aplinkos teršimą tarifas (Eur)</w:t>
                      </w:r>
                      <w:r>
                        <w:rPr>
                          <w:color w:val="000000"/>
                          <w:szCs w:val="24"/>
                          <w:lang w:eastAsia="zh-CN"/>
                        </w:rPr>
                        <w:t>;</w:t>
                      </w:r>
                    </w:p>
                    <w:p>
                      <w:pPr>
                        <w:suppressAutoHyphens/>
                        <w:ind w:firstLine="567"/>
                        <w:jc w:val="both"/>
                        <w:rPr>
                          <w:color w:val="000000"/>
                          <w:szCs w:val="24"/>
                          <w:lang w:eastAsia="zh-CN"/>
                        </w:rPr>
                      </w:pPr>
                      <w:r>
                        <w:rPr>
                          <w:color w:val="000000"/>
                          <w:szCs w:val="24"/>
                          <w:lang w:eastAsia="zh-CN"/>
                        </w:rPr>
                        <w:t>Q</w:t>
                      </w:r>
                      <w:r>
                        <w:rPr>
                          <w:color w:val="000000"/>
                          <w:szCs w:val="24"/>
                          <w:vertAlign w:val="subscript"/>
                          <w:lang w:eastAsia="zh-CN"/>
                        </w:rPr>
                        <w:t>DEK</w:t>
                      </w:r>
                      <w:r>
                        <w:rPr>
                          <w:color w:val="000000"/>
                          <w:szCs w:val="24"/>
                          <w:lang w:eastAsia="zh-CN"/>
                        </w:rPr>
                        <w:t xml:space="preserve"> – deklaruotas išmestas į aplinkos orą atitinkamo teršalo kiekis (t);</w:t>
                      </w:r>
                    </w:p>
                    <w:p>
                      <w:pPr>
                        <w:suppressAutoHyphens/>
                        <w:ind w:firstLine="567"/>
                        <w:jc w:val="both"/>
                        <w:rPr>
                          <w:color w:val="000000"/>
                          <w:szCs w:val="24"/>
                          <w:lang w:eastAsia="zh-CN"/>
                        </w:rPr>
                      </w:pPr>
                      <w:r>
                        <w:rPr>
                          <w:color w:val="000000"/>
                          <w:spacing w:val="-6"/>
                          <w:szCs w:val="24"/>
                          <w:lang w:eastAsia="zh-CN"/>
                        </w:rPr>
                        <w:t>T – teršalo tarifas, nustatytas Mokesčio už aplinkos teršimą įstatymo 1 priede;</w:t>
                      </w:r>
                    </w:p>
                    <w:p>
                      <w:pPr>
                        <w:tabs>
                          <w:tab w:val="left" w:pos="1276"/>
                        </w:tabs>
                        <w:suppressAutoHyphens/>
                        <w:ind w:firstLine="567"/>
                        <w:jc w:val="both"/>
                        <w:rPr>
                          <w:color w:val="000000"/>
                        </w:rPr>
                      </w:pPr>
                      <w:r>
                        <w:rPr>
                          <w:color w:val="000000"/>
                          <w:spacing w:val="-6"/>
                          <w:szCs w:val="24"/>
                          <w:lang w:eastAsia="lt-LT"/>
                        </w:rPr>
                        <w:t>I – mokestinio</w:t>
                      </w:r>
                      <w:r>
                        <w:rPr>
                          <w:color w:val="000000"/>
                          <w:spacing w:val="-6"/>
                          <w:sz w:val="27"/>
                          <w:szCs w:val="27"/>
                          <w:lang w:eastAsia="lt-LT"/>
                        </w:rPr>
                        <w:t xml:space="preserve"> </w:t>
                      </w:r>
                      <w:r>
                        <w:rPr>
                          <w:color w:val="000000"/>
                          <w:spacing w:val="-6"/>
                          <w:szCs w:val="24"/>
                          <w:lang w:eastAsia="lt-LT"/>
                        </w:rPr>
                        <w:t>laikotarpio indeksavimo koeficientas.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8a560b05211eea5a28c81c82193a8">
                        <w:r w:rsidRPr="00532B9F">
                          <w:rPr>
                            <w:rFonts w:ascii="Times New Roman" w:eastAsia="MS Mincho" w:hAnsi="Times New Roman"/>
                            <w:sz w:val="20"/>
                            <w:i/>
                            <w:iCs/>
                            <w:color w:val="0000FF" w:themeColor="hyperlink"/>
                            <w:u w:val="single"/>
                          </w:rPr>
                          <w:t>D1-4</w:t>
                        </w:r>
                      </w:fldSimple>
                      <w:r>
                        <w:rPr>
                          <w:rFonts w:ascii="Times New Roman" w:eastAsia="MS Mincho" w:hAnsi="Times New Roman"/>
                          <w:sz w:val="20"/>
                          <w:i/>
                          <w:iCs/>
                        </w:rPr>
                        <w:t>,
2024-01-11,
paskelbta TAR 2024-01-11, i. k. 2024-00361        </w:t>
                      </w:r>
                    </w:p>
                    <w:p/>
                  </w:sdtContent>
                </w:sdt>
              </w:sdtContent>
            </w:sdt>
            <w:sdt>
              <w:sdtPr>
                <w:alias w:val="17 p."/>
                <w:tag w:val="part_a31ec21c98694c3abdf2e490a110964f"/>
                <w:lock w:val="sdtLocked"/>
                <w:richText/>
              </w:sdtPr>
              <w:sdtContent>
                <w:p>
                  <w:pPr>
                    <w:widowControl w:val="0"/>
                    <w:tabs>
                      <w:tab w:val="left" w:pos="6840"/>
                    </w:tabs>
                    <w:suppressAutoHyphens/>
                    <w:ind w:firstLine="567"/>
                    <w:jc w:val="both"/>
                    <w:rPr>
                      <w:color w:val="000000"/>
                    </w:rPr>
                  </w:pPr>
                  <w:sdt>
                    <w:sdtPr>
                      <w:alias w:val="Numeris"/>
                      <w:tag w:val="nr_a31ec21c98694c3abdf2e490a110964f"/>
                      <w:lock w:val="sdtLocked"/>
                      <w:richText/>
                    </w:sdtPr>
                    <w:sdtContent>
                      <w:r>
                        <w:rPr>
                          <w:color w:val="000000"/>
                        </w:rPr>
                        <w:t>17</w:t>
                      </w:r>
                    </w:sdtContent>
                  </w:sdt>
                  <w:r>
                    <w:rPr>
                      <w:color w:val="000000"/>
                    </w:rPr>
                    <w:t xml:space="preserve">. </w:t>
                  </w:r>
                  <w:r>
                    <w:rPr>
                      <w:color w:val="000000"/>
                      <w:szCs w:val="24"/>
                    </w:rPr>
                    <w:t xml:space="preserve">Mokestis už nuslėptą taršą iš stacionariųjų taršos šaltinių, kai mokesčio mokėtojas išmetė ar išleido į aplinką teršalus </w:t>
                  </w:r>
                  <w:r>
                    <w:rPr>
                      <w:color w:val="000000"/>
                    </w:rPr>
                    <w:t>neturėdamas privalomo TIPK leidimo ar taršos leidimo, kuriame nustatyti teršalų išmetimo į aplinką normatyvai, apskaičiuojamas pagal formulę:</w:t>
                  </w:r>
                </w:p>
                <w:p>
                  <w:pPr>
                    <w:widowControl w:val="0"/>
                    <w:suppressAutoHyphens/>
                    <w:ind w:firstLine="567"/>
                    <w:jc w:val="both"/>
                    <w:rPr>
                      <w:color w:val="000000"/>
                      <w:szCs w:val="24"/>
                    </w:rPr>
                  </w:pPr>
                </w:p>
                <w:p>
                  <w:pPr>
                    <w:widowControl w:val="0"/>
                    <w:suppressAutoHyphens/>
                    <w:ind w:firstLine="567"/>
                    <w:jc w:val="both"/>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 T</w:t>
                  </w:r>
                  <w:r>
                    <w:rPr>
                      <w:color w:val="000000"/>
                      <w:szCs w:val="24"/>
                      <w:vertAlign w:val="subscript"/>
                    </w:rPr>
                    <w:t>b</w:t>
                  </w:r>
                  <w:r>
                    <w:rPr>
                      <w:color w:val="000000"/>
                      <w:szCs w:val="24"/>
                    </w:rPr>
                    <w:t xml:space="preserve"> × I × [k] × 2</w:t>
                  </w:r>
                </w:p>
                <w:p>
                  <w:pPr>
                    <w:widowControl w:val="0"/>
                    <w:suppressAutoHyphens/>
                    <w:ind w:firstLine="567"/>
                    <w:jc w:val="both"/>
                    <w:rPr>
                      <w:color w:val="000000"/>
                    </w:rPr>
                  </w:pPr>
                </w:p>
                <w:p>
                  <w:pPr>
                    <w:widowControl w:val="0"/>
                    <w:suppressAutoHyphens/>
                    <w:ind w:firstLine="567"/>
                    <w:jc w:val="both"/>
                    <w:rPr>
                      <w:color w:val="000000"/>
                      <w:szCs w:val="24"/>
                    </w:rPr>
                  </w:pPr>
                  <w:r>
                    <w:rPr>
                      <w:color w:val="000000"/>
                    </w:rPr>
                    <w:t>kur:</w:t>
                  </w:r>
                </w:p>
                <w:p>
                  <w:pPr>
                    <w:widowControl w:val="0"/>
                    <w:suppressAutoHyphens/>
                    <w:ind w:firstLine="567"/>
                    <w:jc w:val="both"/>
                    <w:rPr>
                      <w:color w:val="000000"/>
                      <w:szCs w:val="24"/>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widowControl w:val="0"/>
                    <w:suppressAutoHyphens/>
                    <w:ind w:firstLine="567"/>
                    <w:jc w:val="both"/>
                    <w:rPr>
                      <w:color w:val="000000"/>
                      <w:szCs w:val="24"/>
                    </w:rPr>
                  </w:pPr>
                  <w:r>
                    <w:rPr>
                      <w:szCs w:val="24"/>
                      <w:lang w:eastAsia="lt-LT"/>
                    </w:rPr>
                    <w:t>Q</w:t>
                  </w:r>
                  <w:r>
                    <w:rPr>
                      <w:szCs w:val="24"/>
                      <w:vertAlign w:val="subscript"/>
                      <w:lang w:eastAsia="lt-LT"/>
                    </w:rPr>
                    <w:t>NUS</w:t>
                  </w:r>
                  <w:r>
                    <w:rPr>
                      <w:szCs w:val="24"/>
                      <w:lang w:eastAsia="lt-LT"/>
                    </w:rPr>
                    <w:t xml:space="preserve"> – mokesčio mokėtojo per mokestinį laikotarpį į aplinką išmestas ar išleistas atitinkamo teršalo nedeklaruotas  normatyvą viršijantis kiekis (t);</w:t>
                  </w:r>
                </w:p>
                <w:p>
                  <w:pPr>
                    <w:widowControl w:val="0"/>
                    <w:ind w:firstLine="567"/>
                    <w:jc w:val="both"/>
                    <w:rPr>
                      <w:color w:val="000000"/>
                      <w:szCs w:val="24"/>
                      <w:lang w:eastAsia="lt-LT"/>
                    </w:rPr>
                  </w:pPr>
                  <w:r>
                    <w:rPr>
                      <w:color w:val="000000"/>
                      <w:szCs w:val="24"/>
                      <w:lang w:eastAsia="lt-LT"/>
                    </w:rPr>
                    <w:t>T</w:t>
                  </w:r>
                  <w:r>
                    <w:rPr>
                      <w:color w:val="000000"/>
                      <w:szCs w:val="24"/>
                      <w:vertAlign w:val="subscript"/>
                      <w:lang w:eastAsia="lt-LT"/>
                    </w:rPr>
                    <w:t>b</w:t>
                  </w:r>
                  <w:r>
                    <w:rPr>
                      <w:color w:val="000000"/>
                      <w:szCs w:val="24"/>
                      <w:lang w:eastAsia="lt-LT"/>
                    </w:rPr>
                    <w:t xml:space="preserve"> – teršalo tarifas, nustatytas Mokesčio už aplinkos teršimą įstatymo 2 priede;</w:t>
                  </w:r>
                </w:p>
                <w:p>
                  <w:pPr>
                    <w:widowControl w:val="0"/>
                    <w:suppressAutoHyphens/>
                    <w:ind w:firstLine="567"/>
                    <w:jc w:val="both"/>
                    <w:rPr>
                      <w:color w:val="000000"/>
                      <w:spacing w:val="-6"/>
                      <w:szCs w:val="24"/>
                    </w:rPr>
                  </w:pPr>
                  <w:r>
                    <w:rPr>
                      <w:color w:val="000000"/>
                      <w:spacing w:val="-6"/>
                      <w:szCs w:val="24"/>
                    </w:rPr>
                    <w:t>I – mokestinio laikotarpio indeksavimo koeficientas;</w:t>
                  </w:r>
                </w:p>
                <w:p>
                  <w:pPr>
                    <w:widowControl w:val="0"/>
                    <w:suppressAutoHyphens/>
                    <w:ind w:firstLine="567"/>
                    <w:jc w:val="both"/>
                    <w:rPr>
                      <w:color w:val="000000"/>
                      <w:szCs w:val="24"/>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sdtContent>
            </w:sdt>
            <w:sdt>
              <w:sdtPr>
                <w:alias w:val="18 p."/>
                <w:tag w:val="part_e82905d7ec554c6c9fdf2b7d3c75f285"/>
                <w:lock w:val="sdtLocked"/>
                <w:richText/>
              </w:sdtPr>
              <w:sdtContent>
                <w:p>
                  <w:pPr>
                    <w:widowControl w:val="0"/>
                    <w:suppressAutoHyphens/>
                    <w:ind w:firstLine="567"/>
                    <w:jc w:val="both"/>
                    <w:rPr>
                      <w:color w:val="000000"/>
                    </w:rPr>
                  </w:pPr>
                  <w:sdt>
                    <w:sdtPr>
                      <w:alias w:val="Numeris"/>
                      <w:tag w:val="nr_e82905d7ec554c6c9fdf2b7d3c75f285"/>
                      <w:lock w:val="sdtLocked"/>
                      <w:richText/>
                    </w:sdtPr>
                    <w:sdtContent>
                      <w:r>
                        <w:rPr>
                          <w:color w:val="000000"/>
                        </w:rPr>
                        <w:t>18</w:t>
                      </w:r>
                    </w:sdtContent>
                  </w:sdt>
                  <w:r>
                    <w:rPr>
                      <w:color w:val="000000"/>
                    </w:rPr>
                    <w:t xml:space="preserve">. Mokestis už teršalo kiekį išmestą ar išleistą į aplinką, kai mokesčio mokėtojas vykdė veiklą </w:t>
                  </w:r>
                  <w:r>
                    <w:t xml:space="preserve">ir turėjo teisės aktų nustatyta tvarka išduotą </w:t>
                  </w:r>
                  <w:r>
                    <w:rPr>
                      <w:color w:val="000000"/>
                    </w:rPr>
                    <w:t>TIPK leidimą ar taršos leidimą, bet netvarkė privalomos teršalų išmetimo į aplinką apskaitos ir (ar) nedeklaravo mokesčio už išmestą ar išleistą į aplinką teršalo kiekį, apskaičiuojamas pagal formulę:</w:t>
                  </w:r>
                </w:p>
                <w:p>
                  <w:pPr>
                    <w:widowControl w:val="0"/>
                    <w:suppressAutoHyphens/>
                    <w:ind w:firstLine="567"/>
                    <w:jc w:val="both"/>
                    <w:rPr>
                      <w:color w:val="000000"/>
                      <w:szCs w:val="24"/>
                    </w:rPr>
                  </w:pPr>
                </w:p>
                <w:p>
                  <w:pPr>
                    <w:widowControl w:val="0"/>
                    <w:suppressAutoHyphens/>
                    <w:ind w:firstLine="567"/>
                    <w:jc w:val="both"/>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×1,5× T × I × [k] × 2</w:t>
                  </w:r>
                </w:p>
                <w:p>
                  <w:pPr>
                    <w:widowControl w:val="0"/>
                    <w:suppressAutoHyphens/>
                    <w:ind w:firstLine="567"/>
                    <w:jc w:val="both"/>
                    <w:rPr>
                      <w:color w:val="000000"/>
                    </w:rPr>
                  </w:pPr>
                </w:p>
                <w:p>
                  <w:pPr>
                    <w:widowControl w:val="0"/>
                    <w:suppressAutoHyphens/>
                    <w:ind w:firstLine="567"/>
                    <w:jc w:val="both"/>
                    <w:rPr>
                      <w:color w:val="000000"/>
                      <w:szCs w:val="24"/>
                    </w:rPr>
                  </w:pPr>
                  <w:r>
                    <w:rPr>
                      <w:color w:val="000000"/>
                    </w:rPr>
                    <w:t>kur:</w:t>
                  </w:r>
                  <w:r>
                    <w:rPr>
                      <w:color w:val="000000"/>
                      <w:szCs w:val="24"/>
                    </w:rPr>
                    <w:t xml:space="preserve"> </w:t>
                  </w:r>
                </w:p>
                <w:p>
                  <w:pPr>
                    <w:widowControl w:val="0"/>
                    <w:suppressAutoHyphens/>
                    <w:ind w:firstLine="567"/>
                    <w:jc w:val="both"/>
                    <w:rPr>
                      <w:szCs w:val="24"/>
                      <w:lang w:eastAsia="lt-LT"/>
                    </w:rPr>
                  </w:pPr>
                  <w:r>
                    <w:rPr>
                      <w:color w:val="000000"/>
                      <w:szCs w:val="24"/>
                    </w:rPr>
                    <w:t>M</w:t>
                  </w:r>
                  <w:r>
                    <w:rPr>
                      <w:color w:val="000000"/>
                      <w:szCs w:val="24"/>
                      <w:vertAlign w:val="subscript"/>
                    </w:rPr>
                    <w:t>NUS</w:t>
                  </w:r>
                  <w:r>
                    <w:rPr>
                      <w:color w:val="000000"/>
                      <w:szCs w:val="24"/>
                    </w:rPr>
                    <w:t xml:space="preserve"> – mokestis už nuslėptą atitinkamo teršalo kiekį (Eur);</w:t>
                  </w:r>
                </w:p>
                <w:p>
                  <w:pPr>
                    <w:widowControl w:val="0"/>
                    <w:suppressAutoHyphens/>
                    <w:ind w:firstLine="567"/>
                    <w:jc w:val="both"/>
                    <w:rPr>
                      <w:color w:val="000000"/>
                      <w:szCs w:val="24"/>
                    </w:rPr>
                  </w:pPr>
                  <w:r>
                    <w:rPr>
                      <w:szCs w:val="24"/>
                      <w:lang w:eastAsia="lt-LT"/>
                    </w:rPr>
                    <w:t>Q</w:t>
                  </w:r>
                  <w:r>
                    <w:rPr>
                      <w:szCs w:val="24"/>
                      <w:vertAlign w:val="subscript"/>
                      <w:lang w:eastAsia="lt-LT"/>
                    </w:rPr>
                    <w:t>NUS</w:t>
                  </w:r>
                  <w:r>
                    <w:rPr>
                      <w:szCs w:val="24"/>
                      <w:lang w:eastAsia="lt-LT"/>
                    </w:rPr>
                    <w:t xml:space="preserve"> – mokesčio mokėtojo per mokestinį laikotarpį į aplinką išmestas ar išleistas atitinkamo teršalo nedeklaruotas  kiekis (t);</w:t>
                  </w:r>
                </w:p>
                <w:p>
                  <w:pPr>
                    <w:widowControl w:val="0"/>
                    <w:tabs>
                      <w:tab w:val="left" w:pos="6840"/>
                    </w:tabs>
                    <w:suppressAutoHyphens/>
                    <w:ind w:firstLine="567"/>
                    <w:jc w:val="both"/>
                    <w:rPr>
                      <w:color w:val="000000"/>
                      <w:spacing w:val="-6"/>
                      <w:szCs w:val="24"/>
                    </w:rPr>
                  </w:pPr>
                  <w:r>
                    <w:rPr>
                      <w:color w:val="000000"/>
                      <w:spacing w:val="-6"/>
                      <w:szCs w:val="24"/>
                    </w:rPr>
                    <w:t>T – teršalo tarifas, nustatytas Mokesčio už aplinkos teršimą įstatymo 1 priede;</w:t>
                  </w:r>
                </w:p>
                <w:p>
                  <w:pPr>
                    <w:widowControl w:val="0"/>
                    <w:tabs>
                      <w:tab w:val="left" w:pos="6840"/>
                    </w:tabs>
                    <w:suppressAutoHyphens/>
                    <w:ind w:firstLine="567"/>
                    <w:jc w:val="both"/>
                    <w:rPr>
                      <w:color w:val="000000"/>
                      <w:spacing w:val="-6"/>
                      <w:szCs w:val="24"/>
                    </w:rPr>
                  </w:pPr>
                  <w:r>
                    <w:rPr>
                      <w:color w:val="000000"/>
                      <w:spacing w:val="-6"/>
                      <w:szCs w:val="24"/>
                    </w:rPr>
                    <w:t>I – mokestinio laikotarpio indeksavimo koeficientas;</w:t>
                  </w:r>
                </w:p>
                <w:p>
                  <w:pPr>
                    <w:widowControl w:val="0"/>
                    <w:tabs>
                      <w:tab w:val="left" w:pos="6840"/>
                    </w:tabs>
                    <w:suppressAutoHyphens/>
                    <w:ind w:firstLine="567"/>
                    <w:jc w:val="both"/>
                    <w:rPr>
                      <w:color w:val="000000"/>
                      <w:spacing w:val="-6"/>
                      <w:szCs w:val="24"/>
                    </w:rPr>
                  </w:pPr>
                  <w:r>
                    <w:rPr>
                      <w:color w:val="000000"/>
                      <w:spacing w:val="-6"/>
                      <w:szCs w:val="24"/>
                    </w:rPr>
                    <w:t>[k] – koeficientas (lygus 1,2), kuris, vadovaujantis Mokesčio už aplinkos teršimą įstatymo 7 straipsnio 2 dalimi, taikomas apskaičiuojant mokestį už aplinkos teršimą iš stacionariųjų taršos šaltinių už teršalus, kuriems TIPK leidime ar taršos leidime nustatytas laikinai leidžiamos taršos normatyvas.</w:t>
                  </w:r>
                </w:p>
                <w:p>
                  <w:pPr>
                    <w:widowControl w:val="0"/>
                    <w:suppressAutoHyphens/>
                    <w:ind w:firstLine="567"/>
                    <w:jc w:val="both"/>
                    <w:rPr>
                      <w:color w:val="000000"/>
                    </w:rPr>
                  </w:pPr>
                </w:p>
              </w:sdtContent>
            </w:sdt>
          </w:sdtContent>
        </w:sdt>
        <w:sdt>
          <w:sdtPr>
            <w:alias w:val="skyrius"/>
            <w:tag w:val="part_3208f08ecf454c019f2e3d774f4e8cb4"/>
            <w:lock w:val="sdtLocked"/>
            <w:richText/>
          </w:sdtPr>
          <w:sdtContent>
            <w:p>
              <w:pPr>
                <w:widowControl w:val="0"/>
                <w:suppressAutoHyphens/>
                <w:jc w:val="center"/>
                <w:rPr>
                  <w:b/>
                  <w:bCs/>
                  <w:caps/>
                  <w:color w:val="000000"/>
                </w:rPr>
              </w:pPr>
              <w:sdt>
                <w:sdtPr>
                  <w:alias w:val="Numeris"/>
                  <w:tag w:val="nr_3208f08ecf454c019f2e3d774f4e8cb4"/>
                  <w:lock w:val="sdtLocked"/>
                  <w:richText/>
                </w:sdtPr>
                <w:sdtContent>
                  <w:r>
                    <w:rPr>
                      <w:b/>
                      <w:bCs/>
                      <w:caps/>
                      <w:color w:val="000000"/>
                    </w:rPr>
                    <w:t>IV</w:t>
                  </w:r>
                </w:sdtContent>
              </w:sdt>
              <w:r>
                <w:rPr>
                  <w:b/>
                  <w:bCs/>
                  <w:caps/>
                  <w:color w:val="000000"/>
                </w:rPr>
                <w:t xml:space="preserve"> skyrius</w:t>
              </w:r>
            </w:p>
            <w:p>
              <w:pPr>
                <w:widowControl w:val="0"/>
                <w:suppressAutoHyphens/>
                <w:jc w:val="center"/>
                <w:rPr>
                  <w:color w:val="000000"/>
                </w:rPr>
              </w:pPr>
              <w:sdt>
                <w:sdtPr>
                  <w:alias w:val="Pavadinimas"/>
                  <w:tag w:val="title_3208f08ecf454c019f2e3d774f4e8cb4"/>
                  <w:lock w:val="sdtLocked"/>
                  <w:richText/>
                </w:sdtPr>
                <w:sdtContent>
                  <w:r>
                    <w:rPr>
                      <w:b/>
                      <w:bCs/>
                      <w:caps/>
                      <w:color w:val="000000"/>
                    </w:rPr>
                    <w:t xml:space="preserve">mokesčio lengvatų taikymą patvirtinantys dokumentai </w:t>
                  </w:r>
                </w:sdtContent>
              </w:sdt>
            </w:p>
            <w:p>
              <w:pPr>
                <w:ind w:firstLine="567"/>
                <w:jc w:val="both"/>
                <w:textAlignment w:val="center"/>
                <w:rPr>
                  <w:rFonts w:eastAsia="Calibri"/>
                  <w:szCs w:val="22"/>
                </w:rPr>
              </w:pPr>
            </w:p>
            <w:sdt>
              <w:sdtPr>
                <w:alias w:val="19 p."/>
                <w:tag w:val="part_f391d795cfad4af5952f15086120e18e"/>
                <w:lock w:val="sdtLocked"/>
                <w:richText/>
              </w:sdtPr>
              <w:sdtContent>
                <w:p>
                  <w:pPr>
                    <w:ind w:firstLine="567"/>
                    <w:jc w:val="both"/>
                    <w:textAlignment w:val="center"/>
                    <w:rPr>
                      <w:rFonts w:eastAsia="Calibri"/>
                      <w:szCs w:val="22"/>
                    </w:rPr>
                  </w:pPr>
                  <w:sdt>
                    <w:sdtPr>
                      <w:alias w:val="Numeris"/>
                      <w:tag w:val="nr_f391d795cfad4af5952f15086120e18e"/>
                      <w:lock w:val="sdtLocked"/>
                      <w:richText/>
                    </w:sdtPr>
                    <w:sdtContent>
                      <w:r>
                        <w:rPr>
                          <w:rFonts w:eastAsia="Calibri"/>
                          <w:szCs w:val="22"/>
                        </w:rPr>
                        <w:t>19</w:t>
                      </w:r>
                    </w:sdtContent>
                  </w:sdt>
                  <w:r>
                    <w:rPr>
                      <w:rFonts w:eastAsia="Calibri"/>
                      <w:szCs w:val="22"/>
                    </w:rPr>
                    <w:t>. Mokesčio mokėtojai, kurie naudoja biokurą energijai, įskaitant energiją, kuri panaudojama technologiniuose (gamybiniuose) įrenginiuose, gaminti nuo mokesčio už išmetamus į aplinką teršalus, kurie neviršija TIPK ar taršos leidime nustatytų normatyvų, iki 2027 m. gruodžio 31 d. atleidžiami, jeigu turi šiuos biokuro panaudojimą patvirtinančius dokumentus:</w:t>
                  </w:r>
                </w:p>
                <w:sdt>
                  <w:sdtPr>
                    <w:alias w:val="19.1 pp."/>
                    <w:tag w:val="part_0573de654fb048baa8ad7bd29dd11e6c"/>
                    <w:lock w:val="sdtLocked"/>
                    <w:richText/>
                  </w:sdtPr>
                  <w:sdtContent>
                    <w:p>
                      <w:pPr>
                        <w:ind w:firstLine="567"/>
                        <w:jc w:val="both"/>
                        <w:textAlignment w:val="center"/>
                        <w:rPr>
                          <w:rFonts w:eastAsia="Calibri"/>
                          <w:szCs w:val="22"/>
                        </w:rPr>
                      </w:pPr>
                      <w:sdt>
                        <w:sdtPr>
                          <w:alias w:val="Numeris"/>
                          <w:tag w:val="nr_0573de654fb048baa8ad7bd29dd11e6c"/>
                          <w:lock w:val="sdtLocked"/>
                          <w:richText/>
                        </w:sdtPr>
                        <w:sdtContent>
                          <w:r>
                            <w:rPr>
                              <w:rFonts w:eastAsia="Calibri"/>
                              <w:szCs w:val="22"/>
                            </w:rPr>
                            <w:t>19.1</w:t>
                          </w:r>
                        </w:sdtContent>
                      </w:sdt>
                      <w:r>
                        <w:rPr>
                          <w:rFonts w:eastAsia="Calibri"/>
                          <w:szCs w:val="22"/>
                        </w:rPr>
                        <w:t xml:space="preserve"> biokuro įsigijimo dokumentus (PVM sąskaitos faktūros, sąskaitos faktūros, pirkimo–pardavimo sutartys, kiti dokumentai), – kai biokuras perkamas;</w:t>
                      </w:r>
                    </w:p>
                  </w:sdtContent>
                </w:sdt>
                <w:sdt>
                  <w:sdtPr>
                    <w:alias w:val="19.2 pp."/>
                    <w:tag w:val="part_66a78a225d0944c0837f6ba60141fb7b"/>
                    <w:lock w:val="sdtLocked"/>
                    <w:richText/>
                  </w:sdtPr>
                  <w:sdtContent>
                    <w:p>
                      <w:pPr>
                        <w:ind w:firstLine="567"/>
                        <w:jc w:val="both"/>
                        <w:rPr>
                          <w:szCs w:val="24"/>
                          <w:lang w:eastAsia="lt-LT"/>
                        </w:rPr>
                      </w:pPr>
                      <w:sdt>
                        <w:sdtPr>
                          <w:alias w:val="Numeris"/>
                          <w:tag w:val="nr_66a78a225d0944c0837f6ba60141fb7b"/>
                          <w:lock w:val="sdtLocked"/>
                          <w:richText/>
                        </w:sdtPr>
                        <w:sdtContent>
                          <w:r>
                            <w:rPr>
                              <w:szCs w:val="24"/>
                              <w:lang w:eastAsia="lt-LT"/>
                            </w:rPr>
                            <w:t>19.2</w:t>
                          </w:r>
                        </w:sdtContent>
                      </w:sdt>
                      <w:r>
                        <w:rPr>
                          <w:szCs w:val="24"/>
                          <w:lang w:eastAsia="lt-LT"/>
                        </w:rPr>
                        <w:t xml:space="preserve"> nurašymo aktus, atliekų tvarkymo apskaitos ataskaitą ir energijos gamybos iš atliekų biologiškai skaidžios dalies ataskaitą, ataskaitą apie </w:t>
                      </w:r>
                      <w:r>
                        <w:rPr>
                          <w:color w:val="000000"/>
                          <w:szCs w:val="24"/>
                          <w:lang w:eastAsia="lt-LT"/>
                        </w:rPr>
                        <w:t xml:space="preserve">biologiškai skaidžių </w:t>
                      </w:r>
                      <w:r>
                        <w:rPr>
                          <w:szCs w:val="24"/>
                          <w:lang w:eastAsia="lt-LT"/>
                        </w:rPr>
                        <w:t>atliekų susidarymą gamybos proceso metu, kurias leidžiama deginti kuro deginimo įrenginiuose, – kai naudojami veiklos vykdytojo gamybos procese susidarę cheminėmis medžiagomis neapdoroti ir neužteršti (nedažyti, nelakuoti, neimpregnuoti, neklijuoti ir pan.) šalutiniai produktai, t. y. biologiškai skaidžios atliekos, kurios pagal kilmę gali būti priskiriamos biokurui (pavyzdžiui, medžio žievė, medienos mechaninio apdirbimo liekanos (atraižos, pjuvenos, drožlės ir pan.), iš medienos pagamintos granulės, mediniai padėklai, dėžės, kitokia iš medžio masyvo pagaminta pakuotė, šių gaminių dalys, lūženos, grikių ar kt. augalų stiebai, lukštai ar kitos dalys ir pan.) ir kietojo biokuro kokybės atitiktį patvirtinančius dokumentus, kaip nustatyta Kietojo biokuro kokybės reikalavimuose, patvirtintuose Lietuvos Respublikos energetikos ministro 2017 m. gruodžio 6 d. įsakymu Nr. 1-310 „Dėl Kietojo biokuro reikalavimų patvirtinimo“.</w:t>
                      </w:r>
                    </w:p>
                  </w:sdtContent>
                </w:sdt>
              </w:sdtContent>
            </w:sdt>
            <w:sdt>
              <w:sdtPr>
                <w:alias w:val="20 p."/>
                <w:tag w:val="part_387a4cf201db43539005c2c7ce566130"/>
                <w:lock w:val="sdtLocked"/>
                <w:richText/>
              </w:sdtPr>
              <w:sdtContent>
                <w:p>
                  <w:pPr>
                    <w:ind w:firstLine="567"/>
                    <w:jc w:val="both"/>
                    <w:rPr>
                      <w:color w:val="000000"/>
                    </w:rPr>
                  </w:pPr>
                  <w:sdt>
                    <w:sdtPr>
                      <w:alias w:val="Numeris"/>
                      <w:tag w:val="nr_387a4cf201db43539005c2c7ce566130"/>
                      <w:lock w:val="sdtLocked"/>
                      <w:richText/>
                    </w:sdtPr>
                    <w:sdtContent>
                      <w:r>
                        <w:rPr>
                          <w:szCs w:val="24"/>
                          <w:lang w:eastAsia="lt-LT"/>
                        </w:rPr>
                        <w:t>20</w:t>
                      </w:r>
                    </w:sdtContent>
                  </w:sdt>
                  <w:r>
                    <w:rPr>
                      <w:szCs w:val="24"/>
                      <w:lang w:eastAsia="lt-LT"/>
                    </w:rPr>
                    <w:t>. Biokuro įsigijimo ir sunaudojimo energijai gaminti</w:t>
                  </w:r>
                  <w:r>
                    <w:rPr>
                      <w:b/>
                      <w:szCs w:val="24"/>
                      <w:lang w:eastAsia="lt-LT"/>
                    </w:rPr>
                    <w:t xml:space="preserve"> </w:t>
                  </w:r>
                  <w:r>
                    <w:rPr>
                      <w:szCs w:val="24"/>
                      <w:lang w:eastAsia="lt-LT"/>
                    </w:rPr>
                    <w:t>dokumentai pateikiami vykdant mokesčio kontrolę įmonėje, kai to pareikalauja aplinkos apsaugos</w:t>
                  </w:r>
                  <w:r>
                    <w:rPr>
                      <w:color w:val="000000"/>
                      <w:lang w:eastAsia="lt-LT"/>
                    </w:rPr>
                    <w:t xml:space="preserve"> valstybinės kontrolės </w:t>
                  </w:r>
                  <w:r>
                    <w:rPr>
                      <w:szCs w:val="24"/>
                      <w:lang w:eastAsia="lt-LT"/>
                    </w:rPr>
                    <w:t>ir (ar) mokesčių inspekcijos pareigūnas.</w:t>
                  </w:r>
                </w:p>
              </w:sdtContent>
            </w:sdt>
          </w:sdtContent>
        </w:sdt>
        <w:sdt>
          <w:sdtPr>
            <w:alias w:val="pabaiga"/>
            <w:tag w:val="part_c8c9a8e1f8574baca09b91e931c8a294"/>
            <w:lock w:val="sdtLocked"/>
            <w:richText/>
          </w:sdtPr>
          <w:sdtContent>
            <w:p>
              <w:pPr>
                <w:widowControl w:val="0"/>
                <w:suppressAutoHyphens/>
                <w:jc w:val="center"/>
              </w:pPr>
              <w:r>
                <w:rPr>
                  <w:color w:val="000000"/>
                </w:rPr>
                <w:t>_______________</w:t>
              </w:r>
            </w:p>
            <w:p>
              <w:pPr>
                <w:tabs>
                  <w:tab w:val="center" w:pos="4153"/>
                  <w:tab w:val="right" w:pos="9100"/>
                </w:tabs>
                <w:suppressAutoHyphens/>
                <w:rPr>
                  <w:rFonts w:ascii="Tahoma" w:hAnsi="Tahoma"/>
                  <w:spacing w:val="10"/>
                  <w:sz w:val="20"/>
                  <w:lang w:eastAsia="lt-LT"/>
                </w:rPr>
              </w:pPr>
            </w:p>
          </w:sdtContent>
        </w:sdt>
      </w:sdtContent>
    </w:sdt>
    <w:sdt>
      <w:sdtPr>
        <w:alias w:val="patvirtinta"/>
        <w:tag w:val="part_bef52015973b4f3da1ecfc1ce365cf2a"/>
        <w:lock w:val="sdtLocked"/>
        <w:richText/>
      </w:sdtPr>
      <w:sdtContent>
        <w:p>
          <w:pPr>
            <w:widowControl w:val="0"/>
            <w:ind w:left="5670"/>
            <w:sectPr>
              <w:headerReference w:type="first" r:id="rId22"/>
              <w:footnotePr>
                <w:pos w:val="beneathText"/>
              </w:footnotePr>
              <w:pgSz w:w="11905" w:h="16837"/>
              <w:pgMar w:top="1701" w:right="567" w:bottom="1134" w:left="1701" w:header="568" w:footer="919" w:gutter="0"/>
              <w:pgNumType w:start="1"/>
              <w:cols w:space="1296"/>
              <w:formProt w:val="0"/>
              <w:titlePg/>
              <w:docGrid w:linePitch="360"/>
            </w:sectPr>
          </w:pPr>
        </w:p>
        <w:p>
          <w:pPr>
            <w:widowControl w:val="0"/>
            <w:ind w:left="5670"/>
            <w:rPr>
              <w:color w:val="000000"/>
            </w:rPr>
          </w:pPr>
          <w:r>
            <w:rPr>
              <w:color w:val="000000"/>
            </w:rPr>
            <w:t>PATVIRTINTA</w:t>
          </w:r>
        </w:p>
        <w:p>
          <w:pPr>
            <w:widowControl w:val="0"/>
            <w:ind w:left="5670"/>
            <w:rPr>
              <w:color w:val="000000"/>
            </w:rPr>
          </w:pPr>
          <w:r>
            <w:rPr>
              <w:color w:val="000000"/>
            </w:rPr>
            <w:t>Lietuvos Respublikos aplinkos ministro</w:t>
          </w:r>
        </w:p>
        <w:p>
          <w:pPr>
            <w:widowControl w:val="0"/>
            <w:ind w:left="5670"/>
            <w:rPr>
              <w:color w:val="000000"/>
            </w:rPr>
          </w:pPr>
          <w:r>
            <w:rPr>
              <w:color w:val="000000"/>
            </w:rPr>
            <w:t xml:space="preserve">2021 m. kovo 10 d. </w:t>
          </w:r>
        </w:p>
        <w:p>
          <w:pPr>
            <w:widowControl w:val="0"/>
            <w:ind w:left="5670"/>
            <w:rPr>
              <w:color w:val="000000"/>
            </w:rPr>
          </w:pPr>
          <w:r>
            <w:rPr>
              <w:color w:val="000000"/>
            </w:rPr>
            <w:t>įsakymu Nr. D1-143</w:t>
          </w:r>
        </w:p>
        <w:p>
          <w:pPr>
            <w:widowControl w:val="0"/>
            <w:ind w:firstLine="567"/>
            <w:jc w:val="both"/>
            <w:rPr>
              <w:color w:val="000000"/>
            </w:rPr>
          </w:pPr>
        </w:p>
        <w:p>
          <w:pPr>
            <w:widowControl w:val="0"/>
            <w:jc w:val="center"/>
            <w:rPr>
              <w:b/>
              <w:bCs/>
              <w:caps/>
              <w:color w:val="000000"/>
            </w:rPr>
          </w:pPr>
          <w:sdt>
            <w:sdtPr>
              <w:alias w:val="Pavadinimas"/>
              <w:tag w:val="title_bef52015973b4f3da1ecfc1ce365cf2a"/>
              <w:lock w:val="sdtLocked"/>
              <w:richText/>
            </w:sdtPr>
            <w:sdtContent>
              <w:r>
                <w:rPr>
                  <w:b/>
                  <w:bCs/>
                  <w:caps/>
                  <w:color w:val="000000"/>
                </w:rPr>
                <w:t>MOKESČIO UŽ APLINKOS TERŠIMĄ ir nuslėptą taršą GAMINIŲ ATLIEKOMIS APSKAIČIAVIMO tvARKOS APRAŠAS</w:t>
              </w:r>
            </w:sdtContent>
          </w:sdt>
        </w:p>
        <w:p>
          <w:pPr>
            <w:widowControl w:val="0"/>
            <w:jc w:val="center"/>
            <w:rPr>
              <w:b/>
              <w:bCs/>
              <w:caps/>
              <w:color w:val="000000"/>
            </w:rPr>
          </w:pPr>
        </w:p>
        <w:sdt>
          <w:sdtPr>
            <w:alias w:val="skyrius"/>
            <w:tag w:val="part_8dd787a4fd144805b49dffb3beedb353"/>
            <w:lock w:val="sdtLocked"/>
            <w:richText/>
          </w:sdtPr>
          <w:sdtContent>
            <w:p>
              <w:pPr>
                <w:widowControl w:val="0"/>
                <w:jc w:val="center"/>
                <w:rPr>
                  <w:b/>
                  <w:bCs/>
                  <w:caps/>
                  <w:color w:val="000000"/>
                </w:rPr>
              </w:pPr>
              <w:sdt>
                <w:sdtPr>
                  <w:alias w:val="Numeris"/>
                  <w:tag w:val="nr_8dd787a4fd144805b49dffb3beedb353"/>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8dd787a4fd144805b49dffb3beedb353"/>
                  <w:lock w:val="sdtLocked"/>
                  <w:richText/>
                </w:sdtPr>
                <w:sdtContent>
                  <w:r>
                    <w:rPr>
                      <w:b/>
                      <w:bCs/>
                      <w:caps/>
                      <w:color w:val="000000"/>
                    </w:rPr>
                    <w:t>BENDROSIOS NUOSTATOS</w:t>
                  </w:r>
                </w:sdtContent>
              </w:sdt>
            </w:p>
            <w:p>
              <w:pPr>
                <w:widowControl w:val="0"/>
                <w:jc w:val="center"/>
                <w:rPr>
                  <w:b/>
                  <w:bCs/>
                  <w:caps/>
                  <w:color w:val="000000"/>
                </w:rPr>
              </w:pPr>
            </w:p>
            <w:sdt>
              <w:sdtPr>
                <w:alias w:val="1 p."/>
                <w:tag w:val="part_930ccf2a9c484ab6babf9d89ae0ab57f"/>
                <w:lock w:val="sdtLocked"/>
                <w:richText/>
              </w:sdtPr>
              <w:sdtContent>
                <w:p>
                  <w:pPr>
                    <w:widowControl w:val="0"/>
                    <w:ind w:firstLine="567"/>
                    <w:jc w:val="both"/>
                    <w:rPr>
                      <w:color w:val="000000"/>
                    </w:rPr>
                  </w:pPr>
                  <w:sdt>
                    <w:sdtPr>
                      <w:alias w:val="Numeris"/>
                      <w:tag w:val="nr_930ccf2a9c484ab6babf9d89ae0ab57f"/>
                      <w:lock w:val="sdtLocked"/>
                      <w:richText/>
                    </w:sdtPr>
                    <w:sdtContent>
                      <w:r>
                        <w:rPr>
                          <w:color w:val="000000"/>
                        </w:rPr>
                        <w:t>1</w:t>
                      </w:r>
                    </w:sdtContent>
                  </w:sdt>
                  <w:r>
                    <w:rPr>
                      <w:color w:val="000000"/>
                    </w:rPr>
                    <w:t xml:space="preserve">. Mokesčio už aplinkos teršimą ir nuslėptą taršą gaminių atliekomis apskaičiavimo tvarkos aprašas (toliau – Tvarkos aprašas) nustato mokesčio už aplinkos teršimą ir nuslėptą taršą gaminių atliekomis apskaičiavimo tvarką; </w:t>
                  </w:r>
                  <w:r>
                    <w:rPr>
                      <w:szCs w:val="24"/>
                      <w:lang w:eastAsia="lt-LT"/>
                    </w:rPr>
                    <w:t xml:space="preserve">dokumentų, patvirtinančių išvežtą iš Lietuvos Respublikos teritorijos gaminių kiekį, pateikimo tvarką ir </w:t>
                  </w:r>
                  <w:r>
                    <w:rPr>
                      <w:color w:val="000000"/>
                    </w:rPr>
                    <w:t>d</w:t>
                  </w:r>
                  <w:r>
                    <w:rPr>
                      <w:color w:val="000000"/>
                      <w:szCs w:val="24"/>
                      <w:lang w:eastAsia="lt-LT"/>
                    </w:rPr>
                    <w:t xml:space="preserve">okumentų, patvirtinančių gaminių atliekų naudojimo ir (ar) perdirbimo užduoties įvykdymą, turėjimo </w:t>
                  </w:r>
                  <w:r>
                    <w:rPr>
                      <w:color w:val="000000"/>
                    </w:rPr>
                    <w:t>tvarką.</w:t>
                  </w:r>
                </w:p>
              </w:sdtContent>
            </w:sdt>
            <w:sdt>
              <w:sdtPr>
                <w:alias w:val="2 p."/>
                <w:tag w:val="part_8579c6c3ea6c4f418bd62676237610a6"/>
                <w:lock w:val="sdtLocked"/>
                <w:richText/>
              </w:sdtPr>
              <w:sdtContent>
                <w:p>
                  <w:pPr>
                    <w:widowControl w:val="0"/>
                    <w:ind w:firstLine="567"/>
                    <w:jc w:val="both"/>
                    <w:rPr>
                      <w:color w:val="000000"/>
                    </w:rPr>
                  </w:pPr>
                  <w:sdt>
                    <w:sdtPr>
                      <w:alias w:val="Numeris"/>
                      <w:tag w:val="nr_8579c6c3ea6c4f418bd62676237610a6"/>
                      <w:lock w:val="sdtLocked"/>
                      <w:richText/>
                    </w:sdtPr>
                    <w:sdtContent>
                      <w:r>
                        <w:rPr>
                          <w:color w:val="000000"/>
                        </w:rPr>
                        <w:t>2</w:t>
                      </w:r>
                    </w:sdtContent>
                  </w:sdt>
                  <w:r>
                    <w:rPr>
                      <w:color w:val="000000"/>
                    </w:rPr>
                    <w:t>. Tvarkos apraše vartojamos sąvokos atitinka Lietuvos Respublikos mokesčio už aplinkos teršimą įstatyme, Lietuvos Respublikos atliekų tvarkymo įstatyme ir Lietuvos Respublikos aplinkos apsaugos valstybinės kontrolės įstatyme įtvirtintas sąvokas.</w:t>
                  </w:r>
                </w:p>
                <w:p>
                  <w:pPr>
                    <w:widowControl w:val="0"/>
                    <w:ind w:firstLine="567"/>
                    <w:jc w:val="both"/>
                    <w:rPr>
                      <w:color w:val="000000"/>
                    </w:rPr>
                  </w:pPr>
                </w:p>
              </w:sdtContent>
            </w:sdt>
          </w:sdtContent>
        </w:sdt>
        <w:sdt>
          <w:sdtPr>
            <w:alias w:val="skyrius"/>
            <w:tag w:val="part_b858c95b70df4e4abbad8ec76f4991bd"/>
            <w:lock w:val="sdtLocked"/>
            <w:richText/>
          </w:sdtPr>
          <w:sdtContent>
            <w:p>
              <w:pPr>
                <w:widowControl w:val="0"/>
                <w:jc w:val="center"/>
                <w:rPr>
                  <w:b/>
                  <w:bCs/>
                  <w:caps/>
                  <w:color w:val="000000"/>
                </w:rPr>
              </w:pPr>
              <w:sdt>
                <w:sdtPr>
                  <w:alias w:val="Numeris"/>
                  <w:tag w:val="nr_b858c95b70df4e4abbad8ec76f4991bd"/>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b858c95b70df4e4abbad8ec76f4991bd"/>
                  <w:lock w:val="sdtLocked"/>
                  <w:richText/>
                </w:sdtPr>
                <w:sdtContent>
                  <w:r>
                    <w:rPr>
                      <w:b/>
                      <w:bCs/>
                      <w:caps/>
                      <w:color w:val="000000"/>
                    </w:rPr>
                    <w:t>MOKESČIO APSKAIČIAVIMAS</w:t>
                  </w:r>
                </w:sdtContent>
              </w:sdt>
            </w:p>
            <w:p>
              <w:pPr>
                <w:widowControl w:val="0"/>
                <w:ind w:firstLine="567"/>
                <w:jc w:val="both"/>
                <w:rPr>
                  <w:color w:val="000000"/>
                </w:rPr>
              </w:pPr>
            </w:p>
            <w:sdt>
              <w:sdtPr>
                <w:alias w:val="3 p."/>
                <w:tag w:val="part_3b69b8ef28d945598c977ae513c9d772"/>
                <w:lock w:val="sdtLocked"/>
                <w:richText/>
              </w:sdtPr>
              <w:sdtContent>
                <w:p>
                  <w:pPr>
                    <w:widowControl w:val="0"/>
                    <w:ind w:firstLine="567"/>
                    <w:jc w:val="both"/>
                    <w:rPr>
                      <w:color w:val="000000"/>
                    </w:rPr>
                  </w:pPr>
                  <w:sdt>
                    <w:sdtPr>
                      <w:alias w:val="Numeris"/>
                      <w:tag w:val="nr_3b69b8ef28d945598c977ae513c9d772"/>
                      <w:lock w:val="sdtLocked"/>
                      <w:richText/>
                    </w:sdtPr>
                    <w:sdtContent>
                      <w:r>
                        <w:rPr>
                          <w:color w:val="000000"/>
                        </w:rPr>
                        <w:t>3</w:t>
                      </w:r>
                    </w:sdtContent>
                  </w:sdt>
                  <w:r>
                    <w:rPr>
                      <w:color w:val="000000"/>
                    </w:rPr>
                    <w:t>. Vidaus rinkai tiektų atitinkamos rūšies gaminių kiekis (tonomis) apskaičiuojamas pagal formulę:</w:t>
                  </w:r>
                </w:p>
                <w:p>
                  <w:pPr>
                    <w:widowControl w:val="0"/>
                    <w:ind w:firstLine="567"/>
                    <w:jc w:val="both"/>
                    <w:rPr>
                      <w:color w:val="000000"/>
                    </w:rPr>
                  </w:pPr>
                </w:p>
                <w:p>
                  <w:pPr>
                    <w:widowControl w:val="0"/>
                    <w:ind w:firstLine="567"/>
                    <w:jc w:val="both"/>
                    <w:rPr>
                      <w:color w:val="000000"/>
                    </w:rPr>
                  </w:pPr>
                  <w:r>
                    <w:rPr>
                      <w:color w:val="000000"/>
                    </w:rPr>
                    <w:t>Q = Q</w:t>
                  </w:r>
                  <w:r>
                    <w:rPr>
                      <w:color w:val="000000"/>
                      <w:vertAlign w:val="subscript"/>
                    </w:rPr>
                    <w:t>PAG</w:t>
                  </w:r>
                  <w:r>
                    <w:rPr>
                      <w:color w:val="000000"/>
                    </w:rPr>
                    <w:t xml:space="preserve"> + Q</w:t>
                  </w:r>
                  <w:r>
                    <w:rPr>
                      <w:color w:val="000000"/>
                      <w:vertAlign w:val="subscript"/>
                    </w:rPr>
                    <w:t>ĮVE</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Q – mokesčio mokėtojo per mokestinį laikotarpį vidaus rinkai tiektų atitinkamos rūšies gaminių kiekis (t);</w:t>
                  </w:r>
                </w:p>
                <w:p>
                  <w:pPr>
                    <w:widowControl w:val="0"/>
                    <w:ind w:firstLine="567"/>
                    <w:jc w:val="both"/>
                    <w:rPr>
                      <w:color w:val="000000"/>
                    </w:rPr>
                  </w:pPr>
                  <w:r>
                    <w:rPr>
                      <w:color w:val="000000"/>
                    </w:rPr>
                    <w:t>Q</w:t>
                  </w:r>
                  <w:r>
                    <w:rPr>
                      <w:color w:val="000000"/>
                      <w:vertAlign w:val="subscript"/>
                    </w:rPr>
                    <w:t>PAG</w:t>
                  </w:r>
                  <w:r>
                    <w:rPr>
                      <w:color w:val="000000"/>
                    </w:rPr>
                    <w:t xml:space="preserve"> – mokesčio mokėtojo per mokestinį laikotarpį Lietuvoje pagamintų ir vidaus rinkai tiektų atitinkamos rūšies gaminių kiekis (t);</w:t>
                  </w:r>
                </w:p>
                <w:p>
                  <w:pPr>
                    <w:widowControl w:val="0"/>
                    <w:ind w:firstLine="567"/>
                    <w:jc w:val="both"/>
                    <w:rPr>
                      <w:color w:val="000000"/>
                    </w:rPr>
                  </w:pPr>
                  <w:r>
                    <w:rPr>
                      <w:color w:val="000000"/>
                    </w:rPr>
                    <w:t>Q</w:t>
                  </w:r>
                  <w:r>
                    <w:rPr>
                      <w:color w:val="000000"/>
                      <w:vertAlign w:val="subscript"/>
                    </w:rPr>
                    <w:t>ĮVE</w:t>
                  </w:r>
                  <w:r>
                    <w:rPr>
                      <w:color w:val="000000"/>
                    </w:rPr>
                    <w:t xml:space="preserve"> – mokesčio mokėtojo per mokestinį laikotarpį į Lietuvą importuotų ir (ar) įvežtų ir vidaus rinkai tiektų atitinkamos rūšies gaminių kiekis (t).</w:t>
                  </w:r>
                </w:p>
              </w:sdtContent>
            </w:sdt>
            <w:sdt>
              <w:sdtPr>
                <w:alias w:val="4 p."/>
                <w:tag w:val="part_e777ee8d405743218309e62278c70079"/>
                <w:lock w:val="sdtLocked"/>
                <w:richText/>
              </w:sdtPr>
              <w:sdtContent>
                <w:p>
                  <w:pPr>
                    <w:widowControl w:val="0"/>
                    <w:ind w:firstLine="567"/>
                    <w:jc w:val="both"/>
                    <w:rPr>
                      <w:color w:val="000000"/>
                    </w:rPr>
                  </w:pPr>
                  <w:sdt>
                    <w:sdtPr>
                      <w:alias w:val="Numeris"/>
                      <w:tag w:val="nr_e777ee8d405743218309e62278c70079"/>
                      <w:lock w:val="sdtLocked"/>
                      <w:richText/>
                    </w:sdtPr>
                    <w:sdtContent>
                      <w:r>
                        <w:rPr>
                          <w:color w:val="000000"/>
                        </w:rPr>
                        <w:t>4</w:t>
                      </w:r>
                    </w:sdtContent>
                  </w:sdt>
                  <w:r>
                    <w:rPr>
                      <w:color w:val="000000"/>
                    </w:rPr>
                    <w:t>. Atitinkamos rūšies gaminių atliekų naudojimo ir (ar) perdirbimo kiekio užduoties įvykdymas (procentais) apskaičiuojamas pagal formulę:</w:t>
                  </w:r>
                </w:p>
                <w:p>
                  <w:pPr>
                    <w:widowControl w:val="0"/>
                    <w:ind w:firstLine="567"/>
                    <w:jc w:val="both"/>
                    <w:rPr>
                      <w:color w:val="000000"/>
                    </w:rPr>
                  </w:pPr>
                </w:p>
                <w:p>
                  <w:pPr>
                    <w:widowControl w:val="0"/>
                    <w:ind w:firstLine="567"/>
                    <w:jc w:val="both"/>
                    <w:rPr>
                      <w:color w:val="000000"/>
                    </w:rPr>
                  </w:pPr>
                  <w:r>
                    <w:rPr>
                      <w:color w:val="000000"/>
                    </w:rPr>
                    <w:t>F = (Q</w:t>
                  </w:r>
                  <w:r>
                    <w:rPr>
                      <w:color w:val="000000"/>
                      <w:vertAlign w:val="subscript"/>
                    </w:rPr>
                    <w:t>SUT</w:t>
                  </w:r>
                  <w:r>
                    <w:rPr>
                      <w:color w:val="000000"/>
                    </w:rPr>
                    <w:t xml:space="preserve"> / Q) x 100</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F – faktinis užduoties vykdymas (%);</w:t>
                  </w:r>
                </w:p>
                <w:p>
                  <w:pPr>
                    <w:widowControl w:val="0"/>
                    <w:ind w:firstLine="567"/>
                    <w:jc w:val="both"/>
                    <w:rPr>
                      <w:color w:val="000000"/>
                    </w:rPr>
                  </w:pPr>
                  <w:r>
                    <w:rPr>
                      <w:color w:val="000000"/>
                    </w:rPr>
                    <w:t>Q – mokesčio mokėtojo per mokestinį laikotarpį vidaus rinkai tiektų atitinkamos rūšies gaminių kiekis (t);</w:t>
                  </w:r>
                </w:p>
                <w:p>
                  <w:pPr>
                    <w:widowControl w:val="0"/>
                    <w:ind w:firstLine="567"/>
                    <w:jc w:val="both"/>
                    <w:rPr>
                      <w:color w:val="000000"/>
                    </w:rPr>
                  </w:pPr>
                  <w:r>
                    <w:rPr>
                      <w:color w:val="000000"/>
                    </w:rPr>
                    <w:t>Q</w:t>
                  </w:r>
                  <w:r>
                    <w:rPr>
                      <w:color w:val="000000"/>
                      <w:vertAlign w:val="subscript"/>
                    </w:rPr>
                    <w:t>SUT</w:t>
                  </w:r>
                  <w:r>
                    <w:rPr>
                      <w:color w:val="000000"/>
                    </w:rPr>
                    <w:t xml:space="preserve"> – panaudotų ir (ar) perdirbtų atitinkamos rūšies gaminių atliekų kiekis (t).</w:t>
                  </w:r>
                </w:p>
              </w:sdtContent>
            </w:sdt>
            <w:sdt>
              <w:sdtPr>
                <w:alias w:val="5 p."/>
                <w:tag w:val="part_b9c9e140d4b54d569f0a642f8a837236"/>
                <w:lock w:val="sdtLocked"/>
                <w:richText/>
              </w:sdtPr>
              <w:sdtContent>
                <w:p>
                  <w:pPr>
                    <w:widowControl w:val="0"/>
                    <w:ind w:firstLine="567"/>
                    <w:jc w:val="both"/>
                    <w:rPr>
                      <w:color w:val="000000"/>
                    </w:rPr>
                  </w:pPr>
                  <w:sdt>
                    <w:sdtPr>
                      <w:alias w:val="Numeris"/>
                      <w:tag w:val="nr_b9c9e140d4b54d569f0a642f8a837236"/>
                      <w:lock w:val="sdtLocked"/>
                      <w:richText/>
                    </w:sdtPr>
                    <w:sdtContent>
                      <w:r>
                        <w:rPr>
                          <w:color w:val="000000"/>
                        </w:rPr>
                        <w:t>5</w:t>
                      </w:r>
                    </w:sdtContent>
                  </w:sdt>
                  <w:r>
                    <w:rPr>
                      <w:color w:val="000000"/>
                    </w:rPr>
                    <w:t>. Atitinkamos rūšies gaminių atliekų naudojimo ir (ar) perdirbimo užduoties įvykdymo lygis apskaičiuojamas pagal formulę:</w:t>
                  </w:r>
                </w:p>
                <w:p>
                  <w:pPr>
                    <w:widowControl w:val="0"/>
                    <w:ind w:firstLine="567"/>
                    <w:jc w:val="both"/>
                    <w:rPr>
                      <w:color w:val="000000"/>
                    </w:rPr>
                  </w:pPr>
                </w:p>
                <w:p>
                  <w:pPr>
                    <w:widowControl w:val="0"/>
                    <w:ind w:firstLine="567"/>
                    <w:jc w:val="both"/>
                    <w:rPr>
                      <w:color w:val="000000"/>
                    </w:rPr>
                  </w:pPr>
                  <w:r>
                    <w:rPr>
                      <w:i/>
                      <w:color w:val="000000"/>
                    </w:rPr>
                    <w:t>l</w:t>
                  </w:r>
                  <w:r>
                    <w:rPr>
                      <w:color w:val="000000"/>
                    </w:rPr>
                    <w:t xml:space="preserve"> = F / U</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i/>
                      <w:color w:val="000000"/>
                    </w:rPr>
                    <w:t>l</w:t>
                  </w:r>
                  <w:r>
                    <w:rPr>
                      <w:color w:val="000000"/>
                    </w:rPr>
                    <w:t xml:space="preserve"> – panaudotų ir (ar) perdirbtų atitinkamos rūšies gaminių atliekų užduoties įvykdymo lygis;</w:t>
                  </w:r>
                </w:p>
                <w:p>
                  <w:pPr>
                    <w:widowControl w:val="0"/>
                    <w:ind w:firstLine="567"/>
                    <w:jc w:val="both"/>
                    <w:rPr>
                      <w:color w:val="000000"/>
                    </w:rPr>
                  </w:pPr>
                  <w:r>
                    <w:rPr>
                      <w:color w:val="000000"/>
                    </w:rPr>
                    <w:t>F – faktinis užduoties vykdymas (%);</w:t>
                  </w:r>
                </w:p>
                <w:p>
                  <w:pPr>
                    <w:widowControl w:val="0"/>
                    <w:ind w:firstLine="567"/>
                    <w:jc w:val="both"/>
                    <w:rPr>
                      <w:color w:val="000000"/>
                    </w:rPr>
                  </w:pPr>
                  <w:r>
                    <w:rPr>
                      <w:color w:val="000000"/>
                    </w:rPr>
                    <w:t>U – gaminių atliekų naudojimo ir (ar) perdirbimo užduotis atitinkamai gaminių rūšiai (%), nustatyta Apmokestinamųjų gaminių ir pakuočių atliekų naudojimo ir (ar) perdirbimo užduotyse, patvirtintose Lietuvos Respublikos Vyriausybės 2006 m. lapkričio 24 d. nutarimu Nr. 1168 „Dėl Apmokestinamųjų gaminių ir pakuočių atliekų naudojimo ir (ar) perdirbimo užduočių patvirtinimo“.</w:t>
                  </w:r>
                </w:p>
              </w:sdtContent>
            </w:sdt>
            <w:sdt>
              <w:sdtPr>
                <w:alias w:val="6 p."/>
                <w:tag w:val="part_5cd6f658625d462a84add6d9738d5883"/>
                <w:lock w:val="sdtLocked"/>
                <w:richText/>
              </w:sdtPr>
              <w:sdtContent>
                <w:p>
                  <w:pPr>
                    <w:widowControl w:val="0"/>
                    <w:ind w:firstLine="567"/>
                    <w:jc w:val="both"/>
                    <w:rPr>
                      <w:color w:val="000000"/>
                    </w:rPr>
                  </w:pPr>
                  <w:sdt>
                    <w:sdtPr>
                      <w:alias w:val="Numeris"/>
                      <w:tag w:val="nr_5cd6f658625d462a84add6d9738d5883"/>
                      <w:lock w:val="sdtLocked"/>
                      <w:richText/>
                    </w:sdtPr>
                    <w:sdtContent>
                      <w:r>
                        <w:rPr>
                          <w:color w:val="000000"/>
                        </w:rPr>
                        <w:t>6</w:t>
                      </w:r>
                    </w:sdtContent>
                  </w:sdt>
                  <w:r>
                    <w:rPr>
                      <w:color w:val="000000"/>
                    </w:rPr>
                    <w:t>. Mokesčio už aplinkos teršimą atitinkamos rūšies gaminių atliekomis sumažinimo koeficientas pagal atitinkamos užduoties įvykdymo lygį apskaičiuojamas pagal formulę:</w:t>
                  </w:r>
                </w:p>
                <w:p>
                  <w:pPr>
                    <w:widowControl w:val="0"/>
                    <w:ind w:firstLine="567"/>
                    <w:jc w:val="both"/>
                    <w:rPr>
                      <w:iCs/>
                      <w:color w:val="000000"/>
                    </w:rPr>
                  </w:pPr>
                </w:p>
                <w:p>
                  <w:pPr>
                    <w:widowControl w:val="0"/>
                    <w:ind w:firstLine="567"/>
                    <w:jc w:val="both"/>
                    <w:rPr>
                      <w:color w:val="000000"/>
                    </w:rPr>
                  </w:pPr>
                  <w:r>
                    <w:rPr>
                      <w:iCs/>
                      <w:color w:val="000000"/>
                    </w:rPr>
                    <w:t>d</w:t>
                  </w:r>
                  <w:r>
                    <w:rPr>
                      <w:i/>
                      <w:iCs/>
                      <w:color w:val="000000"/>
                    </w:rPr>
                    <w:t xml:space="preserve"> = </w:t>
                  </w:r>
                  <w:r>
                    <w:rPr>
                      <w:iCs/>
                      <w:color w:val="000000"/>
                    </w:rPr>
                    <w:t>0</w:t>
                  </w:r>
                  <w:r>
                    <w:rPr>
                      <w:i/>
                      <w:iCs/>
                      <w:color w:val="000000"/>
                    </w:rPr>
                    <w:t xml:space="preserve">, </w:t>
                  </w:r>
                  <w:r>
                    <w:rPr>
                      <w:iCs/>
                      <w:color w:val="000000"/>
                    </w:rPr>
                    <w:t>kai</w:t>
                  </w:r>
                  <w:r>
                    <w:rPr>
                      <w:i/>
                      <w:iCs/>
                      <w:color w:val="000000"/>
                    </w:rPr>
                    <w:t xml:space="preserve"> l </w:t>
                  </w:r>
                  <w:r>
                    <w:rPr>
                      <w:iCs/>
                      <w:color w:val="000000"/>
                    </w:rPr>
                    <w:t>≥</w:t>
                  </w:r>
                  <w:r>
                    <w:rPr>
                      <w:color w:val="000000"/>
                    </w:rPr>
                    <w:t xml:space="preserve"> 1 arba</w:t>
                  </w:r>
                </w:p>
                <w:p>
                  <w:pPr>
                    <w:widowControl w:val="0"/>
                    <w:ind w:firstLine="567"/>
                    <w:jc w:val="both"/>
                    <w:rPr>
                      <w:color w:val="000000"/>
                    </w:rPr>
                  </w:pPr>
                  <w:r>
                    <w:rPr>
                      <w:iCs/>
                      <w:color w:val="000000"/>
                    </w:rPr>
                    <w:t>d</w:t>
                  </w:r>
                  <w:r>
                    <w:rPr>
                      <w:i/>
                      <w:iCs/>
                      <w:color w:val="000000"/>
                    </w:rPr>
                    <w:t xml:space="preserve"> = </w:t>
                  </w:r>
                  <w:r>
                    <w:rPr>
                      <w:color w:val="000000"/>
                    </w:rPr>
                    <w:t>1</w:t>
                  </w:r>
                  <w:r>
                    <w:rPr>
                      <w:i/>
                      <w:iCs/>
                      <w:color w:val="000000"/>
                    </w:rPr>
                    <w:t xml:space="preserve"> – l, </w:t>
                  </w:r>
                  <w:r>
                    <w:rPr>
                      <w:iCs/>
                      <w:color w:val="000000"/>
                    </w:rPr>
                    <w:t>kai</w:t>
                  </w:r>
                  <w:r>
                    <w:rPr>
                      <w:color w:val="000000"/>
                    </w:rPr>
                    <w:t xml:space="preserve"> 1 &gt;</w:t>
                  </w:r>
                  <w:r>
                    <w:rPr>
                      <w:i/>
                      <w:iCs/>
                      <w:color w:val="000000"/>
                    </w:rPr>
                    <w:t xml:space="preserve"> l </w:t>
                  </w:r>
                  <w:r>
                    <w:rPr>
                      <w:iCs/>
                      <w:color w:val="000000"/>
                    </w:rPr>
                    <w:t>≥</w:t>
                  </w:r>
                  <w:r>
                    <w:rPr>
                      <w:color w:val="000000"/>
                    </w:rPr>
                    <w:t xml:space="preserve"> 0</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d – mokesčio už aplinkos teršimą atitinkamos rūšies gaminių atliekomis sumažinimo koeficientas (apmokestinama gaminių dalis);</w:t>
                  </w:r>
                </w:p>
                <w:p>
                  <w:pPr>
                    <w:widowControl w:val="0"/>
                    <w:ind w:firstLine="567"/>
                    <w:jc w:val="both"/>
                    <w:rPr>
                      <w:color w:val="000000"/>
                    </w:rPr>
                  </w:pPr>
                  <w:r>
                    <w:rPr>
                      <w:i/>
                      <w:color w:val="000000"/>
                    </w:rPr>
                    <w:t>l</w:t>
                  </w:r>
                  <w:r>
                    <w:rPr>
                      <w:color w:val="000000"/>
                    </w:rPr>
                    <w:t xml:space="preserve"> – panaudotų ir (ar) perdirbtų atitinkamos rūšies gaminių atliekų užduoties įvykdymas.</w:t>
                  </w:r>
                </w:p>
              </w:sdtContent>
            </w:sdt>
            <w:sdt>
              <w:sdtPr>
                <w:alias w:val="7 p."/>
                <w:tag w:val="part_d33a91d1517741be9b881127c7f5ae70"/>
                <w:lock w:val="sdtLocked"/>
                <w:richText/>
              </w:sdtPr>
              <w:sdtContent>
                <w:p>
                  <w:pPr>
                    <w:tabs>
                      <w:tab w:val="left" w:pos="993"/>
                    </w:tabs>
                    <w:suppressAutoHyphens/>
                    <w:ind w:firstLine="567"/>
                    <w:jc w:val="both"/>
                    <w:textAlignment w:val="center"/>
                    <w:rPr>
                      <w:rFonts w:eastAsia="Calibri"/>
                      <w:color w:val="000000"/>
                      <w:szCs w:val="24"/>
                    </w:rPr>
                  </w:pPr>
                  <w:sdt>
                    <w:sdtPr>
                      <w:alias w:val="Numeris"/>
                      <w:tag w:val="nr_d33a91d1517741be9b881127c7f5ae70"/>
                      <w:lock w:val="sdtLocked"/>
                      <w:richText/>
                    </w:sdtPr>
                    <w:sdtContent>
                      <w:r>
                        <w:rPr>
                          <w:rFonts w:eastAsia="Calibri"/>
                          <w:color w:val="000000"/>
                          <w:szCs w:val="24"/>
                        </w:rPr>
                        <w:t>7</w:t>
                      </w:r>
                    </w:sdtContent>
                  </w:sdt>
                  <w:r>
                    <w:rPr>
                      <w:rFonts w:eastAsia="Calibri"/>
                      <w:color w:val="000000"/>
                      <w:szCs w:val="24"/>
                    </w:rPr>
                    <w:t>. Mokestis už aplinkos teršimą atitinkamos rūšies gaminių atliekomis apskaičiuojamas pagal formulę:</w:t>
                  </w:r>
                </w:p>
                <w:p>
                  <w:pPr>
                    <w:suppressAutoHyphens/>
                    <w:ind w:firstLine="567"/>
                    <w:jc w:val="both"/>
                    <w:textAlignment w:val="center"/>
                    <w:rPr>
                      <w:rFonts w:eastAsia="Calibri"/>
                      <w:color w:val="000000"/>
                      <w:szCs w:val="24"/>
                    </w:rPr>
                  </w:pPr>
                </w:p>
                <w:p>
                  <w:pPr>
                    <w:suppressAutoHyphens/>
                    <w:ind w:firstLine="567"/>
                    <w:jc w:val="both"/>
                    <w:textAlignment w:val="center"/>
                    <w:rPr>
                      <w:rFonts w:eastAsia="Calibri"/>
                      <w:color w:val="000000"/>
                      <w:szCs w:val="24"/>
                    </w:rPr>
                  </w:pPr>
                  <w:r>
                    <w:rPr>
                      <w:rFonts w:eastAsia="Calibri"/>
                      <w:color w:val="000000"/>
                      <w:szCs w:val="24"/>
                    </w:rPr>
                    <w:t>M = Q x d x T x k arba</w:t>
                  </w:r>
                </w:p>
                <w:p>
                  <w:pPr>
                    <w:suppressAutoHyphens/>
                    <w:ind w:firstLine="567"/>
                    <w:jc w:val="both"/>
                    <w:textAlignment w:val="center"/>
                    <w:rPr>
                      <w:rFonts w:eastAsia="Calibri"/>
                      <w:szCs w:val="24"/>
                    </w:rPr>
                  </w:pPr>
                  <w:r>
                    <w:rPr>
                      <w:rFonts w:eastAsia="Calibri"/>
                      <w:szCs w:val="24"/>
                    </w:rPr>
                    <w:t>M</w:t>
                  </w:r>
                  <w:r>
                    <w:rPr>
                      <w:rFonts w:eastAsia="Calibri"/>
                      <w:szCs w:val="24"/>
                      <w:vertAlign w:val="subscript"/>
                    </w:rPr>
                    <w:t>NES</w:t>
                  </w:r>
                  <w:r>
                    <w:rPr>
                      <w:rFonts w:eastAsia="Calibri"/>
                      <w:szCs w:val="24"/>
                    </w:rPr>
                    <w:t xml:space="preserve"> = Q</w:t>
                  </w:r>
                  <w:r>
                    <w:rPr>
                      <w:rFonts w:eastAsia="Calibri"/>
                      <w:szCs w:val="24"/>
                      <w:vertAlign w:val="subscript"/>
                    </w:rPr>
                    <w:t>DEK</w:t>
                  </w:r>
                  <w:r>
                    <w:rPr>
                      <w:rFonts w:eastAsia="Calibri"/>
                      <w:szCs w:val="24"/>
                    </w:rPr>
                    <w:t xml:space="preserve"> x (d</w:t>
                  </w:r>
                  <w:r>
                    <w:rPr>
                      <w:rFonts w:eastAsia="Calibri"/>
                      <w:szCs w:val="24"/>
                      <w:vertAlign w:val="subscript"/>
                    </w:rPr>
                    <w:t>FAK</w:t>
                  </w:r>
                  <w:r>
                    <w:rPr>
                      <w:rFonts w:eastAsia="Calibri"/>
                      <w:szCs w:val="24"/>
                    </w:rPr>
                    <w:t xml:space="preserve"> – d</w:t>
                  </w:r>
                  <w:r>
                    <w:rPr>
                      <w:rFonts w:eastAsia="Calibri"/>
                      <w:szCs w:val="24"/>
                      <w:vertAlign w:val="subscript"/>
                    </w:rPr>
                    <w:t>DEK</w:t>
                  </w:r>
                  <w:r>
                    <w:rPr>
                      <w:rFonts w:eastAsia="Calibri"/>
                      <w:szCs w:val="24"/>
                    </w:rPr>
                    <w:t>) x T x k</w:t>
                  </w:r>
                </w:p>
                <w:p>
                  <w:pPr>
                    <w:suppressAutoHyphens/>
                    <w:ind w:firstLine="567"/>
                    <w:jc w:val="both"/>
                    <w:textAlignment w:val="center"/>
                    <w:rPr>
                      <w:rFonts w:eastAsia="Calibri"/>
                      <w:szCs w:val="24"/>
                    </w:rPr>
                  </w:pPr>
                </w:p>
                <w:p>
                  <w:pPr>
                    <w:suppressAutoHyphens/>
                    <w:ind w:firstLine="567"/>
                    <w:jc w:val="both"/>
                    <w:textAlignment w:val="center"/>
                    <w:rPr>
                      <w:rFonts w:eastAsia="Calibri"/>
                      <w:color w:val="000000"/>
                      <w:szCs w:val="22"/>
                    </w:rPr>
                  </w:pPr>
                  <w:r>
                    <w:rPr>
                      <w:rFonts w:eastAsia="Calibri"/>
                      <w:szCs w:val="24"/>
                    </w:rPr>
                    <w:t xml:space="preserve">Jei patikrinus mokesčio mokėtoją ir (ar) atliekų tvarkytojus ir (ar) gamintojų ir importuotojų </w:t>
                  </w:r>
                  <w:r>
                    <w:rPr>
                      <w:rFonts w:eastAsia="Calibri"/>
                      <w:color w:val="000000"/>
                      <w:szCs w:val="22"/>
                    </w:rPr>
                    <w:t>organizaciją, nurodytą Lietuvos Respublikos atliekų tvarkymo įstatymo 34</w:t>
                  </w:r>
                  <w:r>
                    <w:rPr>
                      <w:rFonts w:eastAsia="Calibri"/>
                      <w:color w:val="000000"/>
                      <w:szCs w:val="22"/>
                      <w:vertAlign w:val="superscript"/>
                    </w:rPr>
                    <w:t>22</w:t>
                  </w:r>
                  <w:r>
                    <w:rPr>
                      <w:rFonts w:eastAsia="Calibri"/>
                      <w:color w:val="000000"/>
                      <w:szCs w:val="22"/>
                    </w:rPr>
                    <w:t xml:space="preserve"> straipsnyje,</w:t>
                  </w:r>
                  <w:r>
                    <w:rPr>
                      <w:rFonts w:eastAsia="Calibri"/>
                      <w:szCs w:val="24"/>
                    </w:rPr>
                    <w:t xml:space="preserve"> pripažįstami negaliojančiais (dėl viso ar dalies juose nurodyto atliekų kiekio) mokesčio mokėtojui išrašyti Tvarkos aprašo 11 punkte nurodyti dokumentai ir (ar) patvirtinimai ir mokesčio mokėtojas netikslino deklaracijos. </w:t>
                  </w:r>
                  <w:r>
                    <w:rPr>
                      <w:rFonts w:eastAsia="Calibri"/>
                      <w:color w:val="000000"/>
                      <w:szCs w:val="22"/>
                    </w:rPr>
                    <w:t>Antroji formulė taikoma mokesčiui perskaičiuoti, kai mokesčio mokėtojas nenuslėpė vidaus rinkai tiektų atitinkamos rūšies gaminių kiekio (Q).</w:t>
                  </w:r>
                </w:p>
                <w:p>
                  <w:pPr>
                    <w:suppressAutoHyphens/>
                    <w:ind w:firstLine="567"/>
                    <w:jc w:val="both"/>
                    <w:textAlignment w:val="center"/>
                    <w:rPr>
                      <w:rFonts w:eastAsia="Calibri"/>
                      <w:color w:val="000000"/>
                      <w:szCs w:val="24"/>
                    </w:rPr>
                  </w:pPr>
                  <w:r>
                    <w:rPr>
                      <w:rFonts w:eastAsia="Calibri"/>
                      <w:color w:val="000000"/>
                      <w:szCs w:val="22"/>
                    </w:rPr>
                    <w:t>K</w:t>
                  </w:r>
                  <w:r>
                    <w:rPr>
                      <w:rFonts w:eastAsia="Calibri"/>
                      <w:color w:val="000000"/>
                      <w:szCs w:val="24"/>
                    </w:rPr>
                    <w:t>ur:</w:t>
                  </w:r>
                </w:p>
                <w:p>
                  <w:pPr>
                    <w:suppressAutoHyphens/>
                    <w:ind w:firstLine="567"/>
                    <w:jc w:val="both"/>
                    <w:textAlignment w:val="center"/>
                    <w:rPr>
                      <w:rFonts w:eastAsia="Calibri"/>
                      <w:color w:val="000000"/>
                      <w:szCs w:val="24"/>
                    </w:rPr>
                  </w:pPr>
                  <w:r>
                    <w:rPr>
                      <w:rFonts w:eastAsia="Calibri"/>
                      <w:color w:val="000000"/>
                      <w:szCs w:val="24"/>
                    </w:rPr>
                    <w:t>M – mokestis už aplinkos teršimą atitinkamos rūšies gaminių atliekomis (Eur);</w:t>
                  </w:r>
                </w:p>
                <w:p>
                  <w:pPr>
                    <w:suppressAutoHyphens/>
                    <w:ind w:firstLine="567"/>
                    <w:jc w:val="both"/>
                    <w:textAlignment w:val="center"/>
                    <w:rPr>
                      <w:color w:val="000000"/>
                    </w:rPr>
                  </w:pPr>
                  <w:r>
                    <w:rPr>
                      <w:color w:val="000000"/>
                    </w:rPr>
                    <w:t>Q – mokesčio mokėtojo per mokestinį laikotarpį vidaus rinkai tiektų atitinkamos rūšies gaminių kiekis (t);</w:t>
                  </w:r>
                </w:p>
                <w:p>
                  <w:pPr>
                    <w:suppressAutoHyphens/>
                    <w:ind w:firstLine="567"/>
                    <w:jc w:val="both"/>
                    <w:textAlignment w:val="center"/>
                    <w:rPr>
                      <w:rFonts w:eastAsia="Calibri"/>
                      <w:color w:val="000000"/>
                      <w:szCs w:val="24"/>
                    </w:rPr>
                  </w:pPr>
                  <w:r>
                    <w:rPr>
                      <w:color w:val="000000"/>
                    </w:rPr>
                    <w:t>d – mokesčio už aplinkos teršimą atitinkamos rūšies gaminių atliekomis sumažinimo koeficientas (apmokestinama gaminių dalis);</w:t>
                  </w:r>
                </w:p>
                <w:p>
                  <w:pPr>
                    <w:suppressAutoHyphens/>
                    <w:ind w:firstLine="567"/>
                    <w:jc w:val="both"/>
                    <w:textAlignment w:val="center"/>
                    <w:rPr>
                      <w:rFonts w:eastAsia="Calibri"/>
                      <w:color w:val="000000"/>
                      <w:szCs w:val="24"/>
                    </w:rPr>
                  </w:pPr>
                  <w:r>
                    <w:rPr>
                      <w:rFonts w:eastAsia="Calibri"/>
                      <w:szCs w:val="24"/>
                    </w:rPr>
                    <w:t>M</w:t>
                  </w:r>
                  <w:r>
                    <w:rPr>
                      <w:rFonts w:eastAsia="Calibri"/>
                      <w:szCs w:val="24"/>
                      <w:vertAlign w:val="subscript"/>
                    </w:rPr>
                    <w:t>NES</w:t>
                  </w:r>
                  <w:r>
                    <w:rPr>
                      <w:rFonts w:eastAsia="Calibri"/>
                      <w:szCs w:val="24"/>
                    </w:rPr>
                    <w:t xml:space="preserve"> – nesumokėta mokesčio už aplinkos teršimą atitinkamos rūšies gaminių atliekomis dalis (Eur);</w:t>
                  </w:r>
                </w:p>
                <w:p>
                  <w:pPr>
                    <w:ind w:firstLine="567"/>
                    <w:jc w:val="both"/>
                    <w:rPr>
                      <w:szCs w:val="24"/>
                      <w:lang w:eastAsia="lt-LT"/>
                    </w:rPr>
                  </w:pPr>
                  <w:r>
                    <w:rPr>
                      <w:szCs w:val="24"/>
                      <w:lang w:eastAsia="lt-LT"/>
                    </w:rPr>
                    <w:t>d</w:t>
                  </w:r>
                  <w:r>
                    <w:rPr>
                      <w:szCs w:val="24"/>
                      <w:vertAlign w:val="subscript"/>
                      <w:lang w:eastAsia="lt-LT"/>
                    </w:rPr>
                    <w:t>FAK</w:t>
                  </w:r>
                  <w:r>
                    <w:rPr>
                      <w:szCs w:val="24"/>
                      <w:lang w:eastAsia="lt-LT"/>
                    </w:rPr>
                    <w:t xml:space="preserve"> – perskaičiuotas mokesčio </w:t>
                  </w:r>
                  <w:r>
                    <w:rPr>
                      <w:rFonts w:eastAsia="Calibri"/>
                      <w:szCs w:val="24"/>
                    </w:rPr>
                    <w:t>už aplinkos teršimą atitinkamos rūšies gaminių atliekomis</w:t>
                  </w:r>
                  <w:r>
                    <w:rPr>
                      <w:szCs w:val="24"/>
                      <w:lang w:eastAsia="lt-LT"/>
                    </w:rPr>
                    <w:t xml:space="preserve"> sumažinimo koeficientas (d) remiantis faktiniu užduoties įvykdymu (F), kuris apskaičiuojamas įvertinus faktinį mokesčio mokėtojo per mokestinį laikotarpį vidaus rinkai tiektų atitinkamos rūšies gaminių kiekį (Q);</w:t>
                  </w:r>
                </w:p>
                <w:p>
                  <w:pPr>
                    <w:suppressAutoHyphens/>
                    <w:ind w:firstLine="567"/>
                    <w:jc w:val="both"/>
                    <w:textAlignment w:val="center"/>
                    <w:rPr>
                      <w:rFonts w:eastAsia="Calibri"/>
                      <w:szCs w:val="22"/>
                    </w:rPr>
                  </w:pPr>
                  <w:r>
                    <w:rPr>
                      <w:rFonts w:eastAsia="Calibri"/>
                      <w:szCs w:val="22"/>
                    </w:rPr>
                    <w:t>d</w:t>
                  </w:r>
                  <w:r>
                    <w:rPr>
                      <w:rFonts w:eastAsia="Calibri"/>
                      <w:szCs w:val="22"/>
                      <w:vertAlign w:val="subscript"/>
                    </w:rPr>
                    <w:t>DEK</w:t>
                  </w:r>
                  <w:r>
                    <w:rPr>
                      <w:rFonts w:eastAsia="Calibri"/>
                      <w:szCs w:val="22"/>
                    </w:rPr>
                    <w:t xml:space="preserve"> – mokesčio </w:t>
                  </w:r>
                  <w:r>
                    <w:rPr>
                      <w:rFonts w:eastAsia="Calibri"/>
                      <w:szCs w:val="24"/>
                    </w:rPr>
                    <w:t>už aplinkos teršimą atitinkamos rūšies gaminių atliekomis</w:t>
                  </w:r>
                  <w:r>
                    <w:rPr>
                      <w:rFonts w:eastAsia="Calibri"/>
                      <w:szCs w:val="22"/>
                    </w:rPr>
                    <w:t xml:space="preserve"> sumažinimo koeficientas (d), apskaičiuotas remiantis deklaracijoje nurodytu užduoties įvykdymu (F), kuris apskaičiuojamas įvertinus mokesčio mokėtojo deklaruotą per mokestinį laikotarpį vidaus rinkai tiektų atitinkamos rūšies gaminių kiekį (Q);</w:t>
                  </w:r>
                </w:p>
                <w:p>
                  <w:pPr>
                    <w:suppressAutoHyphens/>
                    <w:ind w:firstLine="567"/>
                    <w:jc w:val="both"/>
                    <w:textAlignment w:val="center"/>
                    <w:rPr>
                      <w:rFonts w:eastAsia="Calibri"/>
                      <w:color w:val="000000"/>
                      <w:szCs w:val="24"/>
                    </w:rPr>
                  </w:pPr>
                  <w:r>
                    <w:rPr>
                      <w:rFonts w:eastAsia="Calibri"/>
                      <w:szCs w:val="22"/>
                    </w:rPr>
                    <w:t>Q</w:t>
                  </w:r>
                  <w:r>
                    <w:rPr>
                      <w:rFonts w:eastAsia="Calibri"/>
                      <w:szCs w:val="22"/>
                      <w:vertAlign w:val="subscript"/>
                    </w:rPr>
                    <w:t>DEK</w:t>
                  </w:r>
                  <w:r>
                    <w:rPr>
                      <w:rFonts w:eastAsia="Calibri"/>
                      <w:szCs w:val="22"/>
                    </w:rPr>
                    <w:t xml:space="preserve"> – mokesčio mokėtojo deklaruotas per mokestinį laikotarpį vidaus rinkai tiektų atitinkamos rūšies gaminių kiekis (t);</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3 priede;</w:t>
                  </w:r>
                </w:p>
                <w:p>
                  <w:pPr>
                    <w:ind w:firstLine="567"/>
                    <w:jc w:val="both"/>
                    <w:rPr>
                      <w:color w:val="000000"/>
                    </w:rPr>
                  </w:pPr>
                  <w:r>
                    <w:rPr>
                      <w:rFonts w:eastAsia="Calibri"/>
                      <w:szCs w:val="24"/>
                    </w:rPr>
                    <w:t>k – mokestinio laikotarpio indeksavimo koeficientas.</w:t>
                  </w:r>
                </w:p>
                <w:p>
                  <w:pPr>
                    <w:suppressAutoHyphens/>
                    <w:ind w:firstLine="567"/>
                    <w:jc w:val="both"/>
                    <w:textAlignment w:val="center"/>
                    <w:rPr>
                      <w:color w:val="000000"/>
                      <w:szCs w:val="24"/>
                    </w:rPr>
                  </w:pPr>
                </w:p>
              </w:sdtContent>
            </w:sdt>
          </w:sdtContent>
        </w:sdt>
        <w:sdt>
          <w:sdtPr>
            <w:alias w:val="skyrius"/>
            <w:tag w:val="part_8d9954c1c44a48708dd16758cbc6e508"/>
            <w:lock w:val="sdtLocked"/>
            <w:richText/>
          </w:sdtPr>
          <w:sdtContent>
            <w:p>
              <w:pPr>
                <w:suppressAutoHyphens/>
                <w:ind w:firstLine="567"/>
                <w:jc w:val="center"/>
                <w:textAlignment w:val="center"/>
                <w:rPr>
                  <w:b/>
                  <w:color w:val="000000"/>
                  <w:szCs w:val="24"/>
                </w:rPr>
              </w:pPr>
              <w:sdt>
                <w:sdtPr>
                  <w:alias w:val="Numeris"/>
                  <w:tag w:val="nr_8d9954c1c44a48708dd16758cbc6e508"/>
                  <w:lock w:val="sdtLocked"/>
                  <w:richText/>
                </w:sdtPr>
                <w:sdtContent>
                  <w:r>
                    <w:rPr>
                      <w:b/>
                      <w:color w:val="000000"/>
                      <w:szCs w:val="24"/>
                    </w:rPr>
                    <w:t>III</w:t>
                  </w:r>
                </w:sdtContent>
              </w:sdt>
              <w:r>
                <w:rPr>
                  <w:b/>
                  <w:color w:val="000000"/>
                  <w:szCs w:val="24"/>
                </w:rPr>
                <w:t xml:space="preserve"> SKYRIUS</w:t>
              </w:r>
            </w:p>
            <w:p>
              <w:pPr>
                <w:suppressAutoHyphens/>
                <w:ind w:firstLine="567"/>
                <w:jc w:val="center"/>
                <w:textAlignment w:val="center"/>
                <w:rPr>
                  <w:b/>
                  <w:color w:val="000000"/>
                  <w:szCs w:val="24"/>
                </w:rPr>
              </w:pPr>
              <w:sdt>
                <w:sdtPr>
                  <w:alias w:val="Pavadinimas"/>
                  <w:tag w:val="title_8d9954c1c44a48708dd16758cbc6e508"/>
                  <w:lock w:val="sdtLocked"/>
                  <w:richText/>
                </w:sdtPr>
                <w:sdtContent>
                  <w:r>
                    <w:rPr>
                      <w:b/>
                      <w:color w:val="000000"/>
                      <w:szCs w:val="24"/>
                    </w:rPr>
                    <w:t>MOKESČIO UŽ NUSLĖPTĄ TARŠĄ APSKAIČIAVIMAS</w:t>
                  </w:r>
                </w:sdtContent>
              </w:sdt>
            </w:p>
            <w:p>
              <w:pPr>
                <w:suppressAutoHyphens/>
                <w:ind w:firstLine="567"/>
                <w:jc w:val="both"/>
                <w:textAlignment w:val="center"/>
                <w:rPr>
                  <w:color w:val="000000"/>
                  <w:szCs w:val="24"/>
                </w:rPr>
              </w:pPr>
            </w:p>
            <w:sdt>
              <w:sdtPr>
                <w:alias w:val="8 p."/>
                <w:tag w:val="part_8c0080fc7a224293a0efc973d2c8313d"/>
                <w:lock w:val="sdtLocked"/>
                <w:richText/>
              </w:sdtPr>
              <w:sdtContent>
                <w:p>
                  <w:pPr>
                    <w:suppressAutoHyphens/>
                    <w:ind w:firstLine="567"/>
                    <w:jc w:val="both"/>
                    <w:textAlignment w:val="center"/>
                    <w:rPr>
                      <w:color w:val="000000"/>
                      <w:szCs w:val="24"/>
                    </w:rPr>
                  </w:pPr>
                  <w:sdt>
                    <w:sdtPr>
                      <w:alias w:val="Numeris"/>
                      <w:tag w:val="nr_8c0080fc7a224293a0efc973d2c8313d"/>
                      <w:lock w:val="sdtLocked"/>
                      <w:richText/>
                    </w:sdtPr>
                    <w:sdtContent>
                      <w:r>
                        <w:rPr>
                          <w:color w:val="000000"/>
                          <w:szCs w:val="24"/>
                        </w:rPr>
                        <w:t>8</w:t>
                      </w:r>
                    </w:sdtContent>
                  </w:sdt>
                  <w:r>
                    <w:rPr>
                      <w:color w:val="000000"/>
                      <w:szCs w:val="24"/>
                    </w:rPr>
                    <w:t>. Mokestis už nuslėptą vidaus rinkai tiektų atitinkamos rūšies gaminių kiekį apskaičiuojamas:</w:t>
                  </w:r>
                </w:p>
                <w:sdt>
                  <w:sdtPr>
                    <w:alias w:val="8.1 pp."/>
                    <w:tag w:val="part_2c08a049316b4405a86b8b8176a01be8"/>
                    <w:lock w:val="sdtLocked"/>
                    <w:richText/>
                  </w:sdtPr>
                  <w:sdtContent>
                    <w:p>
                      <w:pPr>
                        <w:suppressAutoHyphens/>
                        <w:ind w:firstLine="567"/>
                        <w:jc w:val="both"/>
                        <w:textAlignment w:val="center"/>
                        <w:rPr>
                          <w:color w:val="000000"/>
                          <w:szCs w:val="24"/>
                        </w:rPr>
                      </w:pPr>
                      <w:sdt>
                        <w:sdtPr>
                          <w:alias w:val="Numeris"/>
                          <w:tag w:val="nr_2c08a049316b4405a86b8b8176a01be8"/>
                          <w:lock w:val="sdtLocked"/>
                          <w:richText/>
                        </w:sdtPr>
                        <w:sdtContent>
                          <w:r>
                            <w:rPr>
                              <w:color w:val="000000"/>
                              <w:szCs w:val="24"/>
                            </w:rPr>
                            <w:t>8.1</w:t>
                          </w:r>
                        </w:sdtContent>
                      </w:sdt>
                      <w:r>
                        <w:rPr>
                          <w:color w:val="000000"/>
                          <w:szCs w:val="24"/>
                        </w:rPr>
                        <w:t>. jei mokesčio mokėtojas vykdė ar nevykdė gaminių apskaitą ir pateiktoje deklaracijoje nurodė neteisingą vidaus rinkai tiektų atitinkamos rūšies gaminių kiekį (Q) ir kaip sutvarkytą gaminių atliekų kiekį (Q</w:t>
                      </w:r>
                      <w:r>
                        <w:rPr>
                          <w:color w:val="000000"/>
                          <w:szCs w:val="24"/>
                          <w:vertAlign w:val="subscript"/>
                        </w:rPr>
                        <w:t>SUT</w:t>
                      </w:r>
                      <w:r>
                        <w:rPr>
                          <w:color w:val="000000"/>
                          <w:szCs w:val="24"/>
                        </w:rPr>
                        <w:t>) nurodė panaudotų ar perdirbtų gaminių atliekų kiekį ar jų dalį, kuriam neturėjo Tvarkos aprašo 11 punkte nurodytų dokumentų ir (ar) patvirtinimų ar kurie yra fiktyvūs (neegzistuojantys); arba kai mokesčio mokėtojas vykdė gaminių apskaitą ir pateiktoje deklaracijoje nurodė neteisingą vidaus rinkai tiektų gaminių kiekį (Q) ir teisingai ar neteisingai nurodė panaudotų ar perdirbtų gaminių atliekų kiekį (Q</w:t>
                      </w:r>
                      <w:r>
                        <w:rPr>
                          <w:color w:val="000000"/>
                          <w:szCs w:val="24"/>
                          <w:vertAlign w:val="subscript"/>
                        </w:rPr>
                        <w:t>SUT</w:t>
                      </w:r>
                      <w:r>
                        <w:rPr>
                          <w:color w:val="000000"/>
                          <w:szCs w:val="24"/>
                        </w:rPr>
                        <w:t>), kuriam turėjo Tvarkos aprašo 11 punkte nurodytus dokumentus ir (ar) patvirtinimus; arba kai mokesčio mokėtojas vykdė gaminių apskaitą ir pateiktoje deklaracijoje nurodė teisingą vidaus rinkai tiektų atitinkamos rūšies gaminių kiekį (Q) ir neteisingai nurodė panaudotų ar perdirbtų gaminių atliekų kiekį (Q</w:t>
                      </w:r>
                      <w:r>
                        <w:rPr>
                          <w:color w:val="000000"/>
                          <w:szCs w:val="24"/>
                          <w:vertAlign w:val="subscript"/>
                        </w:rPr>
                        <w:t>SUT</w:t>
                      </w:r>
                      <w:r>
                        <w:rPr>
                          <w:color w:val="000000"/>
                          <w:szCs w:val="24"/>
                        </w:rPr>
                        <w:t xml:space="preserve">), kuriam turėjo Tvarkos aprašo 11 punkte nurodytus dokumentus ir (ar) patvirtinimus, </w:t>
                      </w:r>
                      <w:r>
                        <w:rPr>
                          <w:rFonts w:eastAsia="Calibri"/>
                          <w:szCs w:val="24"/>
                          <w:lang w:eastAsia="lt-LT"/>
                        </w:rPr>
                        <w:t>–</w:t>
                      </w:r>
                      <w:r>
                        <w:rPr>
                          <w:szCs w:val="24"/>
                        </w:rPr>
                        <w:t xml:space="preserve"> </w:t>
                      </w:r>
                      <w:r>
                        <w:rPr>
                          <w:color w:val="000000"/>
                          <w:szCs w:val="24"/>
                        </w:rPr>
                        <w:t>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 x d</w:t>
                      </w:r>
                      <w:r>
                        <w:rPr>
                          <w:color w:val="000000"/>
                          <w:szCs w:val="24"/>
                          <w:vertAlign w:val="subscript"/>
                        </w:rPr>
                        <w:t>FAK</w:t>
                      </w:r>
                      <w:r>
                        <w:rPr>
                          <w:color w:val="000000"/>
                          <w:szCs w:val="24"/>
                        </w:rPr>
                        <w:t xml:space="preserve"> – Q</w:t>
                      </w:r>
                      <w:r>
                        <w:rPr>
                          <w:color w:val="000000"/>
                          <w:szCs w:val="24"/>
                          <w:vertAlign w:val="subscript"/>
                        </w:rPr>
                        <w:t xml:space="preserve">DEK </w:t>
                      </w:r>
                      <w:r>
                        <w:rPr>
                          <w:color w:val="000000"/>
                          <w:szCs w:val="24"/>
                        </w:rPr>
                        <w:t>x d</w:t>
                      </w:r>
                      <w:r>
                        <w:rPr>
                          <w:color w:val="000000"/>
                          <w:szCs w:val="24"/>
                          <w:vertAlign w:val="subscript"/>
                        </w:rPr>
                        <w:t>DEK</w:t>
                      </w:r>
                      <w:r>
                        <w:rPr>
                          <w:color w:val="000000"/>
                          <w:szCs w:val="24"/>
                        </w:rPr>
                        <w:t>) x T x k x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gaminių atliekomis (Eur);</w:t>
                      </w:r>
                    </w:p>
                    <w:p>
                      <w:pPr>
                        <w:suppressAutoHyphens/>
                        <w:ind w:firstLine="567"/>
                        <w:jc w:val="both"/>
                        <w:textAlignment w:val="center"/>
                        <w:rPr>
                          <w:color w:val="000000"/>
                        </w:rPr>
                      </w:pPr>
                      <w:r>
                        <w:rPr>
                          <w:color w:val="000000"/>
                        </w:rPr>
                        <w:t>Q – mokesčio mokėtojo per mokestinį laikotarpį vidaus rinkai tiektų atitinkamos rūšies gaminių kiekis (t);</w:t>
                      </w:r>
                    </w:p>
                    <w:p>
                      <w:pPr>
                        <w:suppressAutoHyphens/>
                        <w:ind w:firstLine="567"/>
                        <w:jc w:val="both"/>
                        <w:textAlignment w:val="center"/>
                        <w:rPr>
                          <w:rFonts w:eastAsia="Calibri"/>
                          <w:szCs w:val="22"/>
                        </w:rPr>
                      </w:pPr>
                      <w:r>
                        <w:rPr>
                          <w:rFonts w:eastAsia="Calibri"/>
                          <w:szCs w:val="22"/>
                        </w:rPr>
                        <w:t>Q</w:t>
                      </w:r>
                      <w:r>
                        <w:rPr>
                          <w:rFonts w:eastAsia="Calibri"/>
                          <w:szCs w:val="22"/>
                          <w:vertAlign w:val="subscript"/>
                        </w:rPr>
                        <w:t>DEK</w:t>
                      </w:r>
                      <w:r>
                        <w:rPr>
                          <w:rFonts w:eastAsia="Calibri"/>
                          <w:szCs w:val="22"/>
                        </w:rPr>
                        <w:t xml:space="preserve"> – mokesčio mokėtojo deklaruotas per mokestinį laikotarpį vidaus rinkai tiektų atitinkamos rūšies gaminių kiekis (t);</w:t>
                      </w:r>
                    </w:p>
                    <w:p>
                      <w:pPr>
                        <w:ind w:firstLine="567"/>
                        <w:jc w:val="both"/>
                        <w:rPr>
                          <w:szCs w:val="24"/>
                          <w:lang w:eastAsia="lt-LT"/>
                        </w:rPr>
                      </w:pPr>
                      <w:r>
                        <w:rPr>
                          <w:szCs w:val="24"/>
                          <w:lang w:eastAsia="lt-LT"/>
                        </w:rPr>
                        <w:t>d</w:t>
                      </w:r>
                      <w:r>
                        <w:rPr>
                          <w:szCs w:val="24"/>
                          <w:vertAlign w:val="subscript"/>
                          <w:lang w:eastAsia="lt-LT"/>
                        </w:rPr>
                        <w:t>FAK</w:t>
                      </w:r>
                      <w:r>
                        <w:rPr>
                          <w:szCs w:val="24"/>
                          <w:lang w:eastAsia="lt-LT"/>
                        </w:rPr>
                        <w:t xml:space="preserve"> – perskaičiuotas mokesčio </w:t>
                      </w:r>
                      <w:r>
                        <w:rPr>
                          <w:rFonts w:eastAsia="Calibri"/>
                          <w:szCs w:val="24"/>
                        </w:rPr>
                        <w:t>už aplinkos teršimą atitinkamos rūšies gaminių atliekomis</w:t>
                      </w:r>
                      <w:r>
                        <w:rPr>
                          <w:szCs w:val="24"/>
                          <w:lang w:eastAsia="lt-LT"/>
                        </w:rPr>
                        <w:t xml:space="preserve"> sumažinimo koeficientas (d) remiantis faktiniu užduoties įvykdymu (F), kuris apskaičiuojamas įvertinus faktinį mokesčio mokėtojo per mokestinį laikotarpį vidaus rinkai tiektų atitinkamos rūšies gaminių kiekį (Q);</w:t>
                      </w:r>
                    </w:p>
                    <w:p>
                      <w:pPr>
                        <w:suppressAutoHyphens/>
                        <w:ind w:firstLine="567"/>
                        <w:jc w:val="both"/>
                        <w:textAlignment w:val="center"/>
                        <w:rPr>
                          <w:rFonts w:eastAsia="Calibri"/>
                          <w:szCs w:val="22"/>
                        </w:rPr>
                      </w:pPr>
                      <w:r>
                        <w:rPr>
                          <w:rFonts w:eastAsia="Calibri"/>
                          <w:szCs w:val="22"/>
                        </w:rPr>
                        <w:t>d</w:t>
                      </w:r>
                      <w:r>
                        <w:rPr>
                          <w:rFonts w:eastAsia="Calibri"/>
                          <w:szCs w:val="22"/>
                          <w:vertAlign w:val="subscript"/>
                        </w:rPr>
                        <w:t>DEK</w:t>
                      </w:r>
                      <w:r>
                        <w:rPr>
                          <w:rFonts w:eastAsia="Calibri"/>
                          <w:szCs w:val="22"/>
                        </w:rPr>
                        <w:t xml:space="preserve"> – mokesčio </w:t>
                      </w:r>
                      <w:r>
                        <w:rPr>
                          <w:rFonts w:eastAsia="Calibri"/>
                          <w:szCs w:val="24"/>
                        </w:rPr>
                        <w:t>už aplinkos teršimą atitinkamos rūšies gaminių atliekomis</w:t>
                      </w:r>
                      <w:r>
                        <w:rPr>
                          <w:rFonts w:eastAsia="Calibri"/>
                          <w:szCs w:val="22"/>
                        </w:rPr>
                        <w:t xml:space="preserve"> sumažinimo koeficientas (d), apskaičiuotas remiantis deklaracijoje nurodytu užduoties įvykdymu (F), kuris apskaičiuojamas įvertinus mokesčio mokėtojo deklaruotą per mokestinį laikotarpį vidaus rinkai tiektų atitinkamos rūšies gaminių kiekį (Q);</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3 priede;</w:t>
                      </w:r>
                    </w:p>
                    <w:p>
                      <w:pPr>
                        <w:suppressAutoHyphens/>
                        <w:ind w:firstLine="567"/>
                        <w:jc w:val="both"/>
                        <w:textAlignment w:val="center"/>
                        <w:rPr>
                          <w:color w:val="000000"/>
                          <w:szCs w:val="24"/>
                        </w:rPr>
                      </w:pPr>
                      <w:r>
                        <w:rPr>
                          <w:rFonts w:eastAsia="Calibri"/>
                          <w:szCs w:val="24"/>
                        </w:rPr>
                        <w:t>k – mokestinio laikotarpio indeksavimo koeficientas;</w:t>
                      </w:r>
                    </w:p>
                  </w:sdtContent>
                </w:sdt>
                <w:sdt>
                  <w:sdtPr>
                    <w:alias w:val="8.2 pp."/>
                    <w:tag w:val="part_c1f2e4dae1d64d9d8ddb1177f4c10c55"/>
                    <w:lock w:val="sdtLocked"/>
                    <w:richText/>
                  </w:sdtPr>
                  <w:sdtContent>
                    <w:p>
                      <w:pPr>
                        <w:suppressAutoHyphens/>
                        <w:ind w:firstLine="567"/>
                        <w:jc w:val="both"/>
                        <w:textAlignment w:val="center"/>
                        <w:rPr>
                          <w:color w:val="000000"/>
                          <w:szCs w:val="24"/>
                        </w:rPr>
                      </w:pPr>
                      <w:sdt>
                        <w:sdtPr>
                          <w:alias w:val="Numeris"/>
                          <w:tag w:val="nr_c1f2e4dae1d64d9d8ddb1177f4c10c55"/>
                          <w:lock w:val="sdtLocked"/>
                          <w:richText/>
                        </w:sdtPr>
                        <w:sdtContent>
                          <w:r>
                            <w:rPr>
                              <w:color w:val="000000"/>
                              <w:szCs w:val="24"/>
                            </w:rPr>
                            <w:t>8.2</w:t>
                          </w:r>
                        </w:sdtContent>
                      </w:sdt>
                      <w:r>
                        <w:rPr>
                          <w:color w:val="000000"/>
                          <w:szCs w:val="24"/>
                        </w:rPr>
                        <w:t>. jei mokesčio mokėtojas neteikė deklaracijos,</w:t>
                      </w:r>
                      <w:r>
                        <w:rPr>
                          <w:rFonts w:eastAsia="Calibri"/>
                          <w:szCs w:val="24"/>
                          <w:lang w:eastAsia="lt-LT"/>
                        </w:rPr>
                        <w:t xml:space="preserve"> –</w:t>
                      </w:r>
                      <w:r>
                        <w:rPr>
                          <w:szCs w:val="24"/>
                        </w:rPr>
                        <w:t xml:space="preserve"> </w:t>
                      </w:r>
                      <w:r>
                        <w:rPr>
                          <w:color w:val="000000"/>
                          <w:szCs w:val="24"/>
                        </w:rPr>
                        <w:t>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x d</w:t>
                      </w:r>
                      <w:r>
                        <w:rPr>
                          <w:color w:val="000000"/>
                          <w:szCs w:val="24"/>
                          <w:vertAlign w:val="subscript"/>
                        </w:rPr>
                        <w:t>FAK</w:t>
                      </w:r>
                      <w:r>
                        <w:rPr>
                          <w:color w:val="000000"/>
                          <w:szCs w:val="24"/>
                        </w:rPr>
                        <w:t xml:space="preserve"> x T x k x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gaminių atliekomis (Eur);</w:t>
                      </w:r>
                    </w:p>
                    <w:p>
                      <w:pPr>
                        <w:suppressAutoHyphens/>
                        <w:ind w:firstLine="567"/>
                        <w:jc w:val="both"/>
                        <w:textAlignment w:val="center"/>
                        <w:rPr>
                          <w:color w:val="000000"/>
                          <w:szCs w:val="24"/>
                        </w:rPr>
                      </w:pPr>
                      <w:r>
                        <w:rPr>
                          <w:color w:val="000000"/>
                          <w:szCs w:val="24"/>
                        </w:rPr>
                        <w:t>Q</w:t>
                      </w:r>
                      <w:r>
                        <w:rPr>
                          <w:color w:val="000000"/>
                          <w:szCs w:val="24"/>
                          <w:vertAlign w:val="subscript"/>
                        </w:rPr>
                        <w:t>NUS</w:t>
                      </w:r>
                      <w:r>
                        <w:rPr>
                          <w:color w:val="000000"/>
                          <w:szCs w:val="24"/>
                        </w:rPr>
                        <w:t xml:space="preserve"> – mokesčio mokėtojo per mokestinį laikotarpį vidaus rinkai tiektų atitinkamos rūšies gaminių nuslėptas kiekis (t);</w:t>
                      </w:r>
                    </w:p>
                    <w:p>
                      <w:pPr>
                        <w:ind w:firstLine="567"/>
                        <w:jc w:val="both"/>
                        <w:rPr>
                          <w:szCs w:val="24"/>
                          <w:lang w:eastAsia="lt-LT"/>
                        </w:rPr>
                      </w:pPr>
                      <w:r>
                        <w:rPr>
                          <w:szCs w:val="24"/>
                          <w:lang w:eastAsia="lt-LT"/>
                        </w:rPr>
                        <w:t>d</w:t>
                      </w:r>
                      <w:r>
                        <w:rPr>
                          <w:szCs w:val="24"/>
                          <w:vertAlign w:val="subscript"/>
                          <w:lang w:eastAsia="lt-LT"/>
                        </w:rPr>
                        <w:t>FAK</w:t>
                      </w:r>
                      <w:r>
                        <w:rPr>
                          <w:szCs w:val="24"/>
                          <w:lang w:eastAsia="lt-LT"/>
                        </w:rPr>
                        <w:t xml:space="preserve"> – perskaičiuotas mokesčio </w:t>
                      </w:r>
                      <w:r>
                        <w:rPr>
                          <w:rFonts w:eastAsia="Calibri"/>
                          <w:szCs w:val="24"/>
                        </w:rPr>
                        <w:t>už aplinkos teršimą atitinkamos rūšies gaminių atliekomis</w:t>
                      </w:r>
                      <w:r>
                        <w:rPr>
                          <w:szCs w:val="24"/>
                          <w:lang w:eastAsia="lt-LT"/>
                        </w:rPr>
                        <w:t xml:space="preserve"> sumažinimo koeficientas (d), remiantis faktiniu užduoties įvykdymu (F), kuris apskaičiuojamas įvertinus faktinį mokesčio mokėtojo per mokestinį laikotarpį vidaus rinkai tiektų atitinkamos rūšies gaminių kiekį (Q);</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3 priede;</w:t>
                      </w:r>
                    </w:p>
                    <w:p>
                      <w:pPr>
                        <w:suppressAutoHyphens/>
                        <w:ind w:firstLine="567"/>
                        <w:jc w:val="both"/>
                        <w:textAlignment w:val="center"/>
                        <w:rPr>
                          <w:color w:val="000000"/>
                          <w:szCs w:val="24"/>
                        </w:rPr>
                      </w:pPr>
                      <w:r>
                        <w:rPr>
                          <w:rFonts w:eastAsia="Calibri"/>
                          <w:szCs w:val="24"/>
                        </w:rPr>
                        <w:t>k – mokestinio laikotarpio indeksavimo koeficientas;</w:t>
                      </w:r>
                    </w:p>
                  </w:sdtContent>
                </w:sdt>
                <w:sdt>
                  <w:sdtPr>
                    <w:alias w:val="8.3 pp."/>
                    <w:tag w:val="part_8d541a4cbf5742528ecd806b33b4331f"/>
                    <w:lock w:val="sdtLocked"/>
                    <w:richText/>
                  </w:sdtPr>
                  <w:sdtContent>
                    <w:p>
                      <w:pPr>
                        <w:suppressAutoHyphens/>
                        <w:ind w:firstLine="567"/>
                        <w:jc w:val="both"/>
                        <w:textAlignment w:val="center"/>
                        <w:rPr>
                          <w:color w:val="000000"/>
                          <w:szCs w:val="24"/>
                        </w:rPr>
                      </w:pPr>
                      <w:sdt>
                        <w:sdtPr>
                          <w:alias w:val="Numeris"/>
                          <w:tag w:val="nr_8d541a4cbf5742528ecd806b33b4331f"/>
                          <w:lock w:val="sdtLocked"/>
                          <w:richText/>
                        </w:sdtPr>
                        <w:sdtContent>
                          <w:r>
                            <w:rPr>
                              <w:color w:val="000000"/>
                              <w:szCs w:val="24"/>
                            </w:rPr>
                            <w:t>8.3</w:t>
                          </w:r>
                        </w:sdtContent>
                      </w:sdt>
                      <w:r>
                        <w:rPr>
                          <w:color w:val="000000"/>
                          <w:szCs w:val="24"/>
                        </w:rPr>
                        <w:t xml:space="preserve">. jei mokesčio mokėtojas nevykdė gaminių apskaitos, nepateikė gaminių apskaitos dokumentų mokesčio administratoriui ir neteikė deklaracijos iki mokestinio patikrinimo pradžios, </w:t>
                      </w:r>
                      <w:r>
                        <w:rPr>
                          <w:rFonts w:eastAsia="Calibri"/>
                          <w:szCs w:val="24"/>
                          <w:lang w:eastAsia="lt-LT"/>
                        </w:rPr>
                        <w:t>–</w:t>
                      </w:r>
                      <w:r>
                        <w:rPr>
                          <w:szCs w:val="24"/>
                        </w:rPr>
                        <w:t xml:space="preserve"> p</w:t>
                      </w:r>
                      <w:r>
                        <w:rPr>
                          <w:color w:val="000000"/>
                          <w:szCs w:val="24"/>
                        </w:rPr>
                        <w:t>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P x 0,02, kai (P x 0,02) ≥ 10000 arba</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10000, kai (P x 0,02) &lt; 10000</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gaminių atliekomis (Eur);</w:t>
                      </w:r>
                    </w:p>
                    <w:p>
                      <w:pPr>
                        <w:ind w:firstLine="567"/>
                        <w:jc w:val="both"/>
                        <w:rPr>
                          <w:color w:val="000000"/>
                        </w:rPr>
                      </w:pPr>
                      <w:r>
                        <w:rPr>
                          <w:szCs w:val="24"/>
                          <w:lang w:eastAsia="lt-LT"/>
                        </w:rPr>
                        <w:t>P – mokesčio mokėtojo per tikrinamąjį mokestinį laikotarpį gautos pajamos, kurios suprantamos kaip Lietuvos Respublikos pelno mokesčio įstatyme (Eur).</w:t>
                      </w:r>
                    </w:p>
                    <w:p/>
                  </w:sdtContent>
                </w:sdt>
              </w:sdtContent>
            </w:sdt>
          </w:sdtContent>
        </w:sdt>
        <w:sdt>
          <w:sdtPr>
            <w:alias w:val="skyrius"/>
            <w:tag w:val="part_09608c1fe0fd44329b33d2de78729c7b"/>
            <w:lock w:val="sdtLocked"/>
            <w:richText/>
          </w:sdtPr>
          <w:sdtContent>
            <w:p>
              <w:pPr>
                <w:widowControl w:val="0"/>
                <w:jc w:val="center"/>
                <w:rPr>
                  <w:b/>
                  <w:bCs/>
                  <w:caps/>
                  <w:color w:val="000000"/>
                </w:rPr>
              </w:pPr>
              <w:sdt>
                <w:sdtPr>
                  <w:alias w:val="Numeris"/>
                  <w:tag w:val="nr_09608c1fe0fd44329b33d2de78729c7b"/>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09608c1fe0fd44329b33d2de78729c7b"/>
                  <w:lock w:val="sdtLocked"/>
                  <w:richText/>
                </w:sdtPr>
                <w:sdtContent>
                  <w:r>
                    <w:rPr>
                      <w:b/>
                      <w:bCs/>
                      <w:caps/>
                      <w:color w:val="000000"/>
                    </w:rPr>
                    <w:t>MOKESČIO LENGVATAS suteikiaNTYS DOKUMENTAI</w:t>
                  </w:r>
                </w:sdtContent>
              </w:sdt>
            </w:p>
            <w:p>
              <w:pPr>
                <w:widowControl w:val="0"/>
                <w:ind w:firstLine="567"/>
                <w:jc w:val="both"/>
                <w:rPr>
                  <w:color w:val="000000"/>
                </w:rPr>
              </w:pPr>
            </w:p>
            <w:sdt>
              <w:sdtPr>
                <w:alias w:val="9 p."/>
                <w:tag w:val="part_b78e730d50594b03901c545f98fdabf7"/>
                <w:lock w:val="sdtLocked"/>
                <w:richText/>
              </w:sdtPr>
              <w:sdtContent>
                <w:p>
                  <w:pPr>
                    <w:widowControl w:val="0"/>
                    <w:ind w:firstLine="567"/>
                    <w:jc w:val="both"/>
                    <w:rPr>
                      <w:color w:val="000000"/>
                    </w:rPr>
                  </w:pPr>
                  <w:sdt>
                    <w:sdtPr>
                      <w:alias w:val="Numeris"/>
                      <w:tag w:val="nr_b78e730d50594b03901c545f98fdabf7"/>
                      <w:lock w:val="sdtLocked"/>
                      <w:richText/>
                    </w:sdtPr>
                    <w:sdtContent>
                      <w:r>
                        <w:rPr>
                          <w:color w:val="000000"/>
                        </w:rPr>
                        <w:t>9</w:t>
                      </w:r>
                    </w:sdtContent>
                  </w:sdt>
                  <w:r>
                    <w:rPr>
                      <w:color w:val="000000"/>
                    </w:rPr>
                    <w:t>. Iš Lietuvos Respublikos teritorijos išvežtų gaminių kiekį patvirtinančių dokumentų pateikimo tvarka:</w:t>
                  </w:r>
                </w:p>
                <w:sdt>
                  <w:sdtPr>
                    <w:alias w:val="9.1 pp."/>
                    <w:tag w:val="part_901a9642bd374dbda08b2032ae5b05f0"/>
                    <w:lock w:val="sdtLocked"/>
                    <w:richText/>
                  </w:sdtPr>
                  <w:sdtContent>
                    <w:p>
                      <w:pPr>
                        <w:widowControl w:val="0"/>
                        <w:ind w:firstLine="567"/>
                        <w:jc w:val="both"/>
                        <w:rPr>
                          <w:color w:val="000000"/>
                        </w:rPr>
                      </w:pPr>
                      <w:sdt>
                        <w:sdtPr>
                          <w:alias w:val="Numeris"/>
                          <w:tag w:val="nr_901a9642bd374dbda08b2032ae5b05f0"/>
                          <w:lock w:val="sdtLocked"/>
                          <w:richText/>
                        </w:sdtPr>
                        <w:sdtContent>
                          <w:r>
                            <w:rPr>
                              <w:color w:val="000000"/>
                            </w:rPr>
                            <w:t>9.1</w:t>
                          </w:r>
                        </w:sdtContent>
                      </w:sdt>
                      <w:r>
                        <w:rPr>
                          <w:color w:val="000000"/>
                        </w:rPr>
                        <w:t>. mokesčio mokėtojas, a</w:t>
                      </w:r>
                      <w:r>
                        <w:rPr>
                          <w:color w:val="000000"/>
                          <w:lang w:eastAsia="lt-LT"/>
                        </w:rPr>
                        <w:t xml:space="preserve">plinkos apsaugos valstybinės kontrolės </w:t>
                      </w:r>
                      <w:r>
                        <w:rPr>
                          <w:color w:val="000000"/>
                        </w:rPr>
                        <w:t>pareigūnui pareikalavus, privalo pateikti dokumentus, patvirtinančius išvežtą iš Lietuvos Respublikos teritorijos gaminių kiekį. Tokie dokumentai gali būti:</w:t>
                      </w:r>
                    </w:p>
                    <w:sdt>
                      <w:sdtPr>
                        <w:alias w:val="9.1.1 pp."/>
                        <w:tag w:val="part_5dc900c405d24aaaa7ecdde5e587882e"/>
                        <w:lock w:val="sdtLocked"/>
                        <w:richText/>
                      </w:sdtPr>
                      <w:sdtContent>
                        <w:p>
                          <w:pPr>
                            <w:widowControl w:val="0"/>
                            <w:ind w:firstLine="567"/>
                            <w:jc w:val="both"/>
                            <w:rPr>
                              <w:color w:val="000000"/>
                            </w:rPr>
                          </w:pPr>
                          <w:sdt>
                            <w:sdtPr>
                              <w:alias w:val="Numeris"/>
                              <w:tag w:val="nr_5dc900c405d24aaaa7ecdde5e587882e"/>
                              <w:lock w:val="sdtLocked"/>
                              <w:richText/>
                            </w:sdtPr>
                            <w:sdtContent>
                              <w:r>
                                <w:rPr>
                                  <w:color w:val="000000"/>
                                </w:rPr>
                                <w:t>9.1.1</w:t>
                              </w:r>
                            </w:sdtContent>
                          </w:sdt>
                          <w:r>
                            <w:rPr>
                              <w:color w:val="000000"/>
                            </w:rPr>
                            <w:t>. pirkimo–pardavimo sutartys; PVM sąskaitos faktūros; sąskaitos faktūros; tarptautiniai krovinių transportavimo važtaraščiai CMR (kiti iš vežėjo gaunami dokumentai, patvirtinantys gaminių judėjimą); draudimo dokumentai; pirkėjo mokėjimo dokumentai; pirkėjo patvirtinimas, kad prekės gautos; užsakymai; kita korespondencija ir dokumentai;</w:t>
                          </w:r>
                        </w:p>
                      </w:sdtContent>
                    </w:sdt>
                    <w:sdt>
                      <w:sdtPr>
                        <w:alias w:val="9.1.2 pp."/>
                        <w:tag w:val="part_dccc94ff88204002aba6a03ba1a4c539"/>
                        <w:lock w:val="sdtLocked"/>
                        <w:richText/>
                      </w:sdtPr>
                      <w:sdtContent>
                        <w:p>
                          <w:pPr>
                            <w:widowControl w:val="0"/>
                            <w:ind w:firstLine="567"/>
                            <w:jc w:val="both"/>
                            <w:rPr>
                              <w:color w:val="000000"/>
                            </w:rPr>
                          </w:pPr>
                          <w:sdt>
                            <w:sdtPr>
                              <w:alias w:val="Numeris"/>
                              <w:tag w:val="nr_dccc94ff88204002aba6a03ba1a4c539"/>
                              <w:lock w:val="sdtLocked"/>
                              <w:richText/>
                            </w:sdtPr>
                            <w:sdtContent>
                              <w:r>
                                <w:rPr>
                                  <w:color w:val="000000"/>
                                </w:rPr>
                                <w:t>9.1.2</w:t>
                              </w:r>
                            </w:sdtContent>
                          </w:sdt>
                          <w:r>
                            <w:rPr>
                              <w:color w:val="000000"/>
                            </w:rPr>
                            <w:t>. muitinės dokumentai, įrodantys, kad gaminiai išvežti iš Europos Sąjungos valstybių narių teritorijos, kai gaminiai išvežami iš Europos Sąjungos valstybių narių teritorijos;</w:t>
                          </w:r>
                        </w:p>
                      </w:sdtContent>
                    </w:sdt>
                  </w:sdtContent>
                </w:sdt>
                <w:sdt>
                  <w:sdtPr>
                    <w:alias w:val="9.2 pp."/>
                    <w:tag w:val="part_7762375082ca4c05a7c1be5be7dff1c6"/>
                    <w:lock w:val="sdtLocked"/>
                    <w:richText/>
                  </w:sdtPr>
                  <w:sdtContent>
                    <w:p>
                      <w:pPr>
                        <w:widowControl w:val="0"/>
                        <w:ind w:firstLine="567"/>
                        <w:jc w:val="both"/>
                        <w:rPr>
                          <w:color w:val="000000"/>
                        </w:rPr>
                      </w:pPr>
                      <w:sdt>
                        <w:sdtPr>
                          <w:alias w:val="Numeris"/>
                          <w:tag w:val="nr_7762375082ca4c05a7c1be5be7dff1c6"/>
                          <w:lock w:val="sdtLocked"/>
                          <w:richText/>
                        </w:sdtPr>
                        <w:sdtContent>
                          <w:r>
                            <w:rPr>
                              <w:color w:val="000000"/>
                            </w:rPr>
                            <w:t>9.2</w:t>
                          </w:r>
                        </w:sdtContent>
                      </w:sdt>
                      <w:r>
                        <w:rPr>
                          <w:color w:val="000000"/>
                        </w:rPr>
                        <w:t xml:space="preserve">. </w:t>
                      </w:r>
                      <w:r>
                        <w:rPr>
                          <w:color w:val="000000"/>
                          <w:spacing w:val="-2"/>
                        </w:rPr>
                        <w:t>mokesčio mokėtojas, kuris išveža gaminius iš Lietuvos Respublikos teritorijos per trečiuosius asmenis, norintis pasinaudoti šia mokesčio lengvata, privalo turėti sutartį su trečiuoju asmeniu dėl mokesčio mokėtojui priklausančių gaminių išvežimo iš Lietuvos Respublikos teritorijos ir dokumentų, patvirtinančių gaminių išvežimą iš Lietuvos Respublikos teritorijos, kopijas, patvirtintas trečiojo asmens atsakingo asmens, ir pateikti šiuos dokumentus patikrinimą atliekančiam a</w:t>
                      </w:r>
                      <w:r>
                        <w:rPr>
                          <w:color w:val="000000"/>
                          <w:lang w:eastAsia="lt-LT"/>
                        </w:rPr>
                        <w:t xml:space="preserve">plinkos apsaugos valstybinės kontrolės </w:t>
                      </w:r>
                      <w:r>
                        <w:rPr>
                          <w:color w:val="000000"/>
                          <w:spacing w:val="-2"/>
                        </w:rPr>
                        <w:t>pareigūnui.</w:t>
                      </w:r>
                    </w:p>
                  </w:sdtContent>
                </w:sdt>
              </w:sdtContent>
            </w:sdt>
            <w:sdt>
              <w:sdtPr>
                <w:alias w:val="10 p."/>
                <w:tag w:val="part_9804b8ca8d954223939313f4453d5f02"/>
                <w:lock w:val="sdtLocked"/>
                <w:richText/>
              </w:sdtPr>
              <w:sdtContent>
                <w:p>
                  <w:pPr>
                    <w:widowControl w:val="0"/>
                    <w:ind w:firstLine="567"/>
                    <w:jc w:val="both"/>
                    <w:rPr>
                      <w:color w:val="000000"/>
                    </w:rPr>
                  </w:pPr>
                  <w:sdt>
                    <w:sdtPr>
                      <w:alias w:val="Numeris"/>
                      <w:tag w:val="nr_9804b8ca8d954223939313f4453d5f02"/>
                      <w:lock w:val="sdtLocked"/>
                      <w:richText/>
                    </w:sdtPr>
                    <w:sdtContent>
                      <w:r>
                        <w:rPr>
                          <w:color w:val="000000"/>
                        </w:rPr>
                        <w:t>10</w:t>
                      </w:r>
                    </w:sdtContent>
                  </w:sdt>
                  <w:r>
                    <w:rPr>
                      <w:color w:val="000000"/>
                    </w:rPr>
                    <w:t>. Mokesčio mokėtojas nuo mokesčio už išvežtus gaminius per trečiuosius asmenis atleidžiamas tik jei trečiasis asmuo, kuris suprantamas kaip asmuo, kuriam pagal sutartį mokesčio mokėtojas perleido savo gaminius, išvežė šiuos gaminius iš Lietuvos Respublikos teritorijos pats ar naudodamasis teikiamomis transportavimo paslaugomis. Trečiasis asmuo negali perleisti kitam asmeniui gaminių išvežimo prievolės. Jei trečiasis asmuo taip pat yra mokesčio už aplinkos teršimą gaminių atliekomis mokėtojas, jo, kaip trečiojo asmens, išvežti kito asmens gaminiai neturi įtakos jo gaminių kiekiui.</w:t>
                  </w:r>
                </w:p>
              </w:sdtContent>
            </w:sdt>
            <w:sdt>
              <w:sdtPr>
                <w:alias w:val="11 p."/>
                <w:tag w:val="part_6038cc280a8945508bd4edcc1db374b6"/>
                <w:lock w:val="sdtLocked"/>
                <w:richText/>
              </w:sdtPr>
              <w:sdtContent>
                <w:p>
                  <w:pPr>
                    <w:ind w:firstLine="567"/>
                    <w:jc w:val="both"/>
                    <w:rPr>
                      <w:color w:val="000000"/>
                      <w:szCs w:val="24"/>
                      <w:lang w:eastAsia="lt-LT"/>
                    </w:rPr>
                  </w:pPr>
                  <w:sdt>
                    <w:sdtPr>
                      <w:alias w:val="Numeris"/>
                      <w:tag w:val="nr_6038cc280a8945508bd4edcc1db374b6"/>
                      <w:lock w:val="sdtLocked"/>
                      <w:richText/>
                    </w:sdtPr>
                    <w:sdtContent>
                      <w:r>
                        <w:rPr>
                          <w:color w:val="000000"/>
                          <w:szCs w:val="24"/>
                          <w:lang w:eastAsia="lt-LT"/>
                        </w:rPr>
                        <w:t>11</w:t>
                      </w:r>
                    </w:sdtContent>
                  </w:sdt>
                  <w:r>
                    <w:rPr>
                      <w:color w:val="000000"/>
                      <w:szCs w:val="24"/>
                      <w:lang w:eastAsia="lt-LT"/>
                    </w:rPr>
                    <w:t xml:space="preserve">. </w:t>
                  </w:r>
                  <w:r>
                    <w:rPr>
                      <w:szCs w:val="24"/>
                      <w:lang w:eastAsia="lt-LT"/>
                    </w:rPr>
                    <w:t>Mokesčio mokėtojai atleidžiami nuo mokesčio už aplinkos teršimą gaminių atliekomis už gaminių kiekį, kuris proporcingas įvykdytos gaminių atliekų naudojimo ir (ar) perdirbimo užduoties daliai. Norėdami pasinaudoti mokesčio lengvata, mokesčio mokėtojai turi turėti dokumentus ir (ar) patvirtinimus, patvirtinančius gaminių atliekų naudojimo ir (ar) perdirbimo užduoties įvykdymą, Tvarkos aprašo 12 punkte nustatyta tvarka.</w:t>
                  </w:r>
                </w:p>
              </w:sdtContent>
            </w:sdt>
            <w:sdt>
              <w:sdtPr>
                <w:alias w:val="12 p."/>
                <w:tag w:val="part_6ea949d3370f4d4dbd1643c271345313"/>
                <w:lock w:val="sdtLocked"/>
                <w:richText/>
              </w:sdtPr>
              <w:sdtContent>
                <w:p>
                  <w:pPr>
                    <w:ind w:firstLine="567"/>
                    <w:jc w:val="both"/>
                    <w:rPr>
                      <w:color w:val="000000"/>
                      <w:szCs w:val="24"/>
                      <w:lang w:eastAsia="lt-LT"/>
                    </w:rPr>
                  </w:pPr>
                  <w:sdt>
                    <w:sdtPr>
                      <w:alias w:val="Numeris"/>
                      <w:tag w:val="nr_6ea949d3370f4d4dbd1643c271345313"/>
                      <w:lock w:val="sdtLocked"/>
                      <w:richText/>
                    </w:sdtPr>
                    <w:sdtContent>
                      <w:r>
                        <w:rPr>
                          <w:color w:val="000000"/>
                          <w:szCs w:val="24"/>
                          <w:lang w:eastAsia="lt-LT"/>
                        </w:rPr>
                        <w:t>12</w:t>
                      </w:r>
                    </w:sdtContent>
                  </w:sdt>
                  <w:r>
                    <w:rPr>
                      <w:color w:val="000000"/>
                      <w:szCs w:val="24"/>
                      <w:lang w:eastAsia="lt-LT"/>
                    </w:rPr>
                    <w:t>. Dokumentų ir (ar) patvirtinimų, patvirtinančių gaminių atliekų naudojimo ir (ar) perdirbimo užduoties įvykdymą, turėjimo tvarka:</w:t>
                  </w:r>
                </w:p>
                <w:sdt>
                  <w:sdtPr>
                    <w:alias w:val="12.1 pp."/>
                    <w:tag w:val="part_1aac45a8897140368e2781409b48513c"/>
                    <w:lock w:val="sdtLocked"/>
                    <w:richText/>
                  </w:sdtPr>
                  <w:sdtContent>
                    <w:p>
                      <w:pPr>
                        <w:ind w:firstLine="567"/>
                        <w:jc w:val="both"/>
                        <w:rPr>
                          <w:szCs w:val="24"/>
                          <w:lang w:eastAsia="lt-LT"/>
                        </w:rPr>
                      </w:pPr>
                      <w:sdt>
                        <w:sdtPr>
                          <w:alias w:val="Numeris"/>
                          <w:tag w:val="nr_1aac45a8897140368e2781409b48513c"/>
                          <w:lock w:val="sdtLocked"/>
                          <w:richText/>
                        </w:sdtPr>
                        <w:sdtContent>
                          <w:r>
                            <w:rPr>
                              <w:color w:val="000000"/>
                              <w:szCs w:val="24"/>
                              <w:lang w:eastAsia="lt-LT"/>
                            </w:rPr>
                            <w:t>12.1</w:t>
                          </w:r>
                        </w:sdtContent>
                      </w:sdt>
                      <w:r>
                        <w:rPr>
                          <w:color w:val="000000"/>
                          <w:szCs w:val="24"/>
                          <w:lang w:eastAsia="lt-LT"/>
                        </w:rPr>
                        <w:t xml:space="preserve">. </w:t>
                      </w:r>
                      <w:r>
                        <w:rPr>
                          <w:szCs w:val="24"/>
                          <w:lang w:eastAsia="lt-LT"/>
                        </w:rPr>
                        <w:t xml:space="preserve">Mokesčio mokėtojui dokumentai ir (ar) patvirtinimai, patvirtinantys gaminių atliekų naudojimo ir (ar) perdirbimo užduoties įvykdymą, išrašomi vadovaujantis </w:t>
                      </w:r>
                      <w:r>
                        <w:rPr>
                          <w:color w:val="000000"/>
                          <w:szCs w:val="24"/>
                          <w:lang w:eastAsia="lt-LT"/>
                        </w:rPr>
                        <w:t>Gaminių ir (ar) pakuočių atliekų sutvarkymą įrodančių dokumentų išrašymo tvarkos aprašo, patvirtinto Lietuvos Respublikos aplinkos ministro 2013 m. gegužės 20 d. įsakymu Nr. D1-359 „</w:t>
                      </w:r>
                      <w:r>
                        <w:rPr>
                          <w:bCs/>
                          <w:color w:val="000000"/>
                          <w:szCs w:val="24"/>
                          <w:lang w:eastAsia="lt-LT"/>
                        </w:rPr>
                        <w:t xml:space="preserve">Dėl Gaminių ir (ar) pakuočių atliekų sutvarkymą įrodančių dokumentų išrašymo tvarkos aprašo patvirtinimo“, arba </w:t>
                      </w:r>
                      <w:r>
                        <w:rPr>
                          <w:color w:val="000000"/>
                          <w:lang w:eastAsia="lt-LT"/>
                        </w:rPr>
                        <w:t>Tvarkos, kai negalima naudotis vieninga gaminių, pakuočių ir atliekų apskaitos informacine sistema, aprašo, patvirtinto Lietuvos Respublikos</w:t>
                      </w:r>
                      <w:r>
                        <w:rPr>
                          <w:szCs w:val="24"/>
                          <w:lang w:eastAsia="lt-LT"/>
                        </w:rPr>
                        <w:t xml:space="preserve"> aplinkos ministro 2018 m. sausio 31 d. įsakymu Nr. D1-73 „</w:t>
                      </w:r>
                      <w:r>
                        <w:rPr>
                          <w:bCs/>
                          <w:szCs w:val="24"/>
                          <w:lang w:eastAsia="lt-LT"/>
                        </w:rPr>
                        <w:t>Dėl Tvarkos, kai negalima naudotis vieninga gaminių, pakuočių ir atliekų apskaitos informacine sistema, aprašo patvirtinimo“,</w:t>
                      </w:r>
                      <w:r>
                        <w:rPr>
                          <w:szCs w:val="24"/>
                          <w:lang w:eastAsia="lt-LT"/>
                        </w:rPr>
                        <w:t xml:space="preserve"> </w:t>
                      </w:r>
                      <w:r>
                        <w:rPr>
                          <w:bCs/>
                          <w:color w:val="000000"/>
                          <w:szCs w:val="24"/>
                          <w:lang w:eastAsia="lt-LT"/>
                        </w:rPr>
                        <w:t>nustatyta tvarka</w:t>
                      </w:r>
                      <w:r>
                        <w:rPr>
                          <w:szCs w:val="24"/>
                          <w:lang w:eastAsia="lt-LT"/>
                        </w:rPr>
                        <w:t>;</w:t>
                      </w:r>
                    </w:p>
                  </w:sdtContent>
                </w:sdt>
                <w:sdt>
                  <w:sdtPr>
                    <w:alias w:val="12.2 pp."/>
                    <w:tag w:val="part_15313041df204cc5bd3c1291b1946757"/>
                    <w:lock w:val="sdtLocked"/>
                    <w:richText/>
                  </w:sdtPr>
                  <w:sdtContent>
                    <w:p>
                      <w:pPr>
                        <w:ind w:firstLine="567"/>
                        <w:jc w:val="both"/>
                        <w:rPr>
                          <w:color w:val="000000"/>
                        </w:rPr>
                      </w:pPr>
                      <w:sdt>
                        <w:sdtPr>
                          <w:alias w:val="Numeris"/>
                          <w:tag w:val="nr_15313041df204cc5bd3c1291b1946757"/>
                          <w:lock w:val="sdtLocked"/>
                          <w:richText/>
                        </w:sdtPr>
                        <w:sdtContent>
                          <w:r>
                            <w:rPr>
                              <w:szCs w:val="24"/>
                              <w:lang w:eastAsia="lt-LT"/>
                            </w:rPr>
                            <w:t>12.2</w:t>
                          </w:r>
                        </w:sdtContent>
                      </w:sdt>
                      <w:r>
                        <w:rPr>
                          <w:szCs w:val="24"/>
                          <w:lang w:eastAsia="lt-LT"/>
                        </w:rPr>
                        <w:t xml:space="preserve">. </w:t>
                      </w:r>
                      <w:r>
                        <w:rPr>
                          <w:color w:val="000000"/>
                          <w:lang w:eastAsia="lt-LT"/>
                        </w:rPr>
                        <w:t xml:space="preserve">aplinkos apsaugos valstybinės kontrolės </w:t>
                      </w:r>
                      <w:r>
                        <w:rPr>
                          <w:lang w:eastAsia="lt-LT"/>
                        </w:rPr>
                        <w:t>pareigūnas, atlikdamas mokestinį patikrinimą, nustato, ar mokesčio mokėtojas galėjo pasinaudoti mokestine lengvata</w:t>
                      </w:r>
                      <w:r>
                        <w:rPr>
                          <w:szCs w:val="24"/>
                          <w:lang w:eastAsia="lt-LT"/>
                        </w:rPr>
                        <w:t>.</w:t>
                      </w:r>
                    </w:p>
                  </w:sdtContent>
                </w:sdt>
              </w:sdtContent>
            </w:sdt>
          </w:sdtContent>
        </w:sdt>
        <w:sdt>
          <w:sdtPr>
            <w:alias w:val="pabaiga"/>
            <w:tag w:val="part_9ee172fcc26943c4b3791ed9f1c8a850"/>
            <w:lock w:val="sdtLocked"/>
            <w:richText/>
          </w:sdtPr>
          <w:sdtContent>
            <w:p>
              <w:pPr>
                <w:widowControl w:val="0"/>
                <w:jc w:val="center"/>
                <w:rPr>
                  <w:color w:val="000000"/>
                </w:rPr>
              </w:pPr>
              <w:r>
                <w:rPr>
                  <w:color w:val="000000"/>
                </w:rPr>
                <w:t>_________________</w:t>
              </w:r>
            </w:p>
            <w:p>
              <w:pPr>
                <w:widowControl w:val="0"/>
                <w:jc w:val="center"/>
                <w:rPr>
                  <w:rFonts w:ascii="Tahoma" w:hAnsi="Tahoma"/>
                  <w:spacing w:val="10"/>
                  <w:sz w:val="20"/>
                  <w:lang w:eastAsia="lt-LT"/>
                </w:rPr>
              </w:pPr>
            </w:p>
          </w:sdtContent>
        </w:sdt>
      </w:sdtContent>
    </w:sdt>
    <w:sdt>
      <w:sdtPr>
        <w:alias w:val="patvirtinta"/>
        <w:tag w:val="part_018e8cdc362149548c6045935f03a542"/>
        <w:lock w:val="sdtLocked"/>
        <w:richText/>
      </w:sdtPr>
      <w:sdtContent>
        <w:p>
          <w:pPr>
            <w:widowControl w:val="0"/>
            <w:ind w:left="5670"/>
            <w:sectPr>
              <w:footnotePr>
                <w:pos w:val="beneathText"/>
              </w:footnotePr>
              <w:pgSz w:w="11905" w:h="16837"/>
              <w:pgMar w:top="1701" w:right="567" w:bottom="1134" w:left="1701" w:header="426" w:footer="919" w:gutter="0"/>
              <w:pgNumType w:start="1"/>
              <w:cols w:space="1296"/>
              <w:formProt w:val="0"/>
              <w:titlePg/>
              <w:docGrid w:linePitch="360"/>
            </w:sectPr>
          </w:pPr>
        </w:p>
        <w:p>
          <w:pPr>
            <w:widowControl w:val="0"/>
            <w:ind w:left="5670"/>
            <w:rPr>
              <w:color w:val="000000"/>
            </w:rPr>
          </w:pPr>
          <w:r>
            <w:rPr>
              <w:color w:val="000000"/>
            </w:rPr>
            <w:t>PATVIRTINTA</w:t>
          </w:r>
        </w:p>
        <w:p>
          <w:pPr>
            <w:widowControl w:val="0"/>
            <w:ind w:left="5670"/>
            <w:rPr>
              <w:color w:val="000000"/>
            </w:rPr>
          </w:pPr>
          <w:r>
            <w:rPr>
              <w:color w:val="000000"/>
            </w:rPr>
            <w:t>Lietuvos Respublikos aplinkos ministro</w:t>
          </w:r>
        </w:p>
        <w:p>
          <w:pPr>
            <w:widowControl w:val="0"/>
            <w:ind w:left="5670"/>
            <w:rPr>
              <w:color w:val="000000"/>
            </w:rPr>
          </w:pPr>
          <w:r>
            <w:rPr>
              <w:color w:val="000000"/>
            </w:rPr>
            <w:t xml:space="preserve">2021 m. kovo 10 d. </w:t>
          </w:r>
        </w:p>
        <w:p>
          <w:pPr>
            <w:widowControl w:val="0"/>
            <w:ind w:left="5670"/>
            <w:rPr>
              <w:color w:val="000000"/>
            </w:rPr>
          </w:pPr>
          <w:r>
            <w:rPr>
              <w:color w:val="000000"/>
            </w:rPr>
            <w:t>įsakymu Nr. D1-143</w:t>
          </w:r>
        </w:p>
        <w:p>
          <w:pPr>
            <w:widowControl w:val="0"/>
            <w:ind w:firstLine="567"/>
            <w:jc w:val="both"/>
            <w:rPr>
              <w:color w:val="000000"/>
            </w:rPr>
          </w:pPr>
        </w:p>
        <w:p>
          <w:pPr>
            <w:widowControl w:val="0"/>
            <w:jc w:val="center"/>
            <w:rPr>
              <w:b/>
              <w:bCs/>
              <w:caps/>
              <w:color w:val="000000"/>
            </w:rPr>
          </w:pPr>
          <w:sdt>
            <w:sdtPr>
              <w:alias w:val="Pavadinimas"/>
              <w:tag w:val="title_018e8cdc362149548c6045935f03a542"/>
              <w:lock w:val="sdtLocked"/>
              <w:richText/>
            </w:sdtPr>
            <w:sdtContent>
              <w:r>
                <w:rPr>
                  <w:b/>
                  <w:bCs/>
                  <w:caps/>
                  <w:color w:val="000000"/>
                </w:rPr>
                <w:t>MOKESČIO UŽ APLINKOS TERŠIMĄ ir nuslėptą taršą PAKUOčių ATLIEKOMIS APSKAIČIAVIMO TVARKOS APRAŠAS</w:t>
              </w:r>
            </w:sdtContent>
          </w:sdt>
        </w:p>
        <w:p>
          <w:pPr>
            <w:widowControl w:val="0"/>
            <w:ind w:firstLine="567"/>
            <w:jc w:val="both"/>
            <w:rPr>
              <w:color w:val="000000"/>
            </w:rPr>
          </w:pPr>
        </w:p>
        <w:sdt>
          <w:sdtPr>
            <w:alias w:val="skyrius"/>
            <w:tag w:val="part_0bea9b2923b74c4596f7e0b5232ff74c"/>
            <w:lock w:val="sdtLocked"/>
            <w:richText/>
          </w:sdtPr>
          <w:sdtContent>
            <w:p>
              <w:pPr>
                <w:widowControl w:val="0"/>
                <w:jc w:val="center"/>
                <w:rPr>
                  <w:b/>
                  <w:bCs/>
                  <w:caps/>
                  <w:color w:val="000000"/>
                </w:rPr>
              </w:pPr>
              <w:sdt>
                <w:sdtPr>
                  <w:alias w:val="Numeris"/>
                  <w:tag w:val="nr_0bea9b2923b74c4596f7e0b5232ff74c"/>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0bea9b2923b74c4596f7e0b5232ff74c"/>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0158bd86435c4790ba58621df97c36e9"/>
                <w:lock w:val="sdtLocked"/>
                <w:richText/>
              </w:sdtPr>
              <w:sdtContent>
                <w:p>
                  <w:pPr>
                    <w:widowControl w:val="0"/>
                    <w:ind w:firstLine="567"/>
                    <w:jc w:val="both"/>
                    <w:rPr>
                      <w:color w:val="000000"/>
                    </w:rPr>
                  </w:pPr>
                  <w:sdt>
                    <w:sdtPr>
                      <w:alias w:val="Numeris"/>
                      <w:tag w:val="nr_0158bd86435c4790ba58621df97c36e9"/>
                      <w:lock w:val="sdtLocked"/>
                      <w:richText/>
                    </w:sdtPr>
                    <w:sdtContent>
                      <w:r>
                        <w:rPr>
                          <w:color w:val="000000"/>
                        </w:rPr>
                        <w:t>1</w:t>
                      </w:r>
                    </w:sdtContent>
                  </w:sdt>
                  <w:r>
                    <w:rPr>
                      <w:color w:val="000000"/>
                    </w:rPr>
                    <w:t xml:space="preserve">. Mokesčio už aplinkos teršimą ir nuslėptą taršą pakuočių atliekomis apskaičiavimo tvarkos aprašas (toliau – Tvarkos aprašas) nustato mokesčio už aplinkos teršimą ir nuslėptą taršą pakuočių atliekomis apskaičiavimo tvarką; </w:t>
                  </w:r>
                  <w:r>
                    <w:rPr>
                      <w:szCs w:val="24"/>
                      <w:lang w:eastAsia="lt-LT"/>
                    </w:rPr>
                    <w:t>dokumentų, patvirtinančių išvežtą iš Lietuvos Respublikos teritorijos pripildytų pakuočių kiekį, pateikimo</w:t>
                  </w:r>
                  <w:r>
                    <w:rPr>
                      <w:color w:val="000000"/>
                    </w:rPr>
                    <w:t xml:space="preserve"> tvarką ir d</w:t>
                  </w:r>
                  <w:r>
                    <w:rPr>
                      <w:color w:val="000000"/>
                      <w:szCs w:val="24"/>
                      <w:lang w:eastAsia="lt-LT"/>
                    </w:rPr>
                    <w:t xml:space="preserve">okumentų, patvirtinančių pakuočių atliekų naudojimo ir (ar) perdirbimo užduoties įvykdymą, turėjimo </w:t>
                  </w:r>
                  <w:r>
                    <w:rPr>
                      <w:color w:val="000000"/>
                    </w:rPr>
                    <w:t>tvarką.</w:t>
                  </w:r>
                </w:p>
              </w:sdtContent>
            </w:sdt>
            <w:sdt>
              <w:sdtPr>
                <w:alias w:val="2 p."/>
                <w:tag w:val="part_60b26fca28dd4312851c531129fe55bd"/>
                <w:lock w:val="sdtLocked"/>
                <w:richText/>
              </w:sdtPr>
              <w:sdtContent>
                <w:p>
                  <w:pPr>
                    <w:widowControl w:val="0"/>
                    <w:ind w:firstLine="567"/>
                    <w:jc w:val="both"/>
                    <w:rPr>
                      <w:color w:val="000000"/>
                    </w:rPr>
                  </w:pPr>
                  <w:sdt>
                    <w:sdtPr>
                      <w:alias w:val="Numeris"/>
                      <w:tag w:val="nr_60b26fca28dd4312851c531129fe55bd"/>
                      <w:lock w:val="sdtLocked"/>
                      <w:richText/>
                    </w:sdtPr>
                    <w:sdtContent>
                      <w:r>
                        <w:rPr>
                          <w:color w:val="000000"/>
                        </w:rPr>
                        <w:t>2</w:t>
                      </w:r>
                    </w:sdtContent>
                  </w:sdt>
                  <w:r>
                    <w:rPr>
                      <w:color w:val="000000"/>
                    </w:rPr>
                    <w:t>. Tvarkos apraše vartojamos sąvokos atitinka Lietuvos Respublikos mokesčio už aplinkos teršimą įstatyme, Lietuvos Respublikos atliekų tvarkymo įstatyme, Lietuvos Respublikos pakuočių ir pakuočių atliekų tvarkymo įstatyme ir Lietuvos Respublikos aplinkos apsaugos valstybinės kontrolės įstatyme įtvirtintas sąvokas.</w:t>
                  </w:r>
                </w:p>
                <w:p>
                  <w:pPr>
                    <w:widowControl w:val="0"/>
                    <w:jc w:val="center"/>
                    <w:rPr>
                      <w:b/>
                      <w:bCs/>
                      <w:caps/>
                      <w:color w:val="000000"/>
                    </w:rPr>
                  </w:pPr>
                </w:p>
              </w:sdtContent>
            </w:sdt>
          </w:sdtContent>
        </w:sdt>
        <w:sdt>
          <w:sdtPr>
            <w:alias w:val="skyrius"/>
            <w:tag w:val="part_487d77366ca74aec82d52d4bbf2a3150"/>
            <w:lock w:val="sdtLocked"/>
            <w:richText/>
          </w:sdtPr>
          <w:sdtContent>
            <w:p>
              <w:pPr>
                <w:widowControl w:val="0"/>
                <w:jc w:val="center"/>
                <w:rPr>
                  <w:b/>
                  <w:bCs/>
                  <w:caps/>
                  <w:color w:val="000000"/>
                </w:rPr>
              </w:pPr>
              <w:sdt>
                <w:sdtPr>
                  <w:alias w:val="Numeris"/>
                  <w:tag w:val="nr_487d77366ca74aec82d52d4bbf2a3150"/>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487d77366ca74aec82d52d4bbf2a3150"/>
                  <w:lock w:val="sdtLocked"/>
                  <w:richText/>
                </w:sdtPr>
                <w:sdtContent>
                  <w:r>
                    <w:rPr>
                      <w:b/>
                      <w:bCs/>
                      <w:caps/>
                      <w:color w:val="000000"/>
                    </w:rPr>
                    <w:t>MOKESČIO APSKAIČIAVIMAS</w:t>
                  </w:r>
                </w:sdtContent>
              </w:sdt>
            </w:p>
            <w:p>
              <w:pPr>
                <w:widowControl w:val="0"/>
                <w:ind w:firstLine="567"/>
                <w:jc w:val="both"/>
                <w:rPr>
                  <w:color w:val="000000"/>
                </w:rPr>
              </w:pPr>
            </w:p>
            <w:sdt>
              <w:sdtPr>
                <w:alias w:val="3 p."/>
                <w:tag w:val="part_bdc15f185c4a4b9288343a256c2a37b9"/>
                <w:lock w:val="sdtLocked"/>
                <w:richText/>
              </w:sdtPr>
              <w:sdtContent>
                <w:p>
                  <w:pPr>
                    <w:widowControl w:val="0"/>
                    <w:ind w:firstLine="567"/>
                    <w:jc w:val="both"/>
                    <w:rPr>
                      <w:color w:val="000000"/>
                    </w:rPr>
                  </w:pPr>
                  <w:sdt>
                    <w:sdtPr>
                      <w:alias w:val="Numeris"/>
                      <w:tag w:val="nr_bdc15f185c4a4b9288343a256c2a37b9"/>
                      <w:lock w:val="sdtLocked"/>
                      <w:richText/>
                    </w:sdtPr>
                    <w:sdtContent>
                      <w:r>
                        <w:rPr>
                          <w:color w:val="000000"/>
                        </w:rPr>
                        <w:t>3</w:t>
                      </w:r>
                    </w:sdtContent>
                  </w:sdt>
                  <w:r>
                    <w:rPr>
                      <w:color w:val="000000"/>
                    </w:rPr>
                    <w:t>. Vidaus rinkai tiektų pripildytų atitinkamos rūšies pakuočių kiekis (tonomis) apskaičiuojamas pagal formulę:</w:t>
                  </w:r>
                </w:p>
                <w:p>
                  <w:pPr>
                    <w:widowControl w:val="0"/>
                    <w:ind w:firstLine="567"/>
                    <w:jc w:val="both"/>
                    <w:rPr>
                      <w:color w:val="000000"/>
                    </w:rPr>
                  </w:pPr>
                </w:p>
                <w:p>
                  <w:pPr>
                    <w:widowControl w:val="0"/>
                    <w:ind w:firstLine="567"/>
                    <w:jc w:val="both"/>
                    <w:rPr>
                      <w:color w:val="000000"/>
                    </w:rPr>
                  </w:pPr>
                  <w:r>
                    <w:rPr>
                      <w:color w:val="000000"/>
                    </w:rPr>
                    <w:t>Q = Q</w:t>
                  </w:r>
                  <w:r>
                    <w:rPr>
                      <w:color w:val="000000"/>
                      <w:vertAlign w:val="subscript"/>
                    </w:rPr>
                    <w:t>PAG</w:t>
                  </w:r>
                  <w:r>
                    <w:rPr>
                      <w:color w:val="000000"/>
                    </w:rPr>
                    <w:t xml:space="preserve"> + Q</w:t>
                  </w:r>
                  <w:r>
                    <w:rPr>
                      <w:color w:val="000000"/>
                      <w:vertAlign w:val="subscript"/>
                    </w:rPr>
                    <w:t>ĮVE</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Q – mokesčio mokėtojo per mokestinį laikotarpį vidaus rinkai tiektų pripildytų atitinkamos rūšies pakuočių kiekis (t);</w:t>
                  </w:r>
                </w:p>
                <w:p>
                  <w:pPr>
                    <w:widowControl w:val="0"/>
                    <w:ind w:firstLine="567"/>
                    <w:jc w:val="both"/>
                    <w:rPr>
                      <w:color w:val="000000"/>
                    </w:rPr>
                  </w:pPr>
                  <w:r>
                    <w:rPr>
                      <w:color w:val="000000"/>
                    </w:rPr>
                    <w:t>Q</w:t>
                  </w:r>
                  <w:r>
                    <w:rPr>
                      <w:color w:val="000000"/>
                      <w:vertAlign w:val="subscript"/>
                    </w:rPr>
                    <w:t>PAG</w:t>
                  </w:r>
                  <w:r>
                    <w:rPr>
                      <w:color w:val="000000"/>
                    </w:rPr>
                    <w:t xml:space="preserve"> – mokesčio mokėtojo per mokestinį laikotarpį Lietuvoje pripildytų (panaudotų pakavimui) ir vidaus rinkai tiektų atitinkamos rūšies pakuočių kiekis (t);</w:t>
                  </w:r>
                </w:p>
                <w:p>
                  <w:pPr>
                    <w:widowControl w:val="0"/>
                    <w:ind w:firstLine="567"/>
                    <w:jc w:val="both"/>
                    <w:rPr>
                      <w:color w:val="000000"/>
                    </w:rPr>
                  </w:pPr>
                  <w:r>
                    <w:rPr>
                      <w:color w:val="000000"/>
                    </w:rPr>
                    <w:t>Q</w:t>
                  </w:r>
                  <w:r>
                    <w:rPr>
                      <w:color w:val="000000"/>
                      <w:vertAlign w:val="subscript"/>
                    </w:rPr>
                    <w:t>ĮVE</w:t>
                  </w:r>
                  <w:r>
                    <w:rPr>
                      <w:color w:val="000000"/>
                    </w:rPr>
                    <w:t xml:space="preserve"> – mokesčio mokėtojo per mokestinį laikotarpį į Lietuvą importuotų ir (ar) įvežtų ir vidaus rinkai tiektų pripildytų atitinkamos rūšies pakuočių kiekis (t).</w:t>
                  </w:r>
                </w:p>
              </w:sdtContent>
            </w:sdt>
            <w:sdt>
              <w:sdtPr>
                <w:alias w:val="4 p."/>
                <w:tag w:val="part_dd951bc9bd7043fabaf88affbdc482da"/>
                <w:lock w:val="sdtLocked"/>
                <w:richText/>
              </w:sdtPr>
              <w:sdtContent>
                <w:p>
                  <w:pPr>
                    <w:widowControl w:val="0"/>
                    <w:ind w:firstLine="567"/>
                    <w:jc w:val="both"/>
                    <w:rPr>
                      <w:color w:val="000000"/>
                    </w:rPr>
                  </w:pPr>
                  <w:sdt>
                    <w:sdtPr>
                      <w:alias w:val="Numeris"/>
                      <w:tag w:val="nr_dd951bc9bd7043fabaf88affbdc482da"/>
                      <w:lock w:val="sdtLocked"/>
                      <w:richText/>
                    </w:sdtPr>
                    <w:sdtContent>
                      <w:r>
                        <w:rPr>
                          <w:color w:val="000000"/>
                        </w:rPr>
                        <w:t>4</w:t>
                      </w:r>
                    </w:sdtContent>
                  </w:sdt>
                  <w:r>
                    <w:rPr>
                      <w:color w:val="000000"/>
                    </w:rPr>
                    <w:t>. Atitinkamos rūšies pakuočių atliekų naudojimo ir (ar) perdirbimo kiekio užduoties įvykdymas (procentais) apskaičiuojamas pagal formulę:</w:t>
                  </w:r>
                </w:p>
                <w:p>
                  <w:pPr>
                    <w:widowControl w:val="0"/>
                    <w:ind w:firstLine="567"/>
                    <w:jc w:val="both"/>
                    <w:rPr>
                      <w:color w:val="000000"/>
                    </w:rPr>
                  </w:pPr>
                </w:p>
                <w:p>
                  <w:pPr>
                    <w:widowControl w:val="0"/>
                    <w:ind w:firstLine="567"/>
                    <w:jc w:val="both"/>
                    <w:rPr>
                      <w:color w:val="000000"/>
                    </w:rPr>
                  </w:pPr>
                  <w:r>
                    <w:rPr>
                      <w:color w:val="000000"/>
                    </w:rPr>
                    <w:t>F = (Q</w:t>
                  </w:r>
                  <w:r>
                    <w:rPr>
                      <w:color w:val="000000"/>
                      <w:vertAlign w:val="subscript"/>
                    </w:rPr>
                    <w:t>SUT</w:t>
                  </w:r>
                  <w:r>
                    <w:rPr>
                      <w:color w:val="000000"/>
                    </w:rPr>
                    <w:t xml:space="preserve"> / Q) x 100</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F – faktinis užduoties vykdymas (%);</w:t>
                  </w:r>
                </w:p>
                <w:p>
                  <w:pPr>
                    <w:widowControl w:val="0"/>
                    <w:ind w:firstLine="567"/>
                    <w:jc w:val="both"/>
                    <w:rPr>
                      <w:color w:val="000000"/>
                    </w:rPr>
                  </w:pPr>
                  <w:r>
                    <w:rPr>
                      <w:color w:val="000000"/>
                    </w:rPr>
                    <w:t>Q – mokesčio mokėtojo per mokestinį laikotarpį vidaus rinkai tiektų pripildytų atitinkamos rūšies pakuočių kiekis (t);</w:t>
                  </w:r>
                </w:p>
                <w:p>
                  <w:pPr>
                    <w:widowControl w:val="0"/>
                    <w:ind w:firstLine="567"/>
                    <w:jc w:val="both"/>
                    <w:rPr>
                      <w:color w:val="000000"/>
                    </w:rPr>
                  </w:pPr>
                  <w:r>
                    <w:rPr>
                      <w:color w:val="000000"/>
                    </w:rPr>
                    <w:t>Q</w:t>
                  </w:r>
                  <w:r>
                    <w:rPr>
                      <w:color w:val="000000"/>
                      <w:vertAlign w:val="subscript"/>
                    </w:rPr>
                    <w:t>SUT</w:t>
                  </w:r>
                  <w:r>
                    <w:rPr>
                      <w:color w:val="000000"/>
                    </w:rPr>
                    <w:t xml:space="preserve"> – panaudotų ir (ar) perdirbtų atitinkamos rūšies pakuočių atliekų kiekis (t).</w:t>
                  </w:r>
                </w:p>
              </w:sdtContent>
            </w:sdt>
            <w:sdt>
              <w:sdtPr>
                <w:alias w:val="5 p."/>
                <w:tag w:val="part_a4fb5633c7e84edcbe1ba40646b0a0fa"/>
                <w:lock w:val="sdtLocked"/>
                <w:richText/>
              </w:sdtPr>
              <w:sdtContent>
                <w:p>
                  <w:pPr>
                    <w:widowControl w:val="0"/>
                    <w:ind w:firstLine="567"/>
                    <w:jc w:val="both"/>
                    <w:rPr>
                      <w:color w:val="000000"/>
                    </w:rPr>
                  </w:pPr>
                  <w:sdt>
                    <w:sdtPr>
                      <w:alias w:val="Numeris"/>
                      <w:tag w:val="nr_a4fb5633c7e84edcbe1ba40646b0a0fa"/>
                      <w:lock w:val="sdtLocked"/>
                      <w:richText/>
                    </w:sdtPr>
                    <w:sdtContent>
                      <w:r>
                        <w:rPr>
                          <w:color w:val="000000"/>
                        </w:rPr>
                        <w:t>5</w:t>
                      </w:r>
                    </w:sdtContent>
                  </w:sdt>
                  <w:r>
                    <w:rPr>
                      <w:color w:val="000000"/>
                    </w:rPr>
                    <w:t>. Atitinkamos rūšies pakuočių atliekų naudojimo ir (ar) perdirbimo užduoties įvykdymo lygis apskaičiuojamas pagal formulę:</w:t>
                  </w:r>
                </w:p>
                <w:p>
                  <w:pPr>
                    <w:widowControl w:val="0"/>
                    <w:ind w:firstLine="567"/>
                    <w:jc w:val="both"/>
                    <w:rPr>
                      <w:color w:val="000000"/>
                    </w:rPr>
                  </w:pPr>
                </w:p>
                <w:p>
                  <w:pPr>
                    <w:widowControl w:val="0"/>
                    <w:ind w:firstLine="567"/>
                    <w:jc w:val="both"/>
                    <w:rPr>
                      <w:color w:val="000000"/>
                    </w:rPr>
                  </w:pPr>
                  <w:r>
                    <w:rPr>
                      <w:i/>
                      <w:iCs/>
                      <w:color w:val="000000"/>
                    </w:rPr>
                    <w:t xml:space="preserve">l </w:t>
                  </w:r>
                  <w:r>
                    <w:rPr>
                      <w:color w:val="000000"/>
                    </w:rPr>
                    <w:t>= F / U</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i/>
                      <w:iCs/>
                      <w:color w:val="000000"/>
                    </w:rPr>
                    <w:t xml:space="preserve">l – </w:t>
                  </w:r>
                  <w:r>
                    <w:rPr>
                      <w:color w:val="000000"/>
                    </w:rPr>
                    <w:t>panaudotų ir (ar) perdirbtų atitinkamos rūšies pakuočių atliekų užduoties įvykdymo lygis;</w:t>
                  </w:r>
                </w:p>
                <w:p>
                  <w:pPr>
                    <w:widowControl w:val="0"/>
                    <w:ind w:firstLine="567"/>
                    <w:jc w:val="both"/>
                    <w:rPr>
                      <w:color w:val="000000"/>
                    </w:rPr>
                  </w:pPr>
                  <w:r>
                    <w:rPr>
                      <w:color w:val="000000"/>
                    </w:rPr>
                    <w:t>F – faktinis užduoties vykdymas (%);</w:t>
                  </w:r>
                </w:p>
                <w:p>
                  <w:pPr>
                    <w:widowControl w:val="0"/>
                    <w:ind w:firstLine="567"/>
                    <w:jc w:val="both"/>
                    <w:rPr>
                      <w:color w:val="000000"/>
                    </w:rPr>
                  </w:pPr>
                  <w:r>
                    <w:rPr>
                      <w:color w:val="000000"/>
                    </w:rPr>
                    <w:t>U – pakuočių atliekų naudojimo ir (ar) perdirbimo užduotis atitinkamai pakuočių rūšiai (%), nustatyta Apmokestinamųjų gaminių ir pakuočių atliekų naudojimo ir (ar) perdirbimo užduotyse, patvirtintose Lietuvos Respublikos Vyriausybės 2006 m. lapkričio 24 d. nutarimu Nr. 1168 „Dėl Apmokestinamųjų gaminių ir pakuočių atliekų naudojimo ir (ar) perdirbimo užduočių patvirtinimo“.</w:t>
                  </w:r>
                </w:p>
              </w:sdtContent>
            </w:sdt>
            <w:sdt>
              <w:sdtPr>
                <w:alias w:val="6 p."/>
                <w:tag w:val="part_2bddad4a75b047a2b666f72afacb99bd"/>
                <w:lock w:val="sdtLocked"/>
                <w:richText/>
              </w:sdtPr>
              <w:sdtContent>
                <w:p>
                  <w:pPr>
                    <w:widowControl w:val="0"/>
                    <w:ind w:firstLine="567"/>
                    <w:jc w:val="both"/>
                    <w:rPr>
                      <w:color w:val="000000"/>
                    </w:rPr>
                  </w:pPr>
                  <w:sdt>
                    <w:sdtPr>
                      <w:alias w:val="Numeris"/>
                      <w:tag w:val="nr_2bddad4a75b047a2b666f72afacb99bd"/>
                      <w:lock w:val="sdtLocked"/>
                      <w:richText/>
                    </w:sdtPr>
                    <w:sdtContent>
                      <w:r>
                        <w:rPr>
                          <w:color w:val="000000"/>
                        </w:rPr>
                        <w:t>6</w:t>
                      </w:r>
                    </w:sdtContent>
                  </w:sdt>
                  <w:r>
                    <w:rPr>
                      <w:color w:val="000000"/>
                    </w:rPr>
                    <w:t>. Mokesčio už aplinkos teršimą atitinkamos rūšies pakuočių atliekomis sumažinimo koeficientas pagal atitinkamos užduoties įvykdymo lygį nustatomas pagal formulę:</w:t>
                  </w:r>
                </w:p>
                <w:p>
                  <w:pPr>
                    <w:widowControl w:val="0"/>
                    <w:ind w:firstLine="567"/>
                    <w:jc w:val="both"/>
                    <w:rPr>
                      <w:iCs/>
                      <w:color w:val="000000"/>
                    </w:rPr>
                  </w:pPr>
                </w:p>
                <w:p>
                  <w:pPr>
                    <w:widowControl w:val="0"/>
                    <w:ind w:firstLine="567"/>
                    <w:jc w:val="both"/>
                    <w:rPr>
                      <w:color w:val="000000"/>
                    </w:rPr>
                  </w:pPr>
                  <w:r>
                    <w:rPr>
                      <w:iCs/>
                      <w:color w:val="000000"/>
                    </w:rPr>
                    <w:t>d = 0,</w:t>
                  </w:r>
                  <w:r>
                    <w:rPr>
                      <w:i/>
                      <w:iCs/>
                      <w:color w:val="000000"/>
                    </w:rPr>
                    <w:t xml:space="preserve"> </w:t>
                  </w:r>
                  <w:r>
                    <w:rPr>
                      <w:iCs/>
                      <w:color w:val="000000"/>
                    </w:rPr>
                    <w:t xml:space="preserve">kai </w:t>
                  </w:r>
                  <w:r>
                    <w:rPr>
                      <w:i/>
                      <w:iCs/>
                      <w:color w:val="000000"/>
                    </w:rPr>
                    <w:t xml:space="preserve">l </w:t>
                  </w:r>
                  <w:r>
                    <w:rPr>
                      <w:i/>
                      <w:iCs/>
                      <w:color w:val="000000"/>
                      <w:position w:val="-4"/>
                    </w:rPr>
                    <w:object w:dxaOrig="195" w:dyaOrig="240">
                      <v:shape id="_x0000_i1029" type="#_x0000_t75" style="width:9.8pt;height:9.8pt" o:ole="">
                        <v:imagedata r:id="rId23" o:title=""/>
                      </v:shape>
                      <o:OLEObject Type="Embed" ProgID="Equation.3" ShapeID="_x0000_i1029" DrawAspect="Content" ObjectID="_0000000001" r:id="rId24"/>
                    </w:object>
                  </w:r>
                  <w:r>
                    <w:rPr>
                      <w:color w:val="000000"/>
                    </w:rPr>
                    <w:t xml:space="preserve"> 1 arba</w:t>
                  </w:r>
                </w:p>
                <w:p>
                  <w:pPr>
                    <w:widowControl w:val="0"/>
                    <w:ind w:firstLine="567"/>
                    <w:jc w:val="both"/>
                    <w:rPr>
                      <w:color w:val="000000"/>
                    </w:rPr>
                  </w:pPr>
                  <w:r>
                    <w:rPr>
                      <w:iCs/>
                      <w:color w:val="000000"/>
                    </w:rPr>
                    <w:t>d =</w:t>
                  </w:r>
                  <w:r>
                    <w:rPr>
                      <w:i/>
                      <w:iCs/>
                      <w:color w:val="000000"/>
                    </w:rPr>
                    <w:t xml:space="preserve"> </w:t>
                  </w:r>
                  <w:r>
                    <w:rPr>
                      <w:color w:val="000000"/>
                    </w:rPr>
                    <w:t>1</w:t>
                  </w:r>
                  <w:r>
                    <w:rPr>
                      <w:i/>
                      <w:iCs/>
                      <w:color w:val="000000"/>
                    </w:rPr>
                    <w:t xml:space="preserve"> – l, </w:t>
                  </w:r>
                  <w:r>
                    <w:rPr>
                      <w:iCs/>
                      <w:color w:val="000000"/>
                    </w:rPr>
                    <w:t>kai</w:t>
                  </w:r>
                  <w:r>
                    <w:rPr>
                      <w:i/>
                      <w:iCs/>
                      <w:color w:val="000000"/>
                    </w:rPr>
                    <w:t xml:space="preserve"> </w:t>
                  </w:r>
                  <w:r>
                    <w:rPr>
                      <w:color w:val="000000"/>
                    </w:rPr>
                    <w:t xml:space="preserve">1 &gt; </w:t>
                  </w:r>
                  <w:r>
                    <w:rPr>
                      <w:i/>
                      <w:iCs/>
                      <w:color w:val="000000"/>
                    </w:rPr>
                    <w:t xml:space="preserve">l </w:t>
                  </w:r>
                  <w:r>
                    <w:rPr>
                      <w:i/>
                      <w:iCs/>
                      <w:color w:val="000000"/>
                      <w:position w:val="-4"/>
                    </w:rPr>
                    <w:object w:dxaOrig="195" w:dyaOrig="240">
                      <v:shape id="_x0000_i1030" type="#_x0000_t75" style="width:9.8pt;height:9.8pt" o:ole="">
                        <v:imagedata r:id="rId25" o:title=""/>
                      </v:shape>
                      <o:OLEObject Type="Embed" ProgID="Equation.3" ShapeID="_x0000_i1030" DrawAspect="Content" ObjectID="_0000000001" r:id="rId26"/>
                    </w:object>
                  </w:r>
                  <w:r>
                    <w:rPr>
                      <w:color w:val="000000"/>
                    </w:rPr>
                    <w:t xml:space="preserve"> 0</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iCs/>
                      <w:color w:val="000000"/>
                    </w:rPr>
                    <w:t xml:space="preserve">d </w:t>
                  </w:r>
                  <w:r>
                    <w:rPr>
                      <w:color w:val="000000"/>
                    </w:rPr>
                    <w:t>– mokesčio už aplinkos teršimą atitinkamos rūšies pakuočių atliekomis sumažinimo koeficientas (apmokestinama pakuočių dalis);</w:t>
                  </w:r>
                </w:p>
                <w:p>
                  <w:pPr>
                    <w:widowControl w:val="0"/>
                    <w:ind w:firstLine="567"/>
                    <w:jc w:val="both"/>
                    <w:rPr>
                      <w:color w:val="000000"/>
                    </w:rPr>
                  </w:pPr>
                  <w:r>
                    <w:rPr>
                      <w:i/>
                      <w:iCs/>
                      <w:color w:val="000000"/>
                    </w:rPr>
                    <w:t xml:space="preserve">l – </w:t>
                  </w:r>
                  <w:r>
                    <w:rPr>
                      <w:color w:val="000000"/>
                    </w:rPr>
                    <w:t>panaudotų ir (ar) perdirbtų atitinkamos rūšies pakuočių atliekų užduoties įvykdymo lygis.</w:t>
                  </w:r>
                </w:p>
              </w:sdtContent>
            </w:sdt>
            <w:sdt>
              <w:sdtPr>
                <w:alias w:val="7 p."/>
                <w:tag w:val="part_5bd10f6be20d4ad8b86c62d059ad2736"/>
                <w:lock w:val="sdtLocked"/>
                <w:richText/>
              </w:sdtPr>
              <w:sdtContent>
                <w:p>
                  <w:pPr>
                    <w:suppressAutoHyphens/>
                    <w:ind w:firstLine="567"/>
                    <w:jc w:val="both"/>
                    <w:textAlignment w:val="center"/>
                    <w:rPr>
                      <w:rFonts w:eastAsia="Calibri"/>
                      <w:color w:val="000000"/>
                      <w:szCs w:val="24"/>
                    </w:rPr>
                  </w:pPr>
                  <w:sdt>
                    <w:sdtPr>
                      <w:alias w:val="Numeris"/>
                      <w:tag w:val="nr_5bd10f6be20d4ad8b86c62d059ad2736"/>
                      <w:lock w:val="sdtLocked"/>
                      <w:richText/>
                    </w:sdtPr>
                    <w:sdtContent>
                      <w:r>
                        <w:rPr>
                          <w:rFonts w:eastAsia="Calibri"/>
                          <w:color w:val="000000"/>
                          <w:szCs w:val="24"/>
                        </w:rPr>
                        <w:t>7</w:t>
                      </w:r>
                    </w:sdtContent>
                  </w:sdt>
                  <w:r>
                    <w:rPr>
                      <w:rFonts w:eastAsia="Calibri"/>
                      <w:color w:val="000000"/>
                      <w:szCs w:val="24"/>
                    </w:rPr>
                    <w:t>. Mokestis už aplinkos teršimą atitinkamos rūšies pakuočių atliekomis apskaičiuojamas pagal formulę:</w:t>
                  </w:r>
                </w:p>
                <w:p>
                  <w:pPr>
                    <w:suppressAutoHyphens/>
                    <w:ind w:firstLine="567"/>
                    <w:jc w:val="both"/>
                    <w:textAlignment w:val="center"/>
                    <w:rPr>
                      <w:rFonts w:eastAsia="Calibri"/>
                      <w:color w:val="000000"/>
                      <w:szCs w:val="24"/>
                    </w:rPr>
                  </w:pPr>
                </w:p>
                <w:p>
                  <w:pPr>
                    <w:suppressAutoHyphens/>
                    <w:ind w:firstLine="567"/>
                    <w:jc w:val="both"/>
                    <w:textAlignment w:val="center"/>
                    <w:rPr>
                      <w:rFonts w:eastAsia="Calibri"/>
                      <w:color w:val="000000"/>
                      <w:szCs w:val="24"/>
                    </w:rPr>
                  </w:pPr>
                  <w:r>
                    <w:rPr>
                      <w:rFonts w:eastAsia="Calibri"/>
                      <w:color w:val="000000"/>
                      <w:szCs w:val="24"/>
                    </w:rPr>
                    <w:t>M = Q x d x T x k, arba</w:t>
                  </w:r>
                </w:p>
                <w:p>
                  <w:pPr>
                    <w:suppressAutoHyphens/>
                    <w:ind w:firstLine="567"/>
                    <w:jc w:val="both"/>
                    <w:textAlignment w:val="center"/>
                    <w:rPr>
                      <w:rFonts w:eastAsia="Calibri"/>
                      <w:szCs w:val="24"/>
                    </w:rPr>
                  </w:pPr>
                  <w:r>
                    <w:rPr>
                      <w:rFonts w:eastAsia="Calibri"/>
                      <w:szCs w:val="24"/>
                    </w:rPr>
                    <w:t>M</w:t>
                  </w:r>
                  <w:r>
                    <w:rPr>
                      <w:rFonts w:eastAsia="Calibri"/>
                      <w:szCs w:val="24"/>
                      <w:vertAlign w:val="subscript"/>
                    </w:rPr>
                    <w:t>NES</w:t>
                  </w:r>
                  <w:r>
                    <w:rPr>
                      <w:rFonts w:eastAsia="Calibri"/>
                      <w:szCs w:val="24"/>
                    </w:rPr>
                    <w:t xml:space="preserve"> = Q</w:t>
                  </w:r>
                  <w:r>
                    <w:rPr>
                      <w:rFonts w:eastAsia="Calibri"/>
                      <w:szCs w:val="24"/>
                      <w:vertAlign w:val="subscript"/>
                    </w:rPr>
                    <w:t>DEK</w:t>
                  </w:r>
                  <w:r>
                    <w:rPr>
                      <w:rFonts w:eastAsia="Calibri"/>
                      <w:szCs w:val="24"/>
                    </w:rPr>
                    <w:t xml:space="preserve"> x (d</w:t>
                  </w:r>
                  <w:r>
                    <w:rPr>
                      <w:rFonts w:eastAsia="Calibri"/>
                      <w:szCs w:val="24"/>
                      <w:vertAlign w:val="subscript"/>
                    </w:rPr>
                    <w:t>FAK</w:t>
                  </w:r>
                  <w:r>
                    <w:rPr>
                      <w:rFonts w:eastAsia="Calibri"/>
                      <w:szCs w:val="24"/>
                    </w:rPr>
                    <w:t xml:space="preserve"> – d</w:t>
                  </w:r>
                  <w:r>
                    <w:rPr>
                      <w:rFonts w:eastAsia="Calibri"/>
                      <w:szCs w:val="24"/>
                      <w:vertAlign w:val="subscript"/>
                    </w:rPr>
                    <w:t>DEK</w:t>
                  </w:r>
                  <w:r>
                    <w:rPr>
                      <w:rFonts w:eastAsia="Calibri"/>
                      <w:szCs w:val="24"/>
                    </w:rPr>
                    <w:t>) x T x k</w:t>
                  </w:r>
                </w:p>
                <w:p>
                  <w:pPr>
                    <w:suppressAutoHyphens/>
                    <w:ind w:firstLine="567"/>
                    <w:jc w:val="both"/>
                    <w:textAlignment w:val="center"/>
                    <w:rPr>
                      <w:rFonts w:eastAsia="Calibri"/>
                      <w:szCs w:val="24"/>
                    </w:rPr>
                  </w:pPr>
                </w:p>
                <w:p>
                  <w:pPr>
                    <w:tabs>
                      <w:tab w:val="left" w:pos="1560"/>
                    </w:tabs>
                    <w:suppressAutoHyphens/>
                    <w:ind w:firstLine="567"/>
                    <w:jc w:val="both"/>
                    <w:textAlignment w:val="center"/>
                    <w:rPr>
                      <w:rFonts w:eastAsia="Calibri"/>
                      <w:color w:val="000000"/>
                      <w:szCs w:val="22"/>
                    </w:rPr>
                  </w:pPr>
                  <w:r>
                    <w:rPr>
                      <w:rFonts w:eastAsia="Calibri"/>
                      <w:szCs w:val="24"/>
                    </w:rPr>
                    <w:t xml:space="preserve">Jei patikrinus mokesčio mokėtoją ir (ar) atliekų tvarkytojus ir (ar) gamintojų ir importuotojų </w:t>
                  </w:r>
                  <w:r>
                    <w:rPr>
                      <w:rFonts w:eastAsia="Calibri"/>
                      <w:color w:val="000000"/>
                      <w:szCs w:val="22"/>
                    </w:rPr>
                    <w:t>organizaciją, nurodytą Atliekų tvarkymo įstatymo 34</w:t>
                  </w:r>
                  <w:r>
                    <w:rPr>
                      <w:rFonts w:eastAsia="Calibri"/>
                      <w:color w:val="000000"/>
                      <w:szCs w:val="22"/>
                      <w:vertAlign w:val="superscript"/>
                    </w:rPr>
                    <w:t>22</w:t>
                  </w:r>
                  <w:r>
                    <w:rPr>
                      <w:rFonts w:eastAsia="Calibri"/>
                      <w:color w:val="000000"/>
                      <w:szCs w:val="22"/>
                    </w:rPr>
                    <w:t xml:space="preserve"> straipsnyje,</w:t>
                  </w:r>
                  <w:r>
                    <w:rPr>
                      <w:rFonts w:eastAsia="Calibri"/>
                      <w:szCs w:val="24"/>
                    </w:rPr>
                    <w:t xml:space="preserve"> pripažįstami negaliojančiais (dėl viso ar dalies juose nurodyto atliekų kiekio) mokesčio mokėtojui išrašyti Tvarkos aprašo 15 punkte nurodyti dokumentai ir (ar) patvirtinimai ir mokesčio mokėtojas netikslino deklaracijos. Antroji</w:t>
                  </w:r>
                  <w:r>
                    <w:rPr>
                      <w:rFonts w:eastAsia="Calibri"/>
                      <w:color w:val="000000"/>
                      <w:szCs w:val="22"/>
                    </w:rPr>
                    <w:t xml:space="preserve"> formulė taikoma mokesčio perskaičiavimui, kai mokesčio mokėtojas nenuslėpė vidaus rinkai tiektų gaminių pripildytų atitinkamos rūšies pakuočių kiekio (Q).</w:t>
                  </w:r>
                </w:p>
                <w:p>
                  <w:pPr>
                    <w:suppressAutoHyphens/>
                    <w:ind w:firstLine="567"/>
                    <w:jc w:val="both"/>
                    <w:textAlignment w:val="center"/>
                    <w:rPr>
                      <w:rFonts w:eastAsia="Calibri"/>
                      <w:szCs w:val="24"/>
                    </w:rPr>
                  </w:pPr>
                  <w:r>
                    <w:rPr>
                      <w:rFonts w:eastAsia="Calibri"/>
                      <w:color w:val="000000"/>
                      <w:szCs w:val="22"/>
                    </w:rPr>
                    <w:t>Kur:</w:t>
                  </w:r>
                </w:p>
                <w:p>
                  <w:pPr>
                    <w:suppressAutoHyphens/>
                    <w:ind w:firstLine="567"/>
                    <w:jc w:val="both"/>
                    <w:textAlignment w:val="center"/>
                    <w:rPr>
                      <w:rFonts w:eastAsia="Calibri"/>
                      <w:color w:val="000000"/>
                      <w:szCs w:val="24"/>
                    </w:rPr>
                  </w:pPr>
                  <w:r>
                    <w:rPr>
                      <w:rFonts w:eastAsia="Calibri"/>
                      <w:color w:val="000000"/>
                      <w:szCs w:val="24"/>
                    </w:rPr>
                    <w:t>M – mokestis už aplinkos teršimą atitinkamos rūšies pakuočių atliekomis (Eur);</w:t>
                  </w:r>
                </w:p>
                <w:p>
                  <w:pPr>
                    <w:suppressAutoHyphens/>
                    <w:ind w:firstLine="567"/>
                    <w:jc w:val="both"/>
                    <w:textAlignment w:val="center"/>
                    <w:rPr>
                      <w:rFonts w:eastAsia="Calibri"/>
                      <w:szCs w:val="24"/>
                    </w:rPr>
                  </w:pPr>
                  <w:r>
                    <w:rPr>
                      <w:rFonts w:eastAsia="Calibri"/>
                      <w:szCs w:val="24"/>
                    </w:rPr>
                    <w:t>M</w:t>
                  </w:r>
                  <w:r>
                    <w:rPr>
                      <w:rFonts w:eastAsia="Calibri"/>
                      <w:szCs w:val="24"/>
                      <w:vertAlign w:val="subscript"/>
                    </w:rPr>
                    <w:t>NES</w:t>
                  </w:r>
                  <w:r>
                    <w:rPr>
                      <w:rFonts w:eastAsia="Calibri"/>
                      <w:szCs w:val="24"/>
                    </w:rPr>
                    <w:t xml:space="preserve"> – nesumokėta mokesčio už aplinkos teršimą atitinkamos rūšies pakuočių atliekomis dalis (Eur);</w:t>
                  </w:r>
                </w:p>
                <w:p>
                  <w:pPr>
                    <w:suppressAutoHyphens/>
                    <w:ind w:firstLine="567"/>
                    <w:jc w:val="both"/>
                    <w:textAlignment w:val="center"/>
                    <w:rPr>
                      <w:color w:val="000000"/>
                    </w:rPr>
                  </w:pPr>
                  <w:r>
                    <w:rPr>
                      <w:color w:val="000000"/>
                    </w:rPr>
                    <w:t>Q – mokesčio mokėtojo per mokestinį laikotarpį vidaus rinkai tiektų pripildytų atitinkamos rūšies pakuočių kiekis (t);</w:t>
                  </w:r>
                </w:p>
                <w:p>
                  <w:pPr>
                    <w:suppressAutoHyphens/>
                    <w:ind w:firstLine="567"/>
                    <w:jc w:val="both"/>
                    <w:textAlignment w:val="center"/>
                    <w:rPr>
                      <w:rFonts w:eastAsia="Calibri"/>
                      <w:color w:val="000000"/>
                      <w:szCs w:val="24"/>
                    </w:rPr>
                  </w:pPr>
                  <w:r>
                    <w:rPr>
                      <w:iCs/>
                      <w:color w:val="000000"/>
                    </w:rPr>
                    <w:t xml:space="preserve">d </w:t>
                  </w:r>
                  <w:r>
                    <w:rPr>
                      <w:color w:val="000000"/>
                    </w:rPr>
                    <w:t>– mokesčio už aplinkos teršimą atitinkamos rūšies pakuočių atliekomis sumažinimo koeficientas (apmokestinama pakuočių dalis);</w:t>
                  </w:r>
                </w:p>
                <w:p>
                  <w:pPr>
                    <w:suppressAutoHyphens/>
                    <w:ind w:firstLine="567"/>
                    <w:jc w:val="both"/>
                    <w:textAlignment w:val="center"/>
                    <w:rPr>
                      <w:color w:val="000000"/>
                      <w:szCs w:val="24"/>
                    </w:rPr>
                  </w:pPr>
                  <w:r>
                    <w:rPr>
                      <w:color w:val="000000"/>
                      <w:szCs w:val="24"/>
                    </w:rPr>
                    <w:t>d</w:t>
                  </w:r>
                  <w:r>
                    <w:rPr>
                      <w:color w:val="000000"/>
                      <w:szCs w:val="24"/>
                      <w:vertAlign w:val="subscript"/>
                    </w:rPr>
                    <w:t>FAK</w:t>
                  </w:r>
                  <w:r>
                    <w:rPr>
                      <w:color w:val="000000"/>
                      <w:szCs w:val="24"/>
                    </w:rPr>
                    <w:t xml:space="preserve"> – perskaičiuotas mokesčio už aplinkos teršimą atitinkamos rūšies pakuočių atliekomis sumažinimo koeficientas (d) remiantis faktiniu užduoties įvykdymu (F), kuris apskaičiuojamas įvertinus faktinį mokesčio mokėtojo per mokestinį laikotarpį vidaus rinkai tiektų pripildytų atitinkamos rūšies pakuočių kiekį (Q);</w:t>
                  </w:r>
                </w:p>
                <w:p>
                  <w:pPr>
                    <w:suppressAutoHyphens/>
                    <w:ind w:firstLine="567"/>
                    <w:jc w:val="both"/>
                    <w:textAlignment w:val="center"/>
                    <w:rPr>
                      <w:rFonts w:eastAsia="Calibri"/>
                      <w:szCs w:val="24"/>
                    </w:rPr>
                  </w:pPr>
                  <w:r>
                    <w:rPr>
                      <w:rFonts w:eastAsia="Calibri"/>
                      <w:szCs w:val="24"/>
                    </w:rPr>
                    <w:t>d</w:t>
                  </w:r>
                  <w:r>
                    <w:rPr>
                      <w:rFonts w:eastAsia="Calibri"/>
                      <w:szCs w:val="24"/>
                      <w:vertAlign w:val="subscript"/>
                    </w:rPr>
                    <w:t>DEK</w:t>
                  </w:r>
                  <w:r>
                    <w:rPr>
                      <w:rFonts w:eastAsia="Calibri"/>
                      <w:szCs w:val="24"/>
                    </w:rPr>
                    <w:t xml:space="preserve"> – mokesčio už aplinkos teršimą atitinkamos rūšies pakuočių atliekomis sumažinimo koeficientas (d), apskaičiuotas remiantis deklaracijoje nurodytu užduoties įvykdymu (F), kuris apskaičiuojamas įvertinus mokesčio mokėtojo deklaruotą per mokestinį laikotarpį vidaus rinkai tiektų pripildytų atitinkamos rūšies pakuočių kiekį (Q);</w:t>
                  </w:r>
                </w:p>
                <w:p>
                  <w:pPr>
                    <w:suppressAutoHyphens/>
                    <w:ind w:firstLine="567"/>
                    <w:jc w:val="both"/>
                    <w:textAlignment w:val="center"/>
                    <w:rPr>
                      <w:rFonts w:eastAsia="Calibri"/>
                      <w:color w:val="000000"/>
                      <w:szCs w:val="24"/>
                    </w:rPr>
                  </w:pPr>
                  <w:r>
                    <w:rPr>
                      <w:rFonts w:eastAsia="Calibri"/>
                      <w:szCs w:val="24"/>
                    </w:rPr>
                    <w:t>Q</w:t>
                  </w:r>
                  <w:r>
                    <w:rPr>
                      <w:rFonts w:eastAsia="Calibri"/>
                      <w:szCs w:val="24"/>
                      <w:vertAlign w:val="subscript"/>
                    </w:rPr>
                    <w:t>DEK</w:t>
                  </w:r>
                  <w:r>
                    <w:rPr>
                      <w:rFonts w:eastAsia="Calibri"/>
                      <w:szCs w:val="24"/>
                    </w:rPr>
                    <w:t xml:space="preserve"> – mokesčio mokėtojo deklaruotas per mokestinį laikotarpį vidaus rinkai tiektų pripildytų atitinkamos rūšies pakuočių kiekis (t);</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ind w:firstLine="567"/>
                    <w:jc w:val="both"/>
                    <w:rPr>
                      <w:color w:val="000000"/>
                    </w:rPr>
                  </w:pPr>
                  <w:r>
                    <w:rPr>
                      <w:rFonts w:eastAsia="Calibri"/>
                      <w:szCs w:val="24"/>
                      <w:lang w:eastAsia="lt-LT"/>
                    </w:rPr>
                    <w:t>k – mokestinio laikotarpio indeksavimo koeficientas</w:t>
                  </w:r>
                  <w:r>
                    <w:rPr>
                      <w:lang w:eastAsia="lt-LT"/>
                    </w:rPr>
                    <w:t>.</w:t>
                  </w:r>
                </w:p>
              </w:sdtContent>
            </w:sdt>
            <w:sdt>
              <w:sdtPr>
                <w:alias w:val="8 p."/>
                <w:tag w:val="part_62eaa2c2f53c4538b9890f9a105daf82"/>
                <w:lock w:val="sdtLocked"/>
                <w:richText/>
              </w:sdtPr>
              <w:sdtContent>
                <w:p>
                  <w:pPr>
                    <w:widowControl w:val="0"/>
                    <w:ind w:firstLine="567"/>
                    <w:jc w:val="both"/>
                    <w:rPr>
                      <w:color w:val="000000"/>
                    </w:rPr>
                  </w:pPr>
                  <w:sdt>
                    <w:sdtPr>
                      <w:alias w:val="Numeris"/>
                      <w:tag w:val="nr_62eaa2c2f53c4538b9890f9a105daf82"/>
                      <w:lock w:val="sdtLocked"/>
                      <w:richText/>
                    </w:sdtPr>
                    <w:sdtContent>
                      <w:r>
                        <w:rPr>
                          <w:color w:val="000000"/>
                        </w:rPr>
                        <w:t>8</w:t>
                      </w:r>
                    </w:sdtContent>
                  </w:sdt>
                  <w:r>
                    <w:rPr>
                      <w:color w:val="000000"/>
                    </w:rPr>
                    <w:t>. Vidaus rinkai tiektų pripildytų atitinkamos rūšies daugkartinių pakuočių kiekis apskaičiuojamas pagal formulę:</w:t>
                  </w:r>
                </w:p>
                <w:p>
                  <w:pPr>
                    <w:widowControl w:val="0"/>
                    <w:ind w:firstLine="567"/>
                    <w:jc w:val="both"/>
                    <w:rPr>
                      <w:color w:val="000000"/>
                    </w:rPr>
                  </w:pPr>
                </w:p>
                <w:p>
                  <w:pPr>
                    <w:widowControl w:val="0"/>
                    <w:ind w:firstLine="567"/>
                    <w:jc w:val="both"/>
                    <w:rPr>
                      <w:color w:val="000000"/>
                    </w:rPr>
                  </w:pPr>
                  <w:r>
                    <w:rPr>
                      <w:color w:val="000000"/>
                    </w:rPr>
                    <w:t>Q</w:t>
                  </w:r>
                  <w:r>
                    <w:rPr>
                      <w:color w:val="000000"/>
                      <w:vertAlign w:val="subscript"/>
                    </w:rPr>
                    <w:t>P</w:t>
                  </w:r>
                  <w:r>
                    <w:rPr>
                      <w:color w:val="000000"/>
                    </w:rPr>
                    <w:t xml:space="preserve"> = Q</w:t>
                  </w:r>
                  <w:r>
                    <w:rPr>
                      <w:color w:val="000000"/>
                      <w:vertAlign w:val="subscript"/>
                    </w:rPr>
                    <w:t>PAP</w:t>
                  </w:r>
                  <w:r>
                    <w:rPr>
                      <w:color w:val="000000"/>
                    </w:rPr>
                    <w:t xml:space="preserve"> + Q</w:t>
                  </w:r>
                  <w:r>
                    <w:rPr>
                      <w:color w:val="000000"/>
                      <w:vertAlign w:val="subscript"/>
                    </w:rPr>
                    <w:t>ĮVP</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Q</w:t>
                  </w:r>
                  <w:r>
                    <w:rPr>
                      <w:color w:val="000000"/>
                      <w:vertAlign w:val="subscript"/>
                    </w:rPr>
                    <w:t>P</w:t>
                  </w:r>
                  <w:r>
                    <w:rPr>
                      <w:color w:val="000000"/>
                    </w:rPr>
                    <w:t xml:space="preserve"> – mokesčio mokėtojo vidaus rinkai tiektų pripildytų atitinkamos rūšies daugkartinių pakuočių kiekis (t);</w:t>
                  </w:r>
                </w:p>
                <w:p>
                  <w:pPr>
                    <w:widowControl w:val="0"/>
                    <w:ind w:firstLine="567"/>
                    <w:jc w:val="both"/>
                    <w:rPr>
                      <w:color w:val="000000"/>
                    </w:rPr>
                  </w:pPr>
                  <w:r>
                    <w:rPr>
                      <w:color w:val="000000"/>
                    </w:rPr>
                    <w:t>Q</w:t>
                  </w:r>
                  <w:r>
                    <w:rPr>
                      <w:color w:val="000000"/>
                      <w:vertAlign w:val="subscript"/>
                    </w:rPr>
                    <w:t>PAP</w:t>
                  </w:r>
                  <w:r>
                    <w:rPr>
                      <w:color w:val="000000"/>
                    </w:rPr>
                    <w:t xml:space="preserve"> – mokesčio mokėtojo Lietuvoje pripildytų (panaudotų pakavimui) ir vidaus rinkai tiektų atitinkamos rūšies daugkartinių pakuočių kiekis (t);</w:t>
                  </w:r>
                </w:p>
                <w:p>
                  <w:pPr>
                    <w:widowControl w:val="0"/>
                    <w:ind w:firstLine="567"/>
                    <w:jc w:val="both"/>
                    <w:rPr>
                      <w:color w:val="000000"/>
                    </w:rPr>
                  </w:pPr>
                  <w:r>
                    <w:rPr>
                      <w:color w:val="000000"/>
                    </w:rPr>
                    <w:t>Q</w:t>
                  </w:r>
                  <w:r>
                    <w:rPr>
                      <w:color w:val="000000"/>
                      <w:vertAlign w:val="subscript"/>
                    </w:rPr>
                    <w:t>ĮVP</w:t>
                  </w:r>
                  <w:r>
                    <w:rPr>
                      <w:color w:val="000000"/>
                    </w:rPr>
                    <w:t xml:space="preserve"> – mokesčio mokėtojo į Lietuvą importuotų ir (ar) įvežtų ir vidaus rinkai tiektų pripildytų atitinkamos rūšies daugkartinių pakuočių kiekis (t).</w:t>
                  </w:r>
                </w:p>
              </w:sdtContent>
            </w:sdt>
            <w:sdt>
              <w:sdtPr>
                <w:alias w:val="9 p."/>
                <w:tag w:val="part_7a452bf69ccd4b01b618790b30c32a9f"/>
                <w:lock w:val="sdtLocked"/>
                <w:richText/>
              </w:sdtPr>
              <w:sdtContent>
                <w:p>
                  <w:pPr>
                    <w:widowControl w:val="0"/>
                    <w:ind w:firstLine="567"/>
                    <w:jc w:val="both"/>
                    <w:rPr>
                      <w:color w:val="000000"/>
                    </w:rPr>
                  </w:pPr>
                  <w:sdt>
                    <w:sdtPr>
                      <w:alias w:val="Numeris"/>
                      <w:tag w:val="nr_7a452bf69ccd4b01b618790b30c32a9f"/>
                      <w:lock w:val="sdtLocked"/>
                      <w:richText/>
                    </w:sdtPr>
                    <w:sdtContent>
                      <w:r>
                        <w:rPr>
                          <w:color w:val="000000"/>
                        </w:rPr>
                        <w:t>9</w:t>
                      </w:r>
                    </w:sdtContent>
                  </w:sdt>
                  <w:r>
                    <w:rPr>
                      <w:color w:val="000000"/>
                    </w:rPr>
                    <w:t>. Atitinkamos rūšies daugkartinių pakuočių surinkimo ir daugkartinio naudojimo užduoties įvykdymas procentais apskaičiuojamas pagal formulę:</w:t>
                  </w:r>
                </w:p>
                <w:p>
                  <w:pPr>
                    <w:widowControl w:val="0"/>
                    <w:ind w:firstLine="567"/>
                    <w:jc w:val="both"/>
                    <w:rPr>
                      <w:color w:val="000000"/>
                    </w:rPr>
                  </w:pPr>
                </w:p>
                <w:p>
                  <w:pPr>
                    <w:widowControl w:val="0"/>
                    <w:ind w:firstLine="567"/>
                    <w:jc w:val="both"/>
                    <w:rPr>
                      <w:color w:val="000000"/>
                    </w:rPr>
                  </w:pPr>
                  <w:r>
                    <w:rPr>
                      <w:color w:val="000000"/>
                    </w:rPr>
                    <w:t>F</w:t>
                  </w:r>
                  <w:r>
                    <w:rPr>
                      <w:color w:val="000000"/>
                      <w:vertAlign w:val="subscript"/>
                    </w:rPr>
                    <w:t>P</w:t>
                  </w:r>
                  <w:r>
                    <w:rPr>
                      <w:color w:val="000000"/>
                    </w:rPr>
                    <w:t xml:space="preserve"> = (Q</w:t>
                  </w:r>
                  <w:r>
                    <w:rPr>
                      <w:color w:val="000000"/>
                      <w:vertAlign w:val="subscript"/>
                    </w:rPr>
                    <w:t>sus</w:t>
                  </w:r>
                  <w:r>
                    <w:rPr>
                      <w:color w:val="000000"/>
                    </w:rPr>
                    <w:t xml:space="preserve"> / Q</w:t>
                  </w:r>
                  <w:r>
                    <w:rPr>
                      <w:color w:val="000000"/>
                      <w:vertAlign w:val="subscript"/>
                    </w:rPr>
                    <w:t>P</w:t>
                  </w:r>
                  <w:r>
                    <w:rPr>
                      <w:color w:val="000000"/>
                    </w:rPr>
                    <w:t>) x 100</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F</w:t>
                  </w:r>
                  <w:r>
                    <w:rPr>
                      <w:color w:val="000000"/>
                      <w:vertAlign w:val="subscript"/>
                    </w:rPr>
                    <w:t>P</w:t>
                  </w:r>
                  <w:r>
                    <w:rPr>
                      <w:color w:val="000000"/>
                    </w:rPr>
                    <w:t xml:space="preserve"> – faktinis užduoties vykdymas (%);</w:t>
                  </w:r>
                </w:p>
                <w:p>
                  <w:pPr>
                    <w:widowControl w:val="0"/>
                    <w:ind w:firstLine="567"/>
                    <w:jc w:val="both"/>
                    <w:rPr>
                      <w:color w:val="000000"/>
                    </w:rPr>
                  </w:pPr>
                  <w:r>
                    <w:rPr>
                      <w:color w:val="000000"/>
                    </w:rPr>
                    <w:t>Q</w:t>
                  </w:r>
                  <w:r>
                    <w:rPr>
                      <w:color w:val="000000"/>
                      <w:vertAlign w:val="subscript"/>
                    </w:rPr>
                    <w:t>SUS</w:t>
                  </w:r>
                  <w:r>
                    <w:rPr>
                      <w:color w:val="000000"/>
                    </w:rPr>
                    <w:t xml:space="preserve"> – mokesčio mokėtojo iš vidaus rinkos susigrąžintų atitinkamos rūšies tuščių daugkartinių pakuočių kiekis (t);</w:t>
                  </w:r>
                </w:p>
                <w:p>
                  <w:pPr>
                    <w:widowControl w:val="0"/>
                    <w:ind w:firstLine="567"/>
                    <w:jc w:val="both"/>
                    <w:rPr>
                      <w:color w:val="000000"/>
                    </w:rPr>
                  </w:pPr>
                  <w:r>
                    <w:rPr>
                      <w:color w:val="000000"/>
                    </w:rPr>
                    <w:t>Q</w:t>
                  </w:r>
                  <w:r>
                    <w:rPr>
                      <w:color w:val="000000"/>
                      <w:vertAlign w:val="subscript"/>
                    </w:rPr>
                    <w:t>P</w:t>
                  </w:r>
                  <w:r>
                    <w:rPr>
                      <w:color w:val="000000"/>
                    </w:rPr>
                    <w:t xml:space="preserve"> – mokesčio mokėtojo vidaus rinkai tiektų pripildytų atitinkamos rūšies daugkartinių pakuočių kiekis (t).</w:t>
                  </w:r>
                </w:p>
              </w:sdtContent>
            </w:sdt>
            <w:sdt>
              <w:sdtPr>
                <w:alias w:val="10 p."/>
                <w:tag w:val="part_c0128abe07da403fb8cb80b116cebcc8"/>
                <w:lock w:val="sdtLocked"/>
                <w:richText/>
              </w:sdtPr>
              <w:sdtContent>
                <w:p>
                  <w:pPr>
                    <w:widowControl w:val="0"/>
                    <w:ind w:firstLine="567"/>
                    <w:jc w:val="both"/>
                    <w:rPr>
                      <w:color w:val="000000"/>
                    </w:rPr>
                  </w:pPr>
                  <w:sdt>
                    <w:sdtPr>
                      <w:alias w:val="Numeris"/>
                      <w:tag w:val="nr_c0128abe07da403fb8cb80b116cebcc8"/>
                      <w:lock w:val="sdtLocked"/>
                      <w:richText/>
                    </w:sdtPr>
                    <w:sdtContent>
                      <w:r>
                        <w:rPr>
                          <w:color w:val="000000"/>
                        </w:rPr>
                        <w:t>10</w:t>
                      </w:r>
                    </w:sdtContent>
                  </w:sdt>
                  <w:r>
                    <w:rPr>
                      <w:color w:val="000000"/>
                    </w:rPr>
                    <w:t>. Vidaus rinkai tiektų pripildytų ir nesusigrąžintų (likusių vidaus rinkoje) atitinkamos rūšies daugkartinių pakuočių kiekis apskaičiuojamas pagal formulę:</w:t>
                  </w:r>
                </w:p>
                <w:p>
                  <w:pPr>
                    <w:widowControl w:val="0"/>
                    <w:ind w:firstLine="567"/>
                    <w:jc w:val="both"/>
                    <w:rPr>
                      <w:color w:val="000000"/>
                    </w:rPr>
                  </w:pPr>
                </w:p>
                <w:p>
                  <w:pPr>
                    <w:widowControl w:val="0"/>
                    <w:ind w:firstLine="567"/>
                    <w:jc w:val="both"/>
                    <w:rPr>
                      <w:color w:val="000000"/>
                    </w:rPr>
                  </w:pPr>
                  <w:r>
                    <w:rPr>
                      <w:color w:val="000000"/>
                    </w:rPr>
                    <w:t>Q</w:t>
                  </w:r>
                  <w:r>
                    <w:rPr>
                      <w:color w:val="000000"/>
                      <w:vertAlign w:val="subscript"/>
                    </w:rPr>
                    <w:t>LIK</w:t>
                  </w:r>
                  <w:r>
                    <w:rPr>
                      <w:color w:val="000000"/>
                    </w:rPr>
                    <w:t xml:space="preserve"> = Q</w:t>
                  </w:r>
                  <w:r>
                    <w:rPr>
                      <w:color w:val="000000"/>
                      <w:vertAlign w:val="subscript"/>
                    </w:rPr>
                    <w:t>P</w:t>
                  </w:r>
                  <w:r>
                    <w:rPr>
                      <w:color w:val="000000"/>
                    </w:rPr>
                    <w:t xml:space="preserve"> – Q</w:t>
                  </w:r>
                  <w:r>
                    <w:rPr>
                      <w:color w:val="000000"/>
                      <w:vertAlign w:val="subscript"/>
                    </w:rPr>
                    <w:t>SUS</w:t>
                  </w:r>
                </w:p>
                <w:p>
                  <w:pPr>
                    <w:widowControl w:val="0"/>
                    <w:ind w:firstLine="567"/>
                    <w:jc w:val="both"/>
                    <w:rPr>
                      <w:color w:val="000000"/>
                    </w:rPr>
                  </w:pPr>
                </w:p>
                <w:p>
                  <w:pPr>
                    <w:widowControl w:val="0"/>
                    <w:ind w:firstLine="567"/>
                    <w:jc w:val="both"/>
                    <w:rPr>
                      <w:color w:val="000000"/>
                    </w:rPr>
                  </w:pPr>
                  <w:r>
                    <w:rPr>
                      <w:color w:val="000000"/>
                    </w:rPr>
                    <w:t>kur:</w:t>
                  </w:r>
                </w:p>
                <w:p>
                  <w:pPr>
                    <w:widowControl w:val="0"/>
                    <w:ind w:firstLine="567"/>
                    <w:jc w:val="both"/>
                    <w:rPr>
                      <w:color w:val="000000"/>
                    </w:rPr>
                  </w:pPr>
                  <w:r>
                    <w:rPr>
                      <w:color w:val="000000"/>
                    </w:rPr>
                    <w:t>Q</w:t>
                  </w:r>
                  <w:r>
                    <w:rPr>
                      <w:color w:val="000000"/>
                      <w:vertAlign w:val="subscript"/>
                    </w:rPr>
                    <w:t>LIK</w:t>
                  </w:r>
                  <w:r>
                    <w:rPr>
                      <w:color w:val="000000"/>
                    </w:rPr>
                    <w:t xml:space="preserve"> – mokesčio mokėtojo vidaus rinkai tiektų ir nesusigrąžintų atitinkamos rūšies daugkartinių pakuočių kiekis (t);</w:t>
                  </w:r>
                </w:p>
                <w:p>
                  <w:pPr>
                    <w:widowControl w:val="0"/>
                    <w:ind w:firstLine="567"/>
                    <w:jc w:val="both"/>
                    <w:rPr>
                      <w:color w:val="000000"/>
                    </w:rPr>
                  </w:pPr>
                  <w:r>
                    <w:rPr>
                      <w:color w:val="000000"/>
                    </w:rPr>
                    <w:t>Q</w:t>
                  </w:r>
                  <w:r>
                    <w:rPr>
                      <w:color w:val="000000"/>
                      <w:vertAlign w:val="subscript"/>
                    </w:rPr>
                    <w:t>P</w:t>
                  </w:r>
                  <w:r>
                    <w:rPr>
                      <w:color w:val="000000"/>
                    </w:rPr>
                    <w:t xml:space="preserve"> – mokesčio mokėtojo vidaus rinkai tiektų pripildytų atitinkamos rūšies daugkartinių pakuočių kiekis (t);</w:t>
                  </w:r>
                </w:p>
                <w:p>
                  <w:pPr>
                    <w:widowControl w:val="0"/>
                    <w:ind w:firstLine="567"/>
                    <w:jc w:val="both"/>
                    <w:rPr>
                      <w:color w:val="000000"/>
                    </w:rPr>
                  </w:pPr>
                  <w:r>
                    <w:rPr>
                      <w:color w:val="000000"/>
                    </w:rPr>
                    <w:t>Q</w:t>
                  </w:r>
                  <w:r>
                    <w:rPr>
                      <w:color w:val="000000"/>
                      <w:vertAlign w:val="subscript"/>
                    </w:rPr>
                    <w:t>SUS</w:t>
                  </w:r>
                  <w:r>
                    <w:rPr>
                      <w:color w:val="000000"/>
                    </w:rPr>
                    <w:t xml:space="preserve"> – mokesčio mokėtojo iš vidaus rinkos susigrąžintų atitinkamos rūšies tuščių daugkartinių pakuočių kiekis (t).</w:t>
                  </w:r>
                </w:p>
              </w:sdtContent>
            </w:sdt>
            <w:sdt>
              <w:sdtPr>
                <w:alias w:val="11 p."/>
                <w:tag w:val="part_b8d11c2efd664f13a1de7df8c073b0b3"/>
                <w:lock w:val="sdtLocked"/>
                <w:richText/>
              </w:sdtPr>
              <w:sdtContent>
                <w:p>
                  <w:pPr>
                    <w:suppressAutoHyphens/>
                    <w:ind w:firstLine="567"/>
                    <w:jc w:val="both"/>
                    <w:textAlignment w:val="center"/>
                    <w:rPr>
                      <w:color w:val="000000"/>
                      <w:szCs w:val="24"/>
                    </w:rPr>
                  </w:pPr>
                  <w:sdt>
                    <w:sdtPr>
                      <w:alias w:val="Numeris"/>
                      <w:tag w:val="nr_b8d11c2efd664f13a1de7df8c073b0b3"/>
                      <w:lock w:val="sdtLocked"/>
                      <w:richText/>
                    </w:sdtPr>
                    <w:sdtContent>
                      <w:r>
                        <w:rPr>
                          <w:color w:val="000000"/>
                          <w:szCs w:val="24"/>
                        </w:rPr>
                        <w:t>11</w:t>
                      </w:r>
                    </w:sdtContent>
                  </w:sdt>
                  <w:r>
                    <w:rPr>
                      <w:color w:val="000000"/>
                      <w:szCs w:val="24"/>
                    </w:rPr>
                    <w:t>. Mokestis už daugkartines atitinkamos rūšies pakuotes apskaičiuojamas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PAK</w:t>
                  </w:r>
                  <w:r>
                    <w:rPr>
                      <w:color w:val="000000"/>
                      <w:szCs w:val="24"/>
                    </w:rPr>
                    <w:t xml:space="preserve"> = 0, kai F</w:t>
                  </w:r>
                  <w:r>
                    <w:rPr>
                      <w:color w:val="000000"/>
                      <w:szCs w:val="24"/>
                      <w:vertAlign w:val="subscript"/>
                    </w:rPr>
                    <w:t>P</w:t>
                  </w:r>
                  <w:r>
                    <w:rPr>
                      <w:color w:val="000000"/>
                      <w:szCs w:val="24"/>
                    </w:rPr>
                    <w:t xml:space="preserve"> ≥ U</w:t>
                  </w:r>
                  <w:r>
                    <w:rPr>
                      <w:color w:val="000000"/>
                      <w:szCs w:val="24"/>
                      <w:vertAlign w:val="subscript"/>
                    </w:rPr>
                    <w:t>P</w:t>
                  </w:r>
                  <w:r>
                    <w:rPr>
                      <w:color w:val="000000"/>
                      <w:szCs w:val="24"/>
                    </w:rPr>
                    <w:t xml:space="preserve"> arba</w:t>
                  </w:r>
                </w:p>
                <w:p>
                  <w:pPr>
                    <w:suppressAutoHyphens/>
                    <w:ind w:firstLine="567"/>
                    <w:jc w:val="both"/>
                    <w:textAlignment w:val="center"/>
                    <w:rPr>
                      <w:color w:val="000000"/>
                      <w:szCs w:val="24"/>
                    </w:rPr>
                  </w:pPr>
                  <w:r>
                    <w:rPr>
                      <w:color w:val="000000"/>
                      <w:szCs w:val="24"/>
                    </w:rPr>
                    <w:t>M</w:t>
                  </w:r>
                  <w:r>
                    <w:rPr>
                      <w:color w:val="000000"/>
                      <w:szCs w:val="24"/>
                      <w:vertAlign w:val="subscript"/>
                    </w:rPr>
                    <w:t>PAK</w:t>
                  </w:r>
                  <w:r>
                    <w:rPr>
                      <w:color w:val="000000"/>
                      <w:szCs w:val="24"/>
                    </w:rPr>
                    <w:t xml:space="preserve"> = Q</w:t>
                  </w:r>
                  <w:r>
                    <w:rPr>
                      <w:color w:val="000000"/>
                      <w:szCs w:val="24"/>
                      <w:vertAlign w:val="subscript"/>
                    </w:rPr>
                    <w:t>LIK</w:t>
                  </w:r>
                  <w:r>
                    <w:rPr>
                      <w:color w:val="000000"/>
                      <w:szCs w:val="24"/>
                    </w:rPr>
                    <w:t xml:space="preserve"> x T x k, kai F</w:t>
                  </w:r>
                  <w:r>
                    <w:rPr>
                      <w:color w:val="000000"/>
                      <w:szCs w:val="24"/>
                      <w:vertAlign w:val="subscript"/>
                    </w:rPr>
                    <w:t>P</w:t>
                  </w:r>
                  <w:r>
                    <w:rPr>
                      <w:color w:val="000000"/>
                      <w:szCs w:val="24"/>
                    </w:rPr>
                    <w:t xml:space="preserve"> &lt; U</w:t>
                  </w:r>
                  <w:r>
                    <w:rPr>
                      <w:color w:val="000000"/>
                      <w:szCs w:val="24"/>
                      <w:vertAlign w:val="subscript"/>
                    </w:rPr>
                    <w:t>P</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PAK</w:t>
                  </w:r>
                  <w:r>
                    <w:rPr>
                      <w:color w:val="000000"/>
                      <w:szCs w:val="24"/>
                    </w:rPr>
                    <w:t xml:space="preserve"> – mokestis už vidaus rinkai tiektas pripildytas ir nesusigrąžintas atitinkamos rūšies daugkartines pakuotes (Eur);</w:t>
                  </w:r>
                </w:p>
                <w:p>
                  <w:pPr>
                    <w:suppressAutoHyphens/>
                    <w:ind w:firstLine="567"/>
                    <w:jc w:val="both"/>
                    <w:textAlignment w:val="center"/>
                    <w:rPr>
                      <w:color w:val="000000"/>
                      <w:szCs w:val="24"/>
                    </w:rPr>
                  </w:pPr>
                  <w:r>
                    <w:rPr>
                      <w:color w:val="000000"/>
                    </w:rPr>
                    <w:t>F</w:t>
                  </w:r>
                  <w:r>
                    <w:rPr>
                      <w:color w:val="000000"/>
                      <w:vertAlign w:val="subscript"/>
                    </w:rPr>
                    <w:t>P</w:t>
                  </w:r>
                  <w:r>
                    <w:rPr>
                      <w:color w:val="000000"/>
                    </w:rPr>
                    <w:t xml:space="preserve"> – faktinis užduoties vykdymas (%);</w:t>
                  </w:r>
                </w:p>
                <w:p>
                  <w:pPr>
                    <w:ind w:firstLine="567"/>
                    <w:jc w:val="both"/>
                    <w:rPr>
                      <w:rFonts w:eastAsia="Calibri"/>
                      <w:szCs w:val="24"/>
                    </w:rPr>
                  </w:pPr>
                  <w:r>
                    <w:rPr>
                      <w:rFonts w:eastAsia="Calibri"/>
                      <w:szCs w:val="24"/>
                    </w:rPr>
                    <w:t>U</w:t>
                  </w:r>
                  <w:r>
                    <w:rPr>
                      <w:rFonts w:eastAsia="Calibri"/>
                      <w:szCs w:val="24"/>
                      <w:vertAlign w:val="subscript"/>
                    </w:rPr>
                    <w:t>P</w:t>
                  </w:r>
                  <w:r>
                    <w:rPr>
                      <w:rFonts w:eastAsia="Calibri"/>
                      <w:szCs w:val="24"/>
                    </w:rPr>
                    <w:t xml:space="preserve"> – daugkartinių pakuočių surinkimo ir daugkartinio naudojimo užduotis (%), nustatyta pakuočių surinkimo ir pakartotinio naudojimo metų užduotyse, patvirtintose Lietuvos Respublikos aplinkos ministro 2006 m. gruodžio 28 d. įsakymu Nr. D1-618 „Dėl pakuočių surinkimo ir pakartotinio naudojimo užduočių nustatymo“;</w:t>
                  </w:r>
                </w:p>
                <w:p>
                  <w:pPr>
                    <w:ind w:firstLine="567"/>
                    <w:jc w:val="both"/>
                    <w:rPr>
                      <w:rFonts w:eastAsia="Calibri"/>
                      <w:szCs w:val="24"/>
                    </w:rPr>
                  </w:pPr>
                  <w:r>
                    <w:rPr>
                      <w:color w:val="000000"/>
                    </w:rPr>
                    <w:t>Q</w:t>
                  </w:r>
                  <w:r>
                    <w:rPr>
                      <w:color w:val="000000"/>
                      <w:vertAlign w:val="subscript"/>
                    </w:rPr>
                    <w:t>LIK</w:t>
                  </w:r>
                  <w:r>
                    <w:rPr>
                      <w:color w:val="000000"/>
                    </w:rPr>
                    <w:t xml:space="preserve"> – mokesčio mokėtojo vidaus rinkai tiektų ir nesusigrąžintų atitinkamos rūšies daugkartinių pakuočių kiekis (t);</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ind w:firstLine="567"/>
                    <w:jc w:val="both"/>
                    <w:rPr>
                      <w:rFonts w:eastAsia="Calibri"/>
                      <w:szCs w:val="24"/>
                      <w:lang w:eastAsia="lt-LT"/>
                    </w:rPr>
                  </w:pPr>
                  <w:r>
                    <w:rPr>
                      <w:rFonts w:eastAsia="Calibri"/>
                      <w:szCs w:val="24"/>
                      <w:lang w:eastAsia="lt-LT"/>
                    </w:rPr>
                    <w:t>k – mokestinio laikotarpio indeksavimo koeficientas.</w:t>
                  </w:r>
                </w:p>
                <w:p>
                  <w:pPr>
                    <w:ind w:firstLine="567"/>
                    <w:jc w:val="both"/>
                    <w:rPr>
                      <w:color w:val="000000"/>
                    </w:rPr>
                  </w:pPr>
                </w:p>
              </w:sdtContent>
            </w:sdt>
          </w:sdtContent>
        </w:sdt>
        <w:sdt>
          <w:sdtPr>
            <w:alias w:val="skyrius"/>
            <w:tag w:val="part_cb7cfaef21994cd2bf9096a9bfecc975"/>
            <w:lock w:val="sdtLocked"/>
            <w:richText/>
          </w:sdtPr>
          <w:sdtContent>
            <w:p>
              <w:pPr>
                <w:ind w:firstLine="567"/>
                <w:jc w:val="center"/>
                <w:rPr>
                  <w:b/>
                  <w:color w:val="000000"/>
                </w:rPr>
              </w:pPr>
              <w:sdt>
                <w:sdtPr>
                  <w:alias w:val="Numeris"/>
                  <w:tag w:val="nr_cb7cfaef21994cd2bf9096a9bfecc975"/>
                  <w:lock w:val="sdtLocked"/>
                  <w:richText/>
                </w:sdtPr>
                <w:sdtContent>
                  <w:r>
                    <w:rPr>
                      <w:b/>
                      <w:color w:val="000000"/>
                    </w:rPr>
                    <w:t>III</w:t>
                  </w:r>
                </w:sdtContent>
              </w:sdt>
              <w:r>
                <w:rPr>
                  <w:b/>
                  <w:color w:val="000000"/>
                </w:rPr>
                <w:t xml:space="preserve"> SKYRIUS</w:t>
              </w:r>
            </w:p>
            <w:p>
              <w:pPr>
                <w:ind w:firstLine="567"/>
                <w:jc w:val="center"/>
                <w:rPr>
                  <w:b/>
                  <w:color w:val="000000"/>
                </w:rPr>
              </w:pPr>
              <w:sdt>
                <w:sdtPr>
                  <w:alias w:val="Pavadinimas"/>
                  <w:tag w:val="title_cb7cfaef21994cd2bf9096a9bfecc975"/>
                  <w:lock w:val="sdtLocked"/>
                  <w:richText/>
                </w:sdtPr>
                <w:sdtContent>
                  <w:r>
                    <w:rPr>
                      <w:b/>
                      <w:color w:val="000000"/>
                    </w:rPr>
                    <w:t>MOKESČIO UŽ NUSLĖPTĄ TARŠĄ APSKAIČIAVIMAS</w:t>
                  </w:r>
                </w:sdtContent>
              </w:sdt>
            </w:p>
            <w:p>
              <w:pPr>
                <w:ind w:firstLine="567"/>
                <w:jc w:val="both"/>
                <w:rPr>
                  <w:color w:val="000000"/>
                </w:rPr>
              </w:pPr>
            </w:p>
            <w:sdt>
              <w:sdtPr>
                <w:alias w:val="12 p."/>
                <w:tag w:val="part_10d80df928e04f1e8a2a93fa2acffedb"/>
                <w:lock w:val="sdtLocked"/>
                <w:richText/>
              </w:sdtPr>
              <w:sdtContent>
                <w:p>
                  <w:pPr>
                    <w:suppressAutoHyphens/>
                    <w:ind w:firstLine="567"/>
                    <w:jc w:val="both"/>
                    <w:textAlignment w:val="center"/>
                    <w:rPr>
                      <w:color w:val="000000"/>
                      <w:szCs w:val="24"/>
                    </w:rPr>
                  </w:pPr>
                  <w:sdt>
                    <w:sdtPr>
                      <w:alias w:val="Numeris"/>
                      <w:tag w:val="nr_10d80df928e04f1e8a2a93fa2acffedb"/>
                      <w:lock w:val="sdtLocked"/>
                      <w:richText/>
                    </w:sdtPr>
                    <w:sdtContent>
                      <w:r>
                        <w:rPr>
                          <w:color w:val="000000"/>
                          <w:szCs w:val="24"/>
                        </w:rPr>
                        <w:t>12</w:t>
                      </w:r>
                    </w:sdtContent>
                  </w:sdt>
                  <w:r>
                    <w:rPr>
                      <w:color w:val="000000"/>
                      <w:szCs w:val="24"/>
                    </w:rPr>
                    <w:t>. Mokestis už nuslėptą vidaus rinkai tiektų pripildytų atitinkamos rūšies pakuočių kiekį apskaičiuojamas:</w:t>
                  </w:r>
                </w:p>
                <w:sdt>
                  <w:sdtPr>
                    <w:alias w:val="12.1 pp."/>
                    <w:tag w:val="part_0dda00fdf88d4ac5bc2c14933cba1b99"/>
                    <w:lock w:val="sdtLocked"/>
                    <w:richText/>
                  </w:sdtPr>
                  <w:sdtContent>
                    <w:p>
                      <w:pPr>
                        <w:suppressAutoHyphens/>
                        <w:ind w:firstLine="567"/>
                        <w:jc w:val="both"/>
                        <w:textAlignment w:val="center"/>
                        <w:rPr>
                          <w:color w:val="000000"/>
                          <w:szCs w:val="24"/>
                        </w:rPr>
                      </w:pPr>
                      <w:sdt>
                        <w:sdtPr>
                          <w:alias w:val="Numeris"/>
                          <w:tag w:val="nr_0dda00fdf88d4ac5bc2c14933cba1b99"/>
                          <w:lock w:val="sdtLocked"/>
                          <w:richText/>
                        </w:sdtPr>
                        <w:sdtContent>
                          <w:r>
                            <w:rPr>
                              <w:color w:val="000000"/>
                              <w:szCs w:val="24"/>
                            </w:rPr>
                            <w:t>12.1</w:t>
                          </w:r>
                        </w:sdtContent>
                      </w:sdt>
                      <w:r>
                        <w:rPr>
                          <w:color w:val="000000"/>
                          <w:szCs w:val="24"/>
                        </w:rPr>
                        <w:t>. jei mokesčio mokėtojas vykdė ar nevykdė pakuočių apskaitą ir pateiktoje deklaracijoje nurodė neteisingą vidaus rinkai tiektų pripildytų atitinkamos rūšies pakuočių kiekį (Q) ir kaip sutvarkytą pakuočių atliekų kiekį (Q</w:t>
                      </w:r>
                      <w:r>
                        <w:rPr>
                          <w:color w:val="000000"/>
                          <w:szCs w:val="24"/>
                          <w:vertAlign w:val="subscript"/>
                        </w:rPr>
                        <w:t>SUT</w:t>
                      </w:r>
                      <w:r>
                        <w:rPr>
                          <w:color w:val="000000"/>
                          <w:szCs w:val="24"/>
                        </w:rPr>
                        <w:t>) nurodė panaudotų ar perdirbtų pakuočių atliekų kiekį ar jų dalį, kuriam neturėjo Tvarkos aprašo 15 punkte nurodytų dokumentų ir (ar) patvirtinimų ar kurie yra fiktyvūs (neegzistuojantys); arba kai mokesčio mokėtojas vykdė pakuočių apskaitą ir pateiktoje deklaracijoje nurodė neteisingą vidaus rinkai tiektų pakuočių kiekį (Q) ir teisingai ar neteisingai nurodė panaudotų ar perdirbtų pakuočių atliekų kiekį (Q</w:t>
                      </w:r>
                      <w:r>
                        <w:rPr>
                          <w:color w:val="000000"/>
                          <w:szCs w:val="24"/>
                          <w:vertAlign w:val="subscript"/>
                        </w:rPr>
                        <w:t>SUT</w:t>
                      </w:r>
                      <w:r>
                        <w:rPr>
                          <w:color w:val="000000"/>
                          <w:szCs w:val="24"/>
                        </w:rPr>
                        <w:t>), kuriam turėjo Tvarkos aprašo 15 punkte nurodytus dokumentus ir (ar) patvirtinimus; arba kai mokesčio mokėtojas vykdė pakuočių apskaitą ir pateiktoje deklaracijoje nurodė teisingą vidaus rinkai tiektų pakuočių kiekį (Q) ir neteisingai nurodė panaudotų ar perdirbtų pakuočių atliekų kiekį (Q</w:t>
                      </w:r>
                      <w:r>
                        <w:rPr>
                          <w:color w:val="000000"/>
                          <w:szCs w:val="24"/>
                          <w:vertAlign w:val="subscript"/>
                        </w:rPr>
                        <w:t>SUT</w:t>
                      </w:r>
                      <w:r>
                        <w:rPr>
                          <w:color w:val="000000"/>
                          <w:szCs w:val="24"/>
                        </w:rPr>
                        <w:t xml:space="preserve">), kuriam turėjo Tvarkos aprašo 15 punkte nurodytus dokumentus ir (ar) patvirtinimus, </w:t>
                      </w:r>
                      <w:r>
                        <w:rPr>
                          <w:rFonts w:eastAsia="Calibri"/>
                          <w:szCs w:val="24"/>
                          <w:lang w:eastAsia="lt-LT"/>
                        </w:rPr>
                        <w:t xml:space="preserve">– </w:t>
                      </w:r>
                      <w:r>
                        <w:rPr>
                          <w:color w:val="000000"/>
                          <w:szCs w:val="24"/>
                        </w:rPr>
                        <w:t>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 x d</w:t>
                      </w:r>
                      <w:r>
                        <w:rPr>
                          <w:color w:val="000000"/>
                          <w:szCs w:val="24"/>
                          <w:vertAlign w:val="subscript"/>
                        </w:rPr>
                        <w:t>FAK</w:t>
                      </w:r>
                      <w:r>
                        <w:rPr>
                          <w:color w:val="000000"/>
                          <w:szCs w:val="24"/>
                        </w:rPr>
                        <w:t xml:space="preserve"> – Q</w:t>
                      </w:r>
                      <w:r>
                        <w:rPr>
                          <w:color w:val="000000"/>
                          <w:szCs w:val="24"/>
                          <w:vertAlign w:val="subscript"/>
                        </w:rPr>
                        <w:t xml:space="preserve">DEK </w:t>
                      </w:r>
                      <w:r>
                        <w:rPr>
                          <w:color w:val="000000"/>
                          <w:szCs w:val="24"/>
                        </w:rPr>
                        <w:t>x d</w:t>
                      </w:r>
                      <w:r>
                        <w:rPr>
                          <w:color w:val="000000"/>
                          <w:szCs w:val="24"/>
                          <w:vertAlign w:val="subscript"/>
                        </w:rPr>
                        <w:t>DEK</w:t>
                      </w:r>
                      <w:r>
                        <w:rPr>
                          <w:color w:val="000000"/>
                          <w:szCs w:val="24"/>
                        </w:rPr>
                        <w:t>) x T x k x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pakuočių atliekomis (Eur);</w:t>
                      </w:r>
                    </w:p>
                    <w:p>
                      <w:pPr>
                        <w:suppressAutoHyphens/>
                        <w:ind w:firstLine="567"/>
                        <w:jc w:val="both"/>
                        <w:textAlignment w:val="center"/>
                        <w:rPr>
                          <w:color w:val="000000"/>
                        </w:rPr>
                      </w:pPr>
                      <w:r>
                        <w:rPr>
                          <w:color w:val="000000"/>
                        </w:rPr>
                        <w:t>Q – mokesčio mokėtojo per mokestinį laikotarpį vidaus rinkai tiektų pripildytų atitinkamos rūšies pakuočių kiekis (t);</w:t>
                      </w:r>
                    </w:p>
                    <w:p>
                      <w:pPr>
                        <w:suppressAutoHyphens/>
                        <w:ind w:firstLine="567"/>
                        <w:jc w:val="both"/>
                        <w:textAlignment w:val="center"/>
                        <w:rPr>
                          <w:rFonts w:eastAsia="Calibri"/>
                          <w:szCs w:val="24"/>
                        </w:rPr>
                      </w:pPr>
                      <w:r>
                        <w:rPr>
                          <w:rFonts w:eastAsia="Calibri"/>
                          <w:szCs w:val="24"/>
                        </w:rPr>
                        <w:t>Q</w:t>
                      </w:r>
                      <w:r>
                        <w:rPr>
                          <w:rFonts w:eastAsia="Calibri"/>
                          <w:szCs w:val="24"/>
                          <w:vertAlign w:val="subscript"/>
                        </w:rPr>
                        <w:t>DEK</w:t>
                      </w:r>
                      <w:r>
                        <w:rPr>
                          <w:rFonts w:eastAsia="Calibri"/>
                          <w:szCs w:val="24"/>
                        </w:rPr>
                        <w:t xml:space="preserve"> – mokesčio mokėtojo deklaruotas per mokestinį laikotarpį vidaus rinkai tiektų pripildytų atitinkamos rūšies pakuočių kiekis (t);</w:t>
                      </w:r>
                    </w:p>
                    <w:p>
                      <w:pPr>
                        <w:suppressAutoHyphens/>
                        <w:ind w:firstLine="567"/>
                        <w:jc w:val="both"/>
                        <w:textAlignment w:val="center"/>
                        <w:rPr>
                          <w:color w:val="000000"/>
                          <w:szCs w:val="24"/>
                        </w:rPr>
                      </w:pPr>
                      <w:r>
                        <w:rPr>
                          <w:color w:val="000000"/>
                          <w:szCs w:val="24"/>
                        </w:rPr>
                        <w:t>d</w:t>
                      </w:r>
                      <w:r>
                        <w:rPr>
                          <w:color w:val="000000"/>
                          <w:szCs w:val="24"/>
                          <w:vertAlign w:val="subscript"/>
                        </w:rPr>
                        <w:t>FAK</w:t>
                      </w:r>
                      <w:r>
                        <w:rPr>
                          <w:color w:val="000000"/>
                          <w:szCs w:val="24"/>
                        </w:rPr>
                        <w:t xml:space="preserve"> – perskaičiuotas mokesčio už aplinkos teršimą atitinkamos rūšies pakuočių atliekomis sumažinimo koeficientas (d) remiantis faktiniu užduoties įvykdymu (F), kuris apskaičiuojamas įvertinus faktinį mokesčio mokėtojo per mokestinį laikotarpį vidaus rinkai tiektų pripildytų atitinkamos rūšies pakuočių kiekį (Q);</w:t>
                      </w:r>
                    </w:p>
                    <w:p>
                      <w:pPr>
                        <w:suppressAutoHyphens/>
                        <w:ind w:firstLine="567"/>
                        <w:jc w:val="both"/>
                        <w:textAlignment w:val="center"/>
                        <w:rPr>
                          <w:rFonts w:eastAsia="Calibri"/>
                          <w:szCs w:val="24"/>
                        </w:rPr>
                      </w:pPr>
                      <w:r>
                        <w:rPr>
                          <w:rFonts w:eastAsia="Calibri"/>
                          <w:szCs w:val="24"/>
                        </w:rPr>
                        <w:t>d</w:t>
                      </w:r>
                      <w:r>
                        <w:rPr>
                          <w:rFonts w:eastAsia="Calibri"/>
                          <w:szCs w:val="24"/>
                          <w:vertAlign w:val="subscript"/>
                        </w:rPr>
                        <w:t>DEK</w:t>
                      </w:r>
                      <w:r>
                        <w:rPr>
                          <w:rFonts w:eastAsia="Calibri"/>
                          <w:szCs w:val="24"/>
                        </w:rPr>
                        <w:t xml:space="preserve"> – mokesčio už aplinkos teršimą atitinkamos rūšies pakuočių atliekomis sumažinimo koeficientas (d), apskaičiuotas remiantis deklaracijoje nurodytu užduoties įvykdymu (F), kuris apskaičiuojamas įvertinus mokesčio mokėtojo deklaruotą per mokestinį laikotarpį vidaus rinkai tiektų pripildytų atitinkamos rūšies pakuočių kiekį (Q);</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suppressAutoHyphens/>
                        <w:ind w:firstLine="567"/>
                        <w:jc w:val="both"/>
                        <w:textAlignment w:val="center"/>
                        <w:rPr>
                          <w:color w:val="000000"/>
                          <w:szCs w:val="24"/>
                        </w:rPr>
                      </w:pPr>
                      <w:r>
                        <w:rPr>
                          <w:rFonts w:eastAsia="Calibri"/>
                          <w:szCs w:val="24"/>
                          <w:lang w:eastAsia="lt-LT"/>
                        </w:rPr>
                        <w:t>k – mokestinio laikotarpio indeksavimo koeficientas;</w:t>
                      </w:r>
                    </w:p>
                  </w:sdtContent>
                </w:sdt>
                <w:sdt>
                  <w:sdtPr>
                    <w:alias w:val="12.2 pp."/>
                    <w:tag w:val="part_9b64da8469ef46b1a3488f0b38dbc47a"/>
                    <w:lock w:val="sdtLocked"/>
                    <w:richText/>
                  </w:sdtPr>
                  <w:sdtContent>
                    <w:p>
                      <w:pPr>
                        <w:suppressAutoHyphens/>
                        <w:ind w:firstLine="567"/>
                        <w:jc w:val="both"/>
                        <w:textAlignment w:val="center"/>
                        <w:rPr>
                          <w:color w:val="000000"/>
                          <w:szCs w:val="24"/>
                        </w:rPr>
                      </w:pPr>
                      <w:sdt>
                        <w:sdtPr>
                          <w:alias w:val="Numeris"/>
                          <w:tag w:val="nr_9b64da8469ef46b1a3488f0b38dbc47a"/>
                          <w:lock w:val="sdtLocked"/>
                          <w:richText/>
                        </w:sdtPr>
                        <w:sdtContent>
                          <w:r>
                            <w:rPr>
                              <w:color w:val="000000"/>
                              <w:szCs w:val="24"/>
                            </w:rPr>
                            <w:t>12.2</w:t>
                          </w:r>
                        </w:sdtContent>
                      </w:sdt>
                      <w:r>
                        <w:rPr>
                          <w:color w:val="000000"/>
                          <w:szCs w:val="24"/>
                        </w:rPr>
                        <w:t xml:space="preserve">. jei mokesčio mokėtojas neteikė deklaracijos, </w:t>
                      </w:r>
                      <w:r>
                        <w:rPr>
                          <w:rFonts w:eastAsia="Calibri"/>
                          <w:szCs w:val="24"/>
                          <w:lang w:eastAsia="lt-LT"/>
                        </w:rPr>
                        <w:t>–</w:t>
                      </w:r>
                      <w:r>
                        <w:rPr>
                          <w:color w:val="000000"/>
                          <w:szCs w:val="24"/>
                        </w:rPr>
                        <w:t xml:space="preserve">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Q</w:t>
                      </w:r>
                      <w:r>
                        <w:rPr>
                          <w:color w:val="000000"/>
                          <w:szCs w:val="24"/>
                          <w:vertAlign w:val="subscript"/>
                        </w:rPr>
                        <w:t>NUS</w:t>
                      </w:r>
                      <w:r>
                        <w:rPr>
                          <w:color w:val="000000"/>
                          <w:szCs w:val="24"/>
                        </w:rPr>
                        <w:t xml:space="preserve"> x d</w:t>
                      </w:r>
                      <w:r>
                        <w:rPr>
                          <w:color w:val="000000"/>
                          <w:szCs w:val="24"/>
                          <w:vertAlign w:val="subscript"/>
                        </w:rPr>
                        <w:t>FAK</w:t>
                      </w:r>
                      <w:r>
                        <w:rPr>
                          <w:color w:val="000000"/>
                          <w:szCs w:val="24"/>
                        </w:rPr>
                        <w:t xml:space="preserve"> x T x k x 2</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pakuočių atliekomis (Eur);</w:t>
                      </w:r>
                    </w:p>
                    <w:p>
                      <w:pPr>
                        <w:suppressAutoHyphens/>
                        <w:ind w:firstLine="567"/>
                        <w:jc w:val="both"/>
                        <w:textAlignment w:val="center"/>
                        <w:rPr>
                          <w:color w:val="000000"/>
                          <w:szCs w:val="24"/>
                        </w:rPr>
                      </w:pPr>
                      <w:r>
                        <w:rPr>
                          <w:color w:val="000000"/>
                          <w:szCs w:val="24"/>
                        </w:rPr>
                        <w:t>Q</w:t>
                      </w:r>
                      <w:r>
                        <w:rPr>
                          <w:color w:val="000000"/>
                          <w:szCs w:val="24"/>
                          <w:vertAlign w:val="subscript"/>
                        </w:rPr>
                        <w:t>NUS</w:t>
                      </w:r>
                      <w:r>
                        <w:rPr>
                          <w:color w:val="000000"/>
                          <w:szCs w:val="24"/>
                        </w:rPr>
                        <w:t xml:space="preserve"> – mokesčio mokėtojo per mokestinį laikotarpį vidaus rinkai tiektų pripildytų atitinkamos rūšies pakuočių nedeklaruotas (nuslėptas) kiekis (t);</w:t>
                      </w:r>
                    </w:p>
                    <w:p>
                      <w:pPr>
                        <w:suppressAutoHyphens/>
                        <w:ind w:firstLine="567"/>
                        <w:jc w:val="both"/>
                        <w:textAlignment w:val="center"/>
                        <w:rPr>
                          <w:color w:val="000000"/>
                          <w:szCs w:val="24"/>
                        </w:rPr>
                      </w:pPr>
                      <w:r>
                        <w:rPr>
                          <w:color w:val="000000"/>
                          <w:szCs w:val="24"/>
                        </w:rPr>
                        <w:t>d</w:t>
                      </w:r>
                      <w:r>
                        <w:rPr>
                          <w:color w:val="000000"/>
                          <w:szCs w:val="24"/>
                          <w:vertAlign w:val="subscript"/>
                        </w:rPr>
                        <w:t>FAK</w:t>
                      </w:r>
                      <w:r>
                        <w:rPr>
                          <w:color w:val="000000"/>
                          <w:szCs w:val="24"/>
                        </w:rPr>
                        <w:t xml:space="preserve"> – perskaičiuotas mokesčio už aplinkos teršimą atitinkamos rūšies pakuočių atliekomis sumažinimo koeficientas (d), remiantis faktiniu užduoties įvykdymu (F), kuris apskaičiuojamas įvertinus faktinį mokesčio mokėtojo per mokestinį laikotarpį vidaus rinkai tiektų pripildytų atitinkamos rūšies pakuočių kiekį (Q);</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suppressAutoHyphens/>
                        <w:ind w:firstLine="567"/>
                        <w:jc w:val="both"/>
                        <w:textAlignment w:val="center"/>
                        <w:rPr>
                          <w:color w:val="000000"/>
                          <w:szCs w:val="24"/>
                        </w:rPr>
                      </w:pPr>
                      <w:r>
                        <w:rPr>
                          <w:rFonts w:eastAsia="Calibri"/>
                          <w:szCs w:val="24"/>
                          <w:lang w:eastAsia="lt-LT"/>
                        </w:rPr>
                        <w:t>k – mokestinio laikotarpio indeksavimo koeficientas;</w:t>
                      </w:r>
                    </w:p>
                  </w:sdtContent>
                </w:sdt>
                <w:sdt>
                  <w:sdtPr>
                    <w:alias w:val="12.3 pp."/>
                    <w:tag w:val="part_5bc548a092d8436083e8394faac05659"/>
                    <w:lock w:val="sdtLocked"/>
                    <w:richText/>
                  </w:sdtPr>
                  <w:sdtContent>
                    <w:p>
                      <w:pPr>
                        <w:suppressAutoHyphens/>
                        <w:ind w:firstLine="567"/>
                        <w:jc w:val="both"/>
                        <w:textAlignment w:val="center"/>
                        <w:rPr>
                          <w:color w:val="000000"/>
                          <w:szCs w:val="24"/>
                        </w:rPr>
                      </w:pPr>
                      <w:sdt>
                        <w:sdtPr>
                          <w:alias w:val="Numeris"/>
                          <w:tag w:val="nr_5bc548a092d8436083e8394faac05659"/>
                          <w:lock w:val="sdtLocked"/>
                          <w:richText/>
                        </w:sdtPr>
                        <w:sdtContent>
                          <w:r>
                            <w:rPr>
                              <w:color w:val="000000"/>
                              <w:szCs w:val="24"/>
                            </w:rPr>
                            <w:t>12.3</w:t>
                          </w:r>
                        </w:sdtContent>
                      </w:sdt>
                      <w:r>
                        <w:rPr>
                          <w:color w:val="000000"/>
                          <w:szCs w:val="24"/>
                        </w:rPr>
                        <w:t>. jei mokesčio mokėtojas nevykdė pakuočių apskaitos, nepateikė pakuočių apskaitos dokumentų mokesčio administratoriui ir neteikė deklaracijos iki mokestinio patikrinimo pradžios,</w:t>
                      </w:r>
                      <w:r>
                        <w:rPr>
                          <w:rFonts w:eastAsia="Calibri"/>
                          <w:szCs w:val="24"/>
                          <w:lang w:eastAsia="lt-LT"/>
                        </w:rPr>
                        <w:t xml:space="preserve"> –</w:t>
                      </w:r>
                      <w:r>
                        <w:rPr>
                          <w:color w:val="000000"/>
                          <w:szCs w:val="24"/>
                        </w:rPr>
                        <w:t xml:space="preserve"> pagal formulę:</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P x 0,02, kai (P x 0,02) ≥ 10000 arba</w:t>
                      </w:r>
                    </w:p>
                    <w:p>
                      <w:pPr>
                        <w:suppressAutoHyphens/>
                        <w:ind w:firstLine="567"/>
                        <w:jc w:val="both"/>
                        <w:textAlignment w:val="center"/>
                        <w:rPr>
                          <w:color w:val="000000"/>
                          <w:szCs w:val="24"/>
                        </w:rPr>
                      </w:pPr>
                      <w:r>
                        <w:rPr>
                          <w:color w:val="000000"/>
                          <w:szCs w:val="24"/>
                        </w:rPr>
                        <w:t>M</w:t>
                      </w:r>
                      <w:r>
                        <w:rPr>
                          <w:color w:val="000000"/>
                          <w:szCs w:val="24"/>
                          <w:vertAlign w:val="subscript"/>
                        </w:rPr>
                        <w:t>NUS</w:t>
                      </w:r>
                      <w:r>
                        <w:rPr>
                          <w:color w:val="000000"/>
                          <w:szCs w:val="24"/>
                        </w:rPr>
                        <w:t xml:space="preserve"> = 10000, kai (P x 0,02) &lt; 10000</w:t>
                      </w:r>
                    </w:p>
                    <w:p>
                      <w:pPr>
                        <w:suppressAutoHyphens/>
                        <w:ind w:firstLine="567"/>
                        <w:jc w:val="both"/>
                        <w:textAlignment w:val="center"/>
                        <w:rPr>
                          <w:color w:val="000000"/>
                          <w:szCs w:val="24"/>
                        </w:rPr>
                      </w:pPr>
                    </w:p>
                    <w:p>
                      <w:pPr>
                        <w:suppressAutoHyphens/>
                        <w:ind w:firstLine="567"/>
                        <w:jc w:val="both"/>
                        <w:textAlignment w:val="center"/>
                        <w:rPr>
                          <w:color w:val="000000"/>
                          <w:szCs w:val="24"/>
                        </w:rPr>
                      </w:pPr>
                      <w:r>
                        <w:rPr>
                          <w:color w:val="000000"/>
                          <w:szCs w:val="24"/>
                        </w:rPr>
                        <w:t>kur:</w:t>
                      </w:r>
                    </w:p>
                    <w:p>
                      <w:pPr>
                        <w:ind w:firstLine="567"/>
                        <w:jc w:val="both"/>
                        <w:rPr>
                          <w:color w:val="000000"/>
                        </w:rPr>
                      </w:pPr>
                      <w:r>
                        <w:rPr>
                          <w:color w:val="000000"/>
                          <w:szCs w:val="24"/>
                        </w:rPr>
                        <w:t>M</w:t>
                      </w:r>
                      <w:r>
                        <w:rPr>
                          <w:color w:val="000000"/>
                          <w:szCs w:val="24"/>
                          <w:vertAlign w:val="subscript"/>
                        </w:rPr>
                        <w:t>NUS</w:t>
                      </w:r>
                      <w:r>
                        <w:rPr>
                          <w:color w:val="000000"/>
                          <w:szCs w:val="24"/>
                        </w:rPr>
                        <w:t xml:space="preserve"> – mokestis už nuslėptą taršą atitinkamos rūšies pakuočių atliekomis (Eur);</w:t>
                      </w:r>
                    </w:p>
                    <w:p>
                      <w:pPr>
                        <w:ind w:firstLine="567"/>
                        <w:jc w:val="both"/>
                        <w:rPr>
                          <w:color w:val="000000"/>
                        </w:rPr>
                      </w:pPr>
                      <w:r>
                        <w:rPr>
                          <w:color w:val="000000"/>
                        </w:rPr>
                        <w:t xml:space="preserve">P – mokesčio mokėtojo per tikrinamąjį mokestinį laikotarpį gautos pajamos, </w:t>
                      </w:r>
                      <w:r>
                        <w:rPr>
                          <w:szCs w:val="24"/>
                          <w:lang w:eastAsia="lt-LT"/>
                        </w:rPr>
                        <w:t>kurios suprantamos kaip Lietuvos Respublikos pelno mokesčio įstatyme</w:t>
                      </w:r>
                      <w:r>
                        <w:rPr>
                          <w:color w:val="000000"/>
                        </w:rPr>
                        <w:t xml:space="preserve"> (Eur);</w:t>
                      </w:r>
                    </w:p>
                  </w:sdtContent>
                </w:sdt>
                <w:sdt>
                  <w:sdtPr>
                    <w:alias w:val="12.4 pp."/>
                    <w:tag w:val="part_4ca8104667fc49939eadc73c0dc6b031"/>
                    <w:lock w:val="sdtLocked"/>
                    <w:richText/>
                  </w:sdtPr>
                  <w:sdtContent>
                    <w:p>
                      <w:pPr>
                        <w:ind w:firstLine="567"/>
                        <w:jc w:val="both"/>
                        <w:rPr>
                          <w:szCs w:val="24"/>
                        </w:rPr>
                      </w:pPr>
                      <w:sdt>
                        <w:sdtPr>
                          <w:alias w:val="Numeris"/>
                          <w:tag w:val="nr_4ca8104667fc49939eadc73c0dc6b031"/>
                          <w:lock w:val="sdtLocked"/>
                          <w:richText/>
                        </w:sdtPr>
                        <w:sdtContent>
                          <w:r>
                            <w:rPr>
                              <w:color w:val="000000"/>
                            </w:rPr>
                            <w:t>12.4</w:t>
                          </w:r>
                        </w:sdtContent>
                      </w:sdt>
                      <w:r>
                        <w:rPr>
                          <w:color w:val="000000"/>
                        </w:rPr>
                        <w:t xml:space="preserve">. </w:t>
                      </w:r>
                      <w:r>
                        <w:rPr>
                          <w:szCs w:val="24"/>
                        </w:rPr>
                        <w:t xml:space="preserve">jei mokesčio mokėtojas nepateikė deklaracijos arba nepateikė deklaracijoje duomenų apie daugkartinių pakuočių kiekius, </w:t>
                      </w:r>
                      <w:r>
                        <w:rPr>
                          <w:rFonts w:eastAsia="Calibri"/>
                          <w:szCs w:val="24"/>
                          <w:lang w:eastAsia="lt-LT"/>
                        </w:rPr>
                        <w:t xml:space="preserve">– </w:t>
                      </w:r>
                      <w:r>
                        <w:rPr>
                          <w:szCs w:val="24"/>
                        </w:rPr>
                        <w:t>pagal formulę:</w:t>
                      </w:r>
                    </w:p>
                    <w:p>
                      <w:pPr>
                        <w:ind w:firstLine="567"/>
                        <w:jc w:val="both"/>
                        <w:rPr>
                          <w:color w:val="000000"/>
                          <w:szCs w:val="24"/>
                        </w:rPr>
                      </w:pPr>
                    </w:p>
                    <w:p>
                      <w:pPr>
                        <w:ind w:firstLine="567"/>
                        <w:jc w:val="both"/>
                        <w:rPr>
                          <w:szCs w:val="24"/>
                        </w:rPr>
                      </w:pPr>
                      <w:r>
                        <w:rPr>
                          <w:color w:val="000000"/>
                          <w:szCs w:val="24"/>
                        </w:rPr>
                        <w:t>M</w:t>
                      </w:r>
                      <w:r>
                        <w:rPr>
                          <w:color w:val="000000"/>
                          <w:szCs w:val="24"/>
                          <w:vertAlign w:val="subscript"/>
                        </w:rPr>
                        <w:t>NUS</w:t>
                      </w:r>
                      <w:r>
                        <w:rPr>
                          <w:color w:val="000000"/>
                          <w:szCs w:val="24"/>
                        </w:rPr>
                        <w:t xml:space="preserve"> = </w:t>
                      </w:r>
                      <w:r>
                        <w:t>Q</w:t>
                      </w:r>
                      <w:r>
                        <w:rPr>
                          <w:vertAlign w:val="subscript"/>
                        </w:rPr>
                        <w:t>LIK</w:t>
                      </w:r>
                      <w:r>
                        <w:rPr>
                          <w:szCs w:val="24"/>
                        </w:rPr>
                        <w:t xml:space="preserve"> x T x k x 2;</w:t>
                      </w:r>
                    </w:p>
                    <w:p>
                      <w:pPr>
                        <w:ind w:firstLine="567"/>
                        <w:jc w:val="both"/>
                        <w:rPr>
                          <w:color w:val="000000"/>
                          <w:szCs w:val="24"/>
                        </w:rPr>
                      </w:pPr>
                    </w:p>
                    <w:p>
                      <w:pPr>
                        <w:ind w:firstLine="567"/>
                        <w:jc w:val="both"/>
                        <w:rPr>
                          <w:color w:val="000000"/>
                          <w:szCs w:val="24"/>
                        </w:rPr>
                      </w:pPr>
                      <w:r>
                        <w:rPr>
                          <w:color w:val="000000"/>
                          <w:szCs w:val="24"/>
                        </w:rPr>
                        <w:t>kur:</w:t>
                      </w:r>
                    </w:p>
                    <w:p>
                      <w:pPr>
                        <w:ind w:firstLine="567"/>
                        <w:jc w:val="both"/>
                        <w:rPr>
                          <w:color w:val="000000"/>
                          <w:szCs w:val="24"/>
                        </w:rPr>
                      </w:pPr>
                      <w:r>
                        <w:rPr>
                          <w:color w:val="000000"/>
                          <w:szCs w:val="24"/>
                        </w:rPr>
                        <w:t>M</w:t>
                      </w:r>
                      <w:r>
                        <w:rPr>
                          <w:color w:val="000000"/>
                          <w:szCs w:val="24"/>
                          <w:vertAlign w:val="subscript"/>
                        </w:rPr>
                        <w:t>NUS</w:t>
                      </w:r>
                      <w:r>
                        <w:rPr>
                          <w:color w:val="000000"/>
                          <w:szCs w:val="24"/>
                        </w:rPr>
                        <w:t xml:space="preserve"> – mokestis už nuslėptą taršą atitinkamos rūšies pakuočių atliekomis (Eur);</w:t>
                      </w:r>
                    </w:p>
                    <w:p>
                      <w:pPr>
                        <w:ind w:firstLine="567"/>
                        <w:jc w:val="both"/>
                        <w:rPr>
                          <w:color w:val="000000"/>
                        </w:rPr>
                      </w:pPr>
                      <w:r>
                        <w:rPr>
                          <w:color w:val="000000"/>
                        </w:rPr>
                        <w:t>Q</w:t>
                      </w:r>
                      <w:r>
                        <w:rPr>
                          <w:color w:val="000000"/>
                          <w:vertAlign w:val="subscript"/>
                        </w:rPr>
                        <w:t>LIK</w:t>
                      </w:r>
                      <w:r>
                        <w:rPr>
                          <w:color w:val="000000"/>
                        </w:rPr>
                        <w:t xml:space="preserve"> – mokesčio mokėtojo vidaus rinkai tiektų ir nesusigrąžintų atitinkamos rūšies daugkartinių pakuočių kiekis (t);</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ind w:firstLine="567"/>
                        <w:jc w:val="both"/>
                        <w:rPr>
                          <w:szCs w:val="24"/>
                        </w:rPr>
                      </w:pPr>
                      <w:r>
                        <w:rPr>
                          <w:rFonts w:eastAsia="Calibri"/>
                          <w:szCs w:val="24"/>
                          <w:lang w:eastAsia="lt-LT"/>
                        </w:rPr>
                        <w:t>k – mokestinio laikotarpio indeksavimo koeficientas;</w:t>
                      </w:r>
                    </w:p>
                  </w:sdtContent>
                </w:sdt>
                <w:sdt>
                  <w:sdtPr>
                    <w:alias w:val="12.5 pp."/>
                    <w:tag w:val="part_cdb816f70fd24aca99f7f600b2dd9b79"/>
                    <w:lock w:val="sdtLocked"/>
                    <w:richText/>
                  </w:sdtPr>
                  <w:sdtContent>
                    <w:p>
                      <w:pPr>
                        <w:ind w:firstLine="567"/>
                        <w:jc w:val="both"/>
                        <w:rPr>
                          <w:szCs w:val="24"/>
                        </w:rPr>
                      </w:pPr>
                      <w:sdt>
                        <w:sdtPr>
                          <w:alias w:val="Numeris"/>
                          <w:tag w:val="nr_cdb816f70fd24aca99f7f600b2dd9b79"/>
                          <w:lock w:val="sdtLocked"/>
                          <w:richText/>
                        </w:sdtPr>
                        <w:sdtContent>
                          <w:r>
                            <w:rPr>
                              <w:szCs w:val="24"/>
                            </w:rPr>
                            <w:t>12.5</w:t>
                          </w:r>
                        </w:sdtContent>
                      </w:sdt>
                      <w:r>
                        <w:rPr>
                          <w:szCs w:val="24"/>
                        </w:rPr>
                        <w:t>. jei mokesčio mokėtojas deklaracijoje nurodė neteisingą vidaus rinkai tiektų ir (ar) susigrąžintų daugkartinių pakuočių kiekį,</w:t>
                      </w:r>
                      <w:r>
                        <w:rPr>
                          <w:rFonts w:eastAsia="Calibri"/>
                          <w:szCs w:val="24"/>
                          <w:lang w:eastAsia="lt-LT"/>
                        </w:rPr>
                        <w:t xml:space="preserve"> –</w:t>
                      </w:r>
                      <w:r>
                        <w:rPr>
                          <w:szCs w:val="24"/>
                        </w:rPr>
                        <w:t xml:space="preserve"> pagal formulę:</w:t>
                      </w:r>
                    </w:p>
                    <w:p>
                      <w:pPr>
                        <w:ind w:firstLine="567"/>
                        <w:jc w:val="both"/>
                        <w:rPr>
                          <w:szCs w:val="24"/>
                        </w:rPr>
                      </w:pPr>
                    </w:p>
                    <w:p>
                      <w:pPr>
                        <w:ind w:firstLine="567"/>
                        <w:jc w:val="both"/>
                        <w:rPr>
                          <w:szCs w:val="24"/>
                        </w:rPr>
                      </w:pPr>
                      <w:r>
                        <w:rPr>
                          <w:szCs w:val="24"/>
                        </w:rPr>
                        <w:t>M</w:t>
                      </w:r>
                      <w:r>
                        <w:rPr>
                          <w:szCs w:val="24"/>
                          <w:vertAlign w:val="subscript"/>
                        </w:rPr>
                        <w:t>NUS</w:t>
                      </w:r>
                      <w:r>
                        <w:rPr>
                          <w:szCs w:val="24"/>
                        </w:rPr>
                        <w:t xml:space="preserve"> = (</w:t>
                      </w:r>
                      <w:r>
                        <w:t>Q</w:t>
                      </w:r>
                      <w:r>
                        <w:rPr>
                          <w:vertAlign w:val="subscript"/>
                        </w:rPr>
                        <w:t>LIK</w:t>
                      </w:r>
                      <w:r>
                        <w:rPr>
                          <w:szCs w:val="24"/>
                        </w:rPr>
                        <w:t xml:space="preserve"> x T x k – M</w:t>
                      </w:r>
                      <w:r>
                        <w:rPr>
                          <w:szCs w:val="24"/>
                          <w:vertAlign w:val="subscript"/>
                        </w:rPr>
                        <w:t>SUM</w:t>
                      </w:r>
                      <w:r>
                        <w:rPr>
                          <w:szCs w:val="24"/>
                        </w:rPr>
                        <w:t>) x 2</w:t>
                      </w:r>
                    </w:p>
                    <w:p>
                      <w:pPr>
                        <w:ind w:firstLine="567"/>
                        <w:jc w:val="both"/>
                        <w:rPr>
                          <w:szCs w:val="24"/>
                        </w:rPr>
                      </w:pPr>
                    </w:p>
                    <w:p>
                      <w:pPr>
                        <w:ind w:firstLine="567"/>
                        <w:jc w:val="both"/>
                      </w:pPr>
                      <w:r>
                        <w:rPr>
                          <w:szCs w:val="24"/>
                        </w:rPr>
                        <w:t>kur:</w:t>
                      </w:r>
                    </w:p>
                    <w:p>
                      <w:pPr>
                        <w:widowControl w:val="0"/>
                        <w:ind w:firstLine="567"/>
                        <w:jc w:val="both"/>
                        <w:rPr>
                          <w:szCs w:val="24"/>
                        </w:rPr>
                      </w:pPr>
                      <w:r>
                        <w:rPr>
                          <w:szCs w:val="24"/>
                        </w:rPr>
                        <w:t>M</w:t>
                      </w:r>
                      <w:r>
                        <w:rPr>
                          <w:szCs w:val="24"/>
                          <w:vertAlign w:val="subscript"/>
                        </w:rPr>
                        <w:t>SUM</w:t>
                      </w:r>
                      <w:r>
                        <w:rPr>
                          <w:szCs w:val="24"/>
                        </w:rPr>
                        <w:t xml:space="preserve"> – mokesčio mokėtojo sumokėtas mokestis už aplinkos teršimą atitinkamos rūšies daugkartinių pakuočių atliekomis iki mokestinio patikrinimo pradžios (Eur);</w:t>
                      </w:r>
                    </w:p>
                    <w:p>
                      <w:pPr>
                        <w:ind w:firstLine="567"/>
                        <w:jc w:val="both"/>
                        <w:rPr>
                          <w:color w:val="000000"/>
                        </w:rPr>
                      </w:pPr>
                      <w:r>
                        <w:rPr>
                          <w:color w:val="000000"/>
                        </w:rPr>
                        <w:t>Q</w:t>
                      </w:r>
                      <w:r>
                        <w:rPr>
                          <w:color w:val="000000"/>
                          <w:vertAlign w:val="subscript"/>
                        </w:rPr>
                        <w:t>LIK</w:t>
                      </w:r>
                      <w:r>
                        <w:rPr>
                          <w:color w:val="000000"/>
                        </w:rPr>
                        <w:t xml:space="preserve"> – mokesčio mokėtojo vidaus rinkai tiektų ir nesusigrąžintų atitinkamos rūšies daugkartinių pakuočių kiekis (t);</w:t>
                      </w:r>
                    </w:p>
                    <w:p>
                      <w:pPr>
                        <w:suppressAutoHyphens/>
                        <w:ind w:firstLine="567"/>
                        <w:jc w:val="both"/>
                        <w:textAlignment w:val="center"/>
                        <w:rPr>
                          <w:rFonts w:eastAsia="Calibri"/>
                          <w:color w:val="000000"/>
                          <w:szCs w:val="24"/>
                        </w:rPr>
                      </w:pPr>
                      <w:r>
                        <w:rPr>
                          <w:rFonts w:eastAsia="Calibri"/>
                          <w:color w:val="000000"/>
                          <w:szCs w:val="24"/>
                        </w:rPr>
                        <w:t>T – mokesčio tarifas, nurodytas Mokesčio už aplinkos teršimą įstatymo 4 priede;</w:t>
                      </w:r>
                    </w:p>
                    <w:p>
                      <w:pPr>
                        <w:widowControl w:val="0"/>
                        <w:ind w:firstLine="567"/>
                        <w:jc w:val="both"/>
                        <w:rPr>
                          <w:szCs w:val="24"/>
                        </w:rPr>
                      </w:pPr>
                      <w:r>
                        <w:rPr>
                          <w:rFonts w:eastAsia="Calibri"/>
                          <w:szCs w:val="24"/>
                          <w:lang w:eastAsia="lt-LT"/>
                        </w:rPr>
                        <w:t>k – mokestinio laikotarpio indeksavimo koeficientas.</w:t>
                      </w:r>
                    </w:p>
                    <w:p/>
                  </w:sdtContent>
                </w:sdt>
              </w:sdtContent>
            </w:sdt>
          </w:sdtContent>
        </w:sdt>
        <w:sdt>
          <w:sdtPr>
            <w:alias w:val="skyrius"/>
            <w:tag w:val="part_7d8ce156b3ec4ee18c44aaeedf8364e6"/>
            <w:lock w:val="sdtLocked"/>
            <w:richText/>
          </w:sdtPr>
          <w:sdtContent>
            <w:p>
              <w:pPr>
                <w:widowControl w:val="0"/>
                <w:jc w:val="center"/>
                <w:rPr>
                  <w:b/>
                  <w:bCs/>
                  <w:caps/>
                  <w:color w:val="000000"/>
                </w:rPr>
              </w:pPr>
              <w:sdt>
                <w:sdtPr>
                  <w:alias w:val="Numeris"/>
                  <w:tag w:val="nr_7d8ce156b3ec4ee18c44aaeedf8364e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7d8ce156b3ec4ee18c44aaeedf8364e6"/>
                  <w:lock w:val="sdtLocked"/>
                  <w:richText/>
                </w:sdtPr>
                <w:sdtContent>
                  <w:r>
                    <w:rPr>
                      <w:b/>
                      <w:bCs/>
                      <w:caps/>
                      <w:color w:val="000000"/>
                    </w:rPr>
                    <w:t>MOKESČIO LENGVATas suteikiantys dokumentai</w:t>
                  </w:r>
                </w:sdtContent>
              </w:sdt>
            </w:p>
            <w:p/>
            <w:sdt>
              <w:sdtPr>
                <w:alias w:val="13 p."/>
                <w:tag w:val="part_23b996dc250646d59285929704e89852"/>
                <w:lock w:val="sdtLocked"/>
                <w:richText/>
              </w:sdtPr>
              <w:sdtContent>
                <w:p>
                  <w:pPr>
                    <w:widowControl w:val="0"/>
                    <w:ind w:firstLine="567"/>
                    <w:jc w:val="both"/>
                    <w:rPr>
                      <w:color w:val="000000"/>
                    </w:rPr>
                  </w:pPr>
                  <w:sdt>
                    <w:sdtPr>
                      <w:alias w:val="Numeris"/>
                      <w:tag w:val="nr_23b996dc250646d59285929704e89852"/>
                      <w:lock w:val="sdtLocked"/>
                      <w:richText/>
                    </w:sdtPr>
                    <w:sdtContent>
                      <w:r>
                        <w:rPr>
                          <w:color w:val="000000"/>
                        </w:rPr>
                        <w:t>13</w:t>
                      </w:r>
                    </w:sdtContent>
                  </w:sdt>
                  <w:r>
                    <w:rPr>
                      <w:color w:val="000000"/>
                    </w:rPr>
                    <w:t>. Iš Lietuvos Respublikos teritorijos išvežtų pripildytų pakuočių kiekį patvirtinančių dokumentų pateikimo tvarka:</w:t>
                  </w:r>
                </w:p>
                <w:sdt>
                  <w:sdtPr>
                    <w:alias w:val="13.1 pp."/>
                    <w:tag w:val="part_8a0f6ec87d9340f9942a9a5b69f6856b"/>
                    <w:lock w:val="sdtLocked"/>
                    <w:richText/>
                  </w:sdtPr>
                  <w:sdtContent>
                    <w:p>
                      <w:pPr>
                        <w:widowControl w:val="0"/>
                        <w:ind w:firstLine="567"/>
                        <w:jc w:val="both"/>
                        <w:rPr>
                          <w:color w:val="000000"/>
                        </w:rPr>
                      </w:pPr>
                      <w:sdt>
                        <w:sdtPr>
                          <w:alias w:val="Numeris"/>
                          <w:tag w:val="nr_8a0f6ec87d9340f9942a9a5b69f6856b"/>
                          <w:lock w:val="sdtLocked"/>
                          <w:richText/>
                        </w:sdtPr>
                        <w:sdtContent>
                          <w:r>
                            <w:rPr>
                              <w:color w:val="000000"/>
                            </w:rPr>
                            <w:t>13.1</w:t>
                          </w:r>
                        </w:sdtContent>
                      </w:sdt>
                      <w:r>
                        <w:rPr>
                          <w:color w:val="000000"/>
                        </w:rPr>
                        <w:t xml:space="preserve">. mokesčio mokėtojas, </w:t>
                      </w:r>
                      <w:r>
                        <w:rPr>
                          <w:color w:val="000000"/>
                          <w:lang w:eastAsia="lt-LT"/>
                        </w:rPr>
                        <w:t xml:space="preserve">aplinkos apsaugos valstybinės kontrolės </w:t>
                      </w:r>
                      <w:r>
                        <w:rPr>
                          <w:color w:val="000000"/>
                        </w:rPr>
                        <w:t>pareigūnui pareikalavus, privalo pateikti dokumentus, patvirtinančius išvežtą iš Lietuvos Respublikos teritorijos pripildytų pakuočių kiekį. Tokie dokumentai gali būti:</w:t>
                      </w:r>
                    </w:p>
                    <w:sdt>
                      <w:sdtPr>
                        <w:alias w:val="13.1.1 pp."/>
                        <w:tag w:val="part_f645207b392741f6b315c9dc134b5a50"/>
                        <w:lock w:val="sdtLocked"/>
                        <w:richText/>
                      </w:sdtPr>
                      <w:sdtContent>
                        <w:p>
                          <w:pPr>
                            <w:widowControl w:val="0"/>
                            <w:ind w:firstLine="567"/>
                            <w:jc w:val="both"/>
                            <w:rPr>
                              <w:color w:val="000000"/>
                            </w:rPr>
                          </w:pPr>
                          <w:sdt>
                            <w:sdtPr>
                              <w:alias w:val="Numeris"/>
                              <w:tag w:val="nr_f645207b392741f6b315c9dc134b5a50"/>
                              <w:lock w:val="sdtLocked"/>
                              <w:richText/>
                            </w:sdtPr>
                            <w:sdtContent>
                              <w:r>
                                <w:rPr>
                                  <w:color w:val="000000"/>
                                </w:rPr>
                                <w:t>13.1.1</w:t>
                              </w:r>
                            </w:sdtContent>
                          </w:sdt>
                          <w:r>
                            <w:rPr>
                              <w:color w:val="000000"/>
                            </w:rPr>
                            <w:t>. pirkimo–pardavimo sutartys; PVM sąskaitos faktūros; sąskaitos faktūros; tarptautiniai krovinių transportavimo važtaraščiai CMR (kiti iš vežėjo gaunami dokumentai, patvirtinantys gaminių judėjimą); draudimo dokumentai; pirkėjo mokėjimo dokumentai, pirkėjo patvirtinimas, kad prekės gautos; užsakymai; kita korespondencija ir dokumentai;</w:t>
                          </w:r>
                        </w:p>
                      </w:sdtContent>
                    </w:sdt>
                    <w:sdt>
                      <w:sdtPr>
                        <w:alias w:val="13.1.2 pp."/>
                        <w:tag w:val="part_07c3989652a241dd9f0ad0c248fda7e7"/>
                        <w:lock w:val="sdtLocked"/>
                        <w:richText/>
                      </w:sdtPr>
                      <w:sdtContent>
                        <w:p>
                          <w:pPr>
                            <w:widowControl w:val="0"/>
                            <w:ind w:firstLine="567"/>
                            <w:jc w:val="both"/>
                            <w:rPr>
                              <w:color w:val="000000"/>
                            </w:rPr>
                          </w:pPr>
                          <w:sdt>
                            <w:sdtPr>
                              <w:alias w:val="Numeris"/>
                              <w:tag w:val="nr_07c3989652a241dd9f0ad0c248fda7e7"/>
                              <w:lock w:val="sdtLocked"/>
                              <w:richText/>
                            </w:sdtPr>
                            <w:sdtContent>
                              <w:r>
                                <w:rPr>
                                  <w:color w:val="000000"/>
                                </w:rPr>
                                <w:t>13.1.2</w:t>
                              </w:r>
                            </w:sdtContent>
                          </w:sdt>
                          <w:r>
                            <w:rPr>
                              <w:color w:val="000000"/>
                            </w:rPr>
                            <w:t>. muitinės dokumentai, įrodantys, kad pripildytos pakuotės išvežtos iš Europos Sąjungos valstybių narių teritorijos, kai pripildytos pakuotės išvežamos iš Europos Sąjungos valstybių narių teritorijos;</w:t>
                          </w:r>
                        </w:p>
                      </w:sdtContent>
                    </w:sdt>
                  </w:sdtContent>
                </w:sdt>
                <w:sdt>
                  <w:sdtPr>
                    <w:alias w:val="13.2 pp."/>
                    <w:tag w:val="part_7351d45a47db433db0100ec058970f91"/>
                    <w:lock w:val="sdtLocked"/>
                    <w:richText/>
                  </w:sdtPr>
                  <w:sdtContent>
                    <w:p>
                      <w:pPr>
                        <w:widowControl w:val="0"/>
                        <w:ind w:firstLine="567"/>
                        <w:jc w:val="both"/>
                        <w:rPr>
                          <w:color w:val="000000"/>
                        </w:rPr>
                      </w:pPr>
                      <w:sdt>
                        <w:sdtPr>
                          <w:alias w:val="Numeris"/>
                          <w:tag w:val="nr_7351d45a47db433db0100ec058970f91"/>
                          <w:lock w:val="sdtLocked"/>
                          <w:richText/>
                        </w:sdtPr>
                        <w:sdtContent>
                          <w:r>
                            <w:rPr>
                              <w:color w:val="000000"/>
                            </w:rPr>
                            <w:t>13.2</w:t>
                          </w:r>
                        </w:sdtContent>
                      </w:sdt>
                      <w:r>
                        <w:rPr>
                          <w:color w:val="000000"/>
                        </w:rPr>
                        <w:t>. mokesčio mokėtojas, kuris išveža pripildytas pakuotes iš Lietuvos Respublikos teritorijos per trečiuosius asmenis, norintis pasinaudoti mokesčio lengvata, privalo turėti sutartį su trečiuoju asmeniu dėl mokesčio mokėtojui priklausančių pripildytų pakuočių išvežimo iš Lietuvos Respublikos teritorijos ir dokumentų, patvirtinančių pripildytų pakuočių išvežimą iš Lietuvos Respublikos teritorijos, kopijas, patvirtintas trečiojo asmens atsakingo asmens, ir pateikti šiuos dokumentus patikrinimą atliekančiam a</w:t>
                      </w:r>
                      <w:r>
                        <w:rPr>
                          <w:color w:val="000000"/>
                          <w:lang w:eastAsia="lt-LT"/>
                        </w:rPr>
                        <w:t xml:space="preserve">plinkos apsaugos valstybinės kontrolės </w:t>
                      </w:r>
                      <w:r>
                        <w:rPr>
                          <w:color w:val="000000"/>
                        </w:rPr>
                        <w:t>pareigūnui.</w:t>
                      </w:r>
                    </w:p>
                  </w:sdtContent>
                </w:sdt>
              </w:sdtContent>
            </w:sdt>
            <w:sdt>
              <w:sdtPr>
                <w:alias w:val="14 p."/>
                <w:tag w:val="part_c27af7b3f44b48989f49b0dd87c96112"/>
                <w:lock w:val="sdtLocked"/>
                <w:richText/>
              </w:sdtPr>
              <w:sdtContent>
                <w:p>
                  <w:pPr>
                    <w:widowControl w:val="0"/>
                    <w:ind w:firstLine="567"/>
                    <w:jc w:val="both"/>
                    <w:rPr>
                      <w:color w:val="000000"/>
                    </w:rPr>
                  </w:pPr>
                  <w:sdt>
                    <w:sdtPr>
                      <w:alias w:val="Numeris"/>
                      <w:tag w:val="nr_c27af7b3f44b48989f49b0dd87c96112"/>
                      <w:lock w:val="sdtLocked"/>
                      <w:richText/>
                    </w:sdtPr>
                    <w:sdtContent>
                      <w:r>
                        <w:rPr>
                          <w:color w:val="000000"/>
                        </w:rPr>
                        <w:t>14</w:t>
                      </w:r>
                    </w:sdtContent>
                  </w:sdt>
                  <w:r>
                    <w:rPr>
                      <w:color w:val="000000"/>
                    </w:rPr>
                    <w:t>. Mokesčio mokėtojas nuo mokesčio už išvežtas pripildytas pakuotes per trečiuosius asmenis atleidžiamas tik jei trečiasis asmuo, kuris suprantamas kaip asmuo, kuriam pagal sutartį mokesčio mokėtojas perleido savo pripildytas pakuotes, išvežė šias pripildytas pakuotes iš Lietuvos Respublikos teritorijos pats ar naudodamasis teikiamomis transportavimo paslaugomis. Trečiasis asmuo negali perleisti kitam asmeniui pripildytų pakuočių išvežimo prievolės. Jei trečiasis asmuo taip pat yra mokesčio už aplinkos teršimą pakuočių atliekomis mokėtojas, jo, kaip trečiojo asmens, išvežtos kito asmens pripildytos pakuotės neturi įtakos jo pripildytų pakuočių kiekiui.</w:t>
                  </w:r>
                </w:p>
              </w:sdtContent>
            </w:sdt>
            <w:sdt>
              <w:sdtPr>
                <w:alias w:val="15 p."/>
                <w:tag w:val="part_10a195cea99c41f1a3e82aa7c35764c4"/>
                <w:lock w:val="sdtLocked"/>
                <w:richText/>
              </w:sdtPr>
              <w:sdtContent>
                <w:p>
                  <w:pPr>
                    <w:ind w:firstLine="567"/>
                    <w:jc w:val="both"/>
                    <w:rPr>
                      <w:color w:val="000000"/>
                      <w:szCs w:val="24"/>
                      <w:lang w:eastAsia="lt-LT"/>
                    </w:rPr>
                  </w:pPr>
                  <w:sdt>
                    <w:sdtPr>
                      <w:alias w:val="Numeris"/>
                      <w:tag w:val="nr_10a195cea99c41f1a3e82aa7c35764c4"/>
                      <w:lock w:val="sdtLocked"/>
                      <w:richText/>
                    </w:sdtPr>
                    <w:sdtContent>
                      <w:r>
                        <w:rPr>
                          <w:color w:val="000000"/>
                          <w:szCs w:val="24"/>
                          <w:lang w:eastAsia="lt-LT"/>
                        </w:rPr>
                        <w:t>15</w:t>
                      </w:r>
                    </w:sdtContent>
                  </w:sdt>
                  <w:r>
                    <w:rPr>
                      <w:color w:val="000000"/>
                      <w:szCs w:val="24"/>
                      <w:lang w:eastAsia="lt-LT"/>
                    </w:rPr>
                    <w:t xml:space="preserve">. </w:t>
                  </w:r>
                  <w:r>
                    <w:rPr>
                      <w:szCs w:val="24"/>
                      <w:lang w:eastAsia="lt-LT"/>
                    </w:rPr>
                    <w:t>Mokesčio mokėtojai atleidžiami nuo mokesčio už aplinkos teršimą pakuočių atliekomis už pripildytų pakuočių kiekį, kuris proporcingas įvykdytos pakuočių atliekų naudojimo ir (ar) perdirbimo užduoties daliai. Norėdami pasinaudoti mokesčio lengvata, mokesčio mokėtojai turi turėti dokumentus ir (ar) patvirtinimus, patvirtinančius pakuočių atliekų naudojimo ir (ar) perdirbimo užduoties įvykdymą, Tvarkos aprašo 16 punkte nustatyta tvarka.</w:t>
                  </w:r>
                </w:p>
              </w:sdtContent>
            </w:sdt>
            <w:sdt>
              <w:sdtPr>
                <w:alias w:val="16 p."/>
                <w:tag w:val="part_5f8c295a0f3d4695a99cfad0ecd9bc96"/>
                <w:lock w:val="sdtLocked"/>
                <w:richText/>
              </w:sdtPr>
              <w:sdtContent>
                <w:p>
                  <w:pPr>
                    <w:ind w:firstLine="567"/>
                    <w:jc w:val="both"/>
                    <w:rPr>
                      <w:color w:val="000000"/>
                      <w:szCs w:val="24"/>
                      <w:lang w:eastAsia="lt-LT"/>
                    </w:rPr>
                  </w:pPr>
                  <w:sdt>
                    <w:sdtPr>
                      <w:alias w:val="Numeris"/>
                      <w:tag w:val="nr_5f8c295a0f3d4695a99cfad0ecd9bc96"/>
                      <w:lock w:val="sdtLocked"/>
                      <w:richText/>
                    </w:sdtPr>
                    <w:sdtContent>
                      <w:r>
                        <w:rPr>
                          <w:color w:val="000000"/>
                          <w:szCs w:val="24"/>
                          <w:lang w:eastAsia="lt-LT"/>
                        </w:rPr>
                        <w:t>16</w:t>
                      </w:r>
                    </w:sdtContent>
                  </w:sdt>
                  <w:r>
                    <w:rPr>
                      <w:color w:val="000000"/>
                      <w:szCs w:val="24"/>
                      <w:lang w:eastAsia="lt-LT"/>
                    </w:rPr>
                    <w:t>. Dokumentų ir (ar) patvirtinimų, patvirtinančių pakuočių atliekų naudojimo ir (ar) perdirbimo užduoties įvykdymą, turėjimo tvarka:</w:t>
                  </w:r>
                </w:p>
                <w:sdt>
                  <w:sdtPr>
                    <w:alias w:val="16.1 pp."/>
                    <w:tag w:val="part_08dc7ccbc3a742e5a394ef139c23dda9"/>
                    <w:lock w:val="sdtLocked"/>
                    <w:richText/>
                  </w:sdtPr>
                  <w:sdtContent>
                    <w:p>
                      <w:pPr>
                        <w:ind w:firstLine="567"/>
                        <w:jc w:val="both"/>
                        <w:rPr>
                          <w:color w:val="000000"/>
                          <w:szCs w:val="24"/>
                          <w:lang w:eastAsia="lt-LT"/>
                        </w:rPr>
                      </w:pPr>
                      <w:sdt>
                        <w:sdtPr>
                          <w:alias w:val="Numeris"/>
                          <w:tag w:val="nr_08dc7ccbc3a742e5a394ef139c23dda9"/>
                          <w:lock w:val="sdtLocked"/>
                          <w:richText/>
                        </w:sdtPr>
                        <w:sdtContent>
                          <w:r>
                            <w:rPr>
                              <w:color w:val="000000"/>
                              <w:szCs w:val="24"/>
                              <w:lang w:eastAsia="lt-LT"/>
                            </w:rPr>
                            <w:t>16.1</w:t>
                          </w:r>
                        </w:sdtContent>
                      </w:sdt>
                      <w:r>
                        <w:rPr>
                          <w:color w:val="000000"/>
                          <w:szCs w:val="24"/>
                          <w:lang w:eastAsia="lt-LT"/>
                        </w:rPr>
                        <w:t xml:space="preserve">. </w:t>
                      </w:r>
                      <w:r>
                        <w:rPr>
                          <w:szCs w:val="24"/>
                          <w:lang w:eastAsia="lt-LT"/>
                        </w:rPr>
                        <w:t xml:space="preserve">Mokesčio mokėtojui dokumentai ir (ar) patvirtinimai, patvirtinantys pakuočių atliekų naudojimo ir (ar) perdirbimo užduoties įvykdymą, išrašomi vadovaujantis </w:t>
                      </w:r>
                      <w:r>
                        <w:rPr>
                          <w:color w:val="000000"/>
                          <w:szCs w:val="24"/>
                          <w:lang w:eastAsia="lt-LT"/>
                        </w:rPr>
                        <w:t>Gaminių ir (ar) pakuočių atliekų sutvarkymą įrodančių dokumentų išrašymo tvarkos aprašo, patvirtinto Lietuvos Respublikos aplinkos ministro 2013 m. gegužės 20 d. įsakymu Nr. D1-359 „</w:t>
                      </w:r>
                      <w:r>
                        <w:rPr>
                          <w:bCs/>
                          <w:color w:val="000000"/>
                          <w:szCs w:val="24"/>
                          <w:lang w:eastAsia="lt-LT"/>
                        </w:rPr>
                        <w:t xml:space="preserve">Dėl Gaminių ir (ar) pakuočių atliekų sutvarkymą įrodančių dokumentų išrašymo tvarkos aprašo patvirtinimo“, arba </w:t>
                      </w:r>
                      <w:r>
                        <w:rPr>
                          <w:color w:val="000000"/>
                          <w:lang w:eastAsia="lt-LT"/>
                        </w:rPr>
                        <w:t>Tvarkos, kai negalima naudotis vieninga gaminių, pakuočių ir atliekų apskaitos informacine sistema, aprašo, patvirtinto</w:t>
                      </w:r>
                      <w:r>
                        <w:rPr>
                          <w:szCs w:val="24"/>
                          <w:lang w:eastAsia="lt-LT"/>
                        </w:rPr>
                        <w:t xml:space="preserve"> Lietuvos Respublikos aplinkos ministro 2018 m. sausio 31 d. įsakymu Nr. D1-73 „</w:t>
                      </w:r>
                      <w:r>
                        <w:rPr>
                          <w:bCs/>
                          <w:szCs w:val="24"/>
                          <w:lang w:eastAsia="lt-LT"/>
                        </w:rPr>
                        <w:t>Dėl Tvarkos, kai negalima naudotis vieninga gaminių, pakuočių ir atliekų apskaitos informacine sistema, aprašo patvirtinimo“,</w:t>
                      </w:r>
                      <w:r>
                        <w:rPr>
                          <w:bCs/>
                          <w:color w:val="000000"/>
                          <w:szCs w:val="24"/>
                          <w:lang w:eastAsia="lt-LT"/>
                        </w:rPr>
                        <w:t xml:space="preserve"> nustatyta tvarka</w:t>
                      </w:r>
                      <w:r>
                        <w:rPr>
                          <w:color w:val="000000"/>
                          <w:szCs w:val="24"/>
                          <w:lang w:eastAsia="lt-LT"/>
                        </w:rPr>
                        <w:t>;</w:t>
                      </w:r>
                    </w:p>
                  </w:sdtContent>
                </w:sdt>
                <w:sdt>
                  <w:sdtPr>
                    <w:alias w:val="16.2 pp."/>
                    <w:tag w:val="part_1aeb901f45c74232879737c182c70ae6"/>
                    <w:lock w:val="sdtLocked"/>
                    <w:richText/>
                  </w:sdtPr>
                  <w:sdtContent>
                    <w:p>
                      <w:pPr>
                        <w:ind w:firstLine="567"/>
                        <w:jc w:val="both"/>
                        <w:rPr>
                          <w:color w:val="000000"/>
                          <w:szCs w:val="24"/>
                          <w:lang w:eastAsia="lt-LT"/>
                        </w:rPr>
                      </w:pPr>
                      <w:sdt>
                        <w:sdtPr>
                          <w:alias w:val="Numeris"/>
                          <w:tag w:val="nr_1aeb901f45c74232879737c182c70ae6"/>
                          <w:lock w:val="sdtLocked"/>
                          <w:richText/>
                        </w:sdtPr>
                        <w:sdtContent>
                          <w:r>
                            <w:rPr>
                              <w:color w:val="000000"/>
                              <w:szCs w:val="24"/>
                              <w:lang w:eastAsia="lt-LT"/>
                            </w:rPr>
                            <w:t>16.2</w:t>
                          </w:r>
                        </w:sdtContent>
                      </w:sdt>
                      <w:r>
                        <w:rPr>
                          <w:color w:val="000000"/>
                          <w:szCs w:val="24"/>
                          <w:lang w:eastAsia="lt-LT"/>
                        </w:rPr>
                        <w:t>. a</w:t>
                      </w:r>
                      <w:r>
                        <w:rPr>
                          <w:color w:val="000000"/>
                          <w:lang w:eastAsia="lt-LT"/>
                        </w:rPr>
                        <w:t xml:space="preserve">plinkos apsaugos valstybinės kontrolės </w:t>
                      </w:r>
                      <w:r>
                        <w:rPr>
                          <w:color w:val="000000"/>
                          <w:szCs w:val="24"/>
                          <w:lang w:eastAsia="lt-LT"/>
                        </w:rPr>
                        <w:t>p</w:t>
                      </w:r>
                      <w:r>
                        <w:rPr>
                          <w:lang w:eastAsia="lt-LT"/>
                        </w:rPr>
                        <w:t>areigūnas, atlikdamas mokestinį patikrinimą, nustato, ar mokesčio mokėtojas galėjo pasinaudoti mokestine lengvata</w:t>
                      </w:r>
                      <w:r>
                        <w:rPr>
                          <w:color w:val="000000"/>
                          <w:szCs w:val="24"/>
                          <w:lang w:eastAsia="lt-LT"/>
                        </w:rPr>
                        <w:t>.</w:t>
                      </w:r>
                    </w:p>
                  </w:sdtContent>
                </w:sdt>
              </w:sdtContent>
            </w:sdt>
            <w:sdt>
              <w:sdtPr>
                <w:alias w:val="17 p."/>
                <w:tag w:val="part_894b402d58ec4aabbb3d8bb131e37f0d"/>
                <w:lock w:val="sdtLocked"/>
                <w:richText/>
              </w:sdtPr>
              <w:sdtContent>
                <w:p>
                  <w:pPr>
                    <w:ind w:firstLine="567"/>
                    <w:jc w:val="both"/>
                    <w:rPr>
                      <w:color w:val="000000"/>
                      <w:szCs w:val="24"/>
                      <w:lang w:eastAsia="lt-LT"/>
                    </w:rPr>
                  </w:pPr>
                  <w:sdt>
                    <w:sdtPr>
                      <w:alias w:val="Numeris"/>
                      <w:tag w:val="nr_894b402d58ec4aabbb3d8bb131e37f0d"/>
                      <w:lock w:val="sdtLocked"/>
                      <w:richText/>
                    </w:sdtPr>
                    <w:sdtContent>
                      <w:r>
                        <w:rPr>
                          <w:color w:val="000000"/>
                          <w:szCs w:val="24"/>
                          <w:lang w:eastAsia="lt-LT"/>
                        </w:rPr>
                        <w:t>17</w:t>
                      </w:r>
                    </w:sdtContent>
                  </w:sdt>
                  <w:r>
                    <w:rPr>
                      <w:color w:val="000000"/>
                      <w:szCs w:val="24"/>
                      <w:lang w:eastAsia="lt-LT"/>
                    </w:rPr>
                    <w:t>. Mokesčio mokėtojas, kuris tiekia vidaus rinkai pripildytas daugkartines pakuotes, atleidžiamas nuo mokesčio už aplinkos teršimą pakuočių atliekomis, įvykdęs daugkartinių pakuočių surinkimo ir daugkartinio naudojimo užduotį. Užduoties įvykdymą patvirtina sutartys dėl daugkartinių pakuočių sugrąžinimo, surinkimo ar nuomos; naudotų daugkartinių pakuočių įsigijimo dokumentai; kiti dokumentai, pagrindžiantys daugkartinių pakuočių susigrąžinimą (PVM sąskaitos faktūros, sąskaitos faktūros ir pan.).</w:t>
                  </w:r>
                </w:p>
              </w:sdtContent>
            </w:sdt>
            <w:sdt>
              <w:sdtPr>
                <w:alias w:val="18 p."/>
                <w:tag w:val="part_6b25582ed0e94e8fbb462000b2d95b8f"/>
                <w:lock w:val="sdtLocked"/>
                <w:richText/>
              </w:sdtPr>
              <w:sdtContent>
                <w:p>
                  <w:pPr>
                    <w:ind w:firstLine="567"/>
                    <w:jc w:val="both"/>
                    <w:rPr>
                      <w:color w:val="000000"/>
                    </w:rPr>
                  </w:pPr>
                  <w:sdt>
                    <w:sdtPr>
                      <w:alias w:val="Numeris"/>
                      <w:tag w:val="nr_6b25582ed0e94e8fbb462000b2d95b8f"/>
                      <w:lock w:val="sdtLocked"/>
                      <w:richText/>
                    </w:sdtPr>
                    <w:sdtContent>
                      <w:r>
                        <w:rPr>
                          <w:color w:val="000000"/>
                          <w:szCs w:val="24"/>
                          <w:lang w:eastAsia="lt-LT"/>
                        </w:rPr>
                        <w:t>18</w:t>
                      </w:r>
                    </w:sdtContent>
                  </w:sdt>
                  <w:r>
                    <w:rPr>
                      <w:color w:val="000000"/>
                      <w:szCs w:val="24"/>
                      <w:lang w:eastAsia="lt-LT"/>
                    </w:rPr>
                    <w:t>. Daugkartinių pakuočių surinkimo ir daugkartinio naudojimo užduoties įvykdymą patvirtinantys dokumentai saugomi pas mokesčio mokėtoją ir pateikiami patikrinimą atliekančiam a</w:t>
                  </w:r>
                  <w:r>
                    <w:rPr>
                      <w:color w:val="000000"/>
                      <w:lang w:eastAsia="lt-LT"/>
                    </w:rPr>
                    <w:t xml:space="preserve">plinkos apsaugos valstybinės kontrolės </w:t>
                  </w:r>
                  <w:r>
                    <w:rPr>
                      <w:color w:val="000000"/>
                      <w:szCs w:val="24"/>
                      <w:lang w:eastAsia="lt-LT"/>
                    </w:rPr>
                    <w:t>pareigūnui, kai jis to pareikalauja.</w:t>
                  </w:r>
                </w:p>
              </w:sdtContent>
            </w:sdt>
          </w:sdtContent>
        </w:sdt>
        <w:sdt>
          <w:sdtPr>
            <w:alias w:val="pabaiga"/>
            <w:tag w:val="part_e24f332ec3c848718ef9a9447b5a278b"/>
            <w:lock w:val="sdtLocked"/>
            <w:richText/>
          </w:sdtPr>
          <w:sdtContent>
            <w:p>
              <w:pPr>
                <w:widowControl w:val="0"/>
                <w:jc w:val="center"/>
                <w:rPr>
                  <w:color w:val="000000"/>
                </w:rPr>
              </w:pPr>
              <w:r>
                <w:rPr>
                  <w:color w:val="000000"/>
                </w:rPr>
                <w:t>_________________</w:t>
              </w:r>
            </w:p>
            <w:p>
              <w:pPr>
                <w:tabs>
                  <w:tab w:val="center" w:pos="4153"/>
                  <w:tab w:val="right" w:pos="9100"/>
                </w:tabs>
                <w:suppressAutoHyphens/>
                <w:rPr>
                  <w:rFonts w:ascii="Tahoma" w:hAnsi="Tahoma"/>
                  <w:spacing w:val="10"/>
                  <w:sz w:val="20"/>
                  <w:lang w:eastAsia="lt-LT"/>
                </w:rPr>
              </w:pPr>
            </w:p>
          </w:sdtContent>
        </w:sdt>
      </w:sdtContent>
    </w:sdt>
    <w:sdt>
      <w:sdtPr>
        <w:alias w:val="patvirtinta"/>
        <w:tag w:val="part_93427f80073c45188aadbc1016b99bf6"/>
        <w:lock w:val="sdtLocked"/>
        <w:richText/>
      </w:sdtPr>
      <w:sdtContent>
        <w:p>
          <w:pPr>
            <w:suppressAutoHyphens/>
            <w:ind w:left="5670"/>
            <w:sectPr>
              <w:footnotePr>
                <w:pos w:val="beneathText"/>
              </w:footnotePr>
              <w:pgSz w:w="11905" w:h="16837"/>
              <w:pgMar w:top="1701" w:right="567" w:bottom="1134" w:left="1701" w:header="567" w:footer="919" w:gutter="0"/>
              <w:pgNumType w:start="1"/>
              <w:cols w:space="1296"/>
              <w:formProt w:val="0"/>
              <w:titlePg/>
              <w:docGrid w:linePitch="360"/>
            </w:sectPr>
          </w:pPr>
        </w:p>
        <w:p>
          <w:pPr>
            <w:suppressAutoHyphens/>
            <w:ind w:left="5670"/>
            <w:rPr>
              <w:bCs/>
              <w:lang w:eastAsia="lt-LT"/>
            </w:rPr>
          </w:pPr>
          <w:r>
            <w:rPr>
              <w:bCs/>
              <w:lang w:eastAsia="lt-LT"/>
            </w:rPr>
            <w:t>PATVIRTINTA</w:t>
          </w:r>
        </w:p>
        <w:p>
          <w:pPr>
            <w:suppressAutoHyphens/>
            <w:ind w:left="5670"/>
            <w:rPr>
              <w:bCs/>
              <w:lang w:eastAsia="lt-LT"/>
            </w:rPr>
          </w:pPr>
          <w:r>
            <w:rPr>
              <w:bCs/>
              <w:lang w:eastAsia="lt-LT"/>
            </w:rPr>
            <w:t>Lietuvos Respublikos aplinkos ministro</w:t>
          </w:r>
        </w:p>
        <w:p>
          <w:pPr>
            <w:suppressAutoHyphens/>
            <w:ind w:left="5670"/>
            <w:rPr>
              <w:bCs/>
              <w:lang w:eastAsia="lt-LT"/>
            </w:rPr>
          </w:pPr>
          <w:r>
            <w:rPr>
              <w:bCs/>
              <w:lang w:eastAsia="lt-LT"/>
            </w:rPr>
            <w:t xml:space="preserve">2021 m. kovo 10 d. </w:t>
          </w:r>
        </w:p>
        <w:p>
          <w:pPr>
            <w:suppressAutoHyphens/>
            <w:ind w:left="5670"/>
            <w:rPr>
              <w:bCs/>
              <w:lang w:eastAsia="lt-LT"/>
            </w:rPr>
          </w:pPr>
          <w:r>
            <w:rPr>
              <w:bCs/>
              <w:lang w:eastAsia="lt-LT"/>
            </w:rPr>
            <w:t>įsakymu Nr. D1-143</w:t>
          </w:r>
        </w:p>
        <w:p>
          <w:pPr>
            <w:suppressAutoHyphens/>
            <w:rPr>
              <w:bCs/>
              <w:lang w:eastAsia="lt-LT"/>
            </w:rPr>
          </w:pPr>
        </w:p>
        <w:p>
          <w:pPr>
            <w:suppressAutoHyphens/>
            <w:jc w:val="center"/>
            <w:rPr>
              <w:b/>
              <w:bCs/>
              <w:lang w:eastAsia="lt-LT"/>
            </w:rPr>
          </w:pPr>
          <w:sdt>
            <w:sdtPr>
              <w:alias w:val="Pavadinimas"/>
              <w:tag w:val="title_93427f80073c45188aadbc1016b99bf6"/>
              <w:lock w:val="sdtLocked"/>
              <w:richText/>
            </w:sdtPr>
            <w:sdtContent>
              <w:r>
                <w:rPr>
                  <w:b/>
                  <w:bCs/>
                  <w:lang w:eastAsia="lt-LT"/>
                </w:rPr>
                <w:t xml:space="preserve">MOKESČIO UŽ APLINKOS TERŠIMĄ IR NUSLĖPTĄ TARŠĄ </w:t>
              </w:r>
              <w:r>
                <w:rPr>
                  <w:b/>
                  <w:lang w:eastAsia="lt-LT"/>
                </w:rPr>
                <w:t>SĄVARTYNE ŠALINAMOMIS ATLIEKOMIS</w:t>
              </w:r>
              <w:r>
                <w:rPr>
                  <w:b/>
                  <w:bCs/>
                  <w:lang w:eastAsia="lt-LT"/>
                </w:rPr>
                <w:t xml:space="preserve"> APSKAIČIAVIMO TVARKOS APRAŠAS</w:t>
              </w:r>
            </w:sdtContent>
          </w:sdt>
        </w:p>
        <w:p>
          <w:pPr>
            <w:suppressAutoHyphens/>
            <w:jc w:val="center"/>
            <w:rPr>
              <w:bCs/>
              <w:lang w:eastAsia="lt-LT"/>
            </w:rPr>
          </w:pPr>
        </w:p>
        <w:sdt>
          <w:sdtPr>
            <w:alias w:val="1 p."/>
            <w:tag w:val="part_516ad5adc3d44bb8bab03407fad42447"/>
            <w:lock w:val="sdtLocked"/>
            <w:richText/>
          </w:sdtPr>
          <w:sdtContent>
            <w:p>
              <w:pPr>
                <w:suppressAutoHyphens/>
                <w:ind w:firstLine="567"/>
                <w:jc w:val="both"/>
                <w:rPr>
                  <w:lang w:eastAsia="lt-LT"/>
                </w:rPr>
              </w:pPr>
              <w:sdt>
                <w:sdtPr>
                  <w:alias w:val="Numeris"/>
                  <w:tag w:val="nr_516ad5adc3d44bb8bab03407fad42447"/>
                  <w:lock w:val="sdtLocked"/>
                  <w:richText/>
                </w:sdtPr>
                <w:sdtContent>
                  <w:r>
                    <w:rPr>
                      <w:lang w:eastAsia="lt-LT"/>
                    </w:rPr>
                    <w:t>1</w:t>
                  </w:r>
                </w:sdtContent>
              </w:sdt>
              <w:r>
                <w:rPr>
                  <w:lang w:eastAsia="lt-LT"/>
                </w:rPr>
                <w:t>. Mokesčio už aplinkos teršimą ir nuslėptą taršą sąvartyne šalinamomis atliekomis apskaičiavimo tvarkos aprašas (toliau – Tvarkos aprašas) nustato mokesčio už aplinkos teršimą ir nuslėptą taršą sąvartyne šalinamomis atliekomis apskaičiavimo tvarką.</w:t>
              </w:r>
            </w:p>
          </w:sdtContent>
        </w:sdt>
        <w:sdt>
          <w:sdtPr>
            <w:alias w:val="2 p."/>
            <w:tag w:val="part_96d3b1a19ffb4b198d14205c437055db"/>
            <w:lock w:val="sdtLocked"/>
            <w:richText/>
          </w:sdtPr>
          <w:sdtContent>
            <w:p>
              <w:pPr>
                <w:suppressAutoHyphens/>
                <w:ind w:firstLine="567"/>
                <w:jc w:val="both"/>
                <w:rPr>
                  <w:lang w:eastAsia="lt-LT"/>
                </w:rPr>
              </w:pPr>
              <w:sdt>
                <w:sdtPr>
                  <w:alias w:val="Numeris"/>
                  <w:tag w:val="nr_96d3b1a19ffb4b198d14205c437055db"/>
                  <w:lock w:val="sdtLocked"/>
                  <w:richText/>
                </w:sdtPr>
                <w:sdtContent>
                  <w:r>
                    <w:rPr>
                      <w:lang w:eastAsia="lt-LT"/>
                    </w:rPr>
                    <w:t>2</w:t>
                  </w:r>
                </w:sdtContent>
              </w:sdt>
              <w:r>
                <w:rPr>
                  <w:lang w:eastAsia="lt-LT"/>
                </w:rPr>
                <w:t>. Tvarkos apraše vartojamos sąvokos atitinka Lietuvos Respublikos mokesčio už aplinkos teršimą įstatyme ir Lietuvos Respublikos atliekų tvarkymo įstatyme įtvirtintas sąvokas.</w:t>
              </w:r>
            </w:p>
          </w:sdtContent>
        </w:sdt>
        <w:sdt>
          <w:sdtPr>
            <w:alias w:val="3 p."/>
            <w:tag w:val="part_d3993bfaf74e4cc7a6c1357b0863eae7"/>
            <w:lock w:val="sdtLocked"/>
            <w:richText/>
          </w:sdtPr>
          <w:sdtContent>
            <w:p>
              <w:pPr>
                <w:suppressAutoHyphens/>
                <w:ind w:firstLine="567"/>
                <w:jc w:val="both"/>
                <w:rPr>
                  <w:lang w:eastAsia="lt-LT"/>
                </w:rPr>
              </w:pPr>
              <w:sdt>
                <w:sdtPr>
                  <w:alias w:val="Numeris"/>
                  <w:tag w:val="nr_d3993bfaf74e4cc7a6c1357b0863eae7"/>
                  <w:lock w:val="sdtLocked"/>
                  <w:richText/>
                </w:sdtPr>
                <w:sdtContent>
                  <w:r>
                    <w:rPr>
                      <w:lang w:eastAsia="lt-LT"/>
                    </w:rPr>
                    <w:t>3</w:t>
                  </w:r>
                </w:sdtContent>
              </w:sdt>
              <w:r>
                <w:rPr>
                  <w:lang w:eastAsia="lt-LT"/>
                </w:rPr>
                <w:t>. Mokestis už aplinkos teršimą sąvartyne šalinamomis atitinkamos rūšies atliekomis apskaičiuojamas pagal formulę:</w:t>
              </w:r>
            </w:p>
            <w:p>
              <w:pPr>
                <w:suppressAutoHyphens/>
                <w:ind w:firstLine="567"/>
                <w:jc w:val="both"/>
                <w:rPr>
                  <w:lang w:eastAsia="lt-LT"/>
                </w:rPr>
              </w:pPr>
            </w:p>
            <w:p>
              <w:pPr>
                <w:suppressAutoHyphens/>
                <w:ind w:firstLine="567"/>
                <w:jc w:val="both"/>
                <w:rPr>
                  <w:lang w:eastAsia="lt-LT"/>
                </w:rPr>
              </w:pPr>
              <w:r>
                <w:rPr>
                  <w:lang w:eastAsia="lt-LT"/>
                </w:rPr>
                <w:t>M = Q x T x k</w:t>
              </w:r>
            </w:p>
            <w:p>
              <w:pPr>
                <w:suppressAutoHyphens/>
                <w:ind w:firstLine="567"/>
                <w:jc w:val="both"/>
                <w:rPr>
                  <w:lang w:eastAsia="lt-LT"/>
                </w:rPr>
              </w:pPr>
            </w:p>
            <w:p>
              <w:pPr>
                <w:suppressAutoHyphens/>
                <w:ind w:firstLine="567"/>
                <w:jc w:val="both"/>
                <w:rPr>
                  <w:lang w:eastAsia="lt-LT"/>
                </w:rPr>
              </w:pPr>
              <w:r>
                <w:rPr>
                  <w:lang w:eastAsia="lt-LT"/>
                </w:rPr>
                <w:t>kur:</w:t>
              </w:r>
            </w:p>
            <w:p>
              <w:pPr>
                <w:suppressAutoHyphens/>
                <w:ind w:firstLine="567"/>
                <w:jc w:val="both"/>
                <w:rPr>
                  <w:lang w:eastAsia="lt-LT"/>
                </w:rPr>
              </w:pPr>
              <w:r>
                <w:rPr>
                  <w:lang w:eastAsia="lt-LT"/>
                </w:rPr>
                <w:t>M – mokestis už aplinkos teršimą sąvartyne šalinamomis atitinkamos rūšies atliekomis (Eur);</w:t>
              </w:r>
            </w:p>
            <w:p>
              <w:pPr>
                <w:suppressAutoHyphens/>
                <w:ind w:firstLine="567"/>
                <w:jc w:val="both"/>
                <w:rPr>
                  <w:lang w:eastAsia="lt-LT"/>
                </w:rPr>
              </w:pPr>
              <w:r>
                <w:rPr>
                  <w:lang w:eastAsia="lt-LT"/>
                </w:rPr>
                <w:t>Q – mokesčio mokėtojo per mokestinį laikotarpį sąvartyne pašalintas atitinkamos rūšies atliekų kiekis (t);</w:t>
              </w:r>
            </w:p>
            <w:p>
              <w:pPr>
                <w:suppressAutoHyphens/>
                <w:ind w:firstLine="567"/>
                <w:jc w:val="both"/>
                <w:rPr>
                  <w:lang w:eastAsia="lt-LT"/>
                </w:rPr>
              </w:pPr>
              <w:r>
                <w:rPr>
                  <w:lang w:eastAsia="lt-LT"/>
                </w:rPr>
                <w:t>T – mokesčio tarifas, nustatytas Mokesčio už aplinkos teršimą įstatymo 8 priede;</w:t>
              </w:r>
            </w:p>
            <w:p>
              <w:pPr>
                <w:suppressAutoHyphens/>
                <w:ind w:firstLine="567"/>
                <w:jc w:val="both"/>
                <w:rPr>
                  <w:lang w:eastAsia="lt-LT"/>
                </w:rPr>
              </w:pPr>
              <w:r>
                <w:rPr>
                  <w:rFonts w:eastAsia="Calibri"/>
                  <w:szCs w:val="24"/>
                  <w:lang w:eastAsia="lt-LT"/>
                </w:rPr>
                <w:t>k – mokestinio laikotarpio indeksavimo koeficientas.</w:t>
              </w:r>
            </w:p>
          </w:sdtContent>
        </w:sdt>
        <w:sdt>
          <w:sdtPr>
            <w:alias w:val="4 p."/>
            <w:tag w:val="part_4441f4eff8854629aacc10d489988463"/>
            <w:lock w:val="sdtLocked"/>
            <w:richText/>
          </w:sdtPr>
          <w:sdtContent>
            <w:p>
              <w:pPr>
                <w:suppressAutoHyphens/>
                <w:ind w:firstLine="567"/>
                <w:jc w:val="both"/>
                <w:rPr>
                  <w:lang w:eastAsia="lt-LT"/>
                </w:rPr>
              </w:pPr>
              <w:sdt>
                <w:sdtPr>
                  <w:alias w:val="Numeris"/>
                  <w:tag w:val="nr_4441f4eff8854629aacc10d489988463"/>
                  <w:lock w:val="sdtLocked"/>
                  <w:richText/>
                </w:sdtPr>
                <w:sdtContent>
                  <w:r>
                    <w:rPr>
                      <w:lang w:eastAsia="lt-LT"/>
                    </w:rPr>
                    <w:t>4</w:t>
                  </w:r>
                </w:sdtContent>
              </w:sdt>
              <w:r>
                <w:rPr>
                  <w:lang w:eastAsia="lt-LT"/>
                </w:rPr>
                <w:t>. Mokestis už nuslėptas sąvartyne šalinamas atitinkamos rūšies atliekas apskaičiuojamas pagal formulę:</w:t>
              </w:r>
            </w:p>
            <w:p>
              <w:pPr>
                <w:suppressAutoHyphens/>
                <w:ind w:firstLine="567"/>
                <w:jc w:val="both"/>
                <w:rPr>
                  <w:lang w:eastAsia="lt-LT"/>
                </w:rPr>
              </w:pPr>
            </w:p>
            <w:p>
              <w:pPr>
                <w:suppressAutoHyphens/>
                <w:ind w:firstLine="567"/>
                <w:jc w:val="both"/>
                <w:rPr>
                  <w:lang w:eastAsia="lt-LT"/>
                </w:rPr>
              </w:pPr>
              <w:r>
                <w:rPr>
                  <w:lang w:eastAsia="lt-LT"/>
                </w:rPr>
                <w:t>M</w:t>
              </w:r>
              <w:r>
                <w:rPr>
                  <w:vertAlign w:val="subscript"/>
                  <w:lang w:eastAsia="lt-LT"/>
                </w:rPr>
                <w:t>NUS</w:t>
              </w:r>
              <w:r>
                <w:rPr>
                  <w:lang w:eastAsia="lt-LT"/>
                </w:rPr>
                <w:t xml:space="preserve"> = Q</w:t>
              </w:r>
              <w:r>
                <w:rPr>
                  <w:vertAlign w:val="subscript"/>
                  <w:lang w:eastAsia="lt-LT"/>
                </w:rPr>
                <w:t>NUS</w:t>
              </w:r>
              <w:r>
                <w:rPr>
                  <w:lang w:eastAsia="lt-LT"/>
                </w:rPr>
                <w:t xml:space="preserve"> x T</w:t>
              </w:r>
              <w:r>
                <w:rPr>
                  <w:iCs/>
                  <w:lang w:eastAsia="lt-LT"/>
                </w:rPr>
                <w:t xml:space="preserve"> x k x </w:t>
              </w:r>
              <w:r>
                <w:rPr>
                  <w:lang w:eastAsia="lt-LT"/>
                </w:rPr>
                <w:t>2</w:t>
              </w:r>
            </w:p>
            <w:p>
              <w:pPr>
                <w:suppressAutoHyphens/>
                <w:ind w:firstLine="567"/>
                <w:jc w:val="both"/>
                <w:rPr>
                  <w:lang w:eastAsia="lt-LT"/>
                </w:rPr>
              </w:pPr>
            </w:p>
            <w:p>
              <w:pPr>
                <w:suppressAutoHyphens/>
                <w:ind w:firstLine="567"/>
                <w:jc w:val="both"/>
                <w:rPr>
                  <w:lang w:eastAsia="lt-LT"/>
                </w:rPr>
              </w:pPr>
              <w:r>
                <w:rPr>
                  <w:lang w:eastAsia="lt-LT"/>
                </w:rPr>
                <w:t>kur:</w:t>
              </w:r>
            </w:p>
            <w:p>
              <w:pPr>
                <w:suppressAutoHyphens/>
                <w:ind w:firstLine="567"/>
                <w:jc w:val="both"/>
                <w:rPr>
                  <w:lang w:eastAsia="lt-LT"/>
                </w:rPr>
              </w:pPr>
              <w:r>
                <w:rPr>
                  <w:lang w:eastAsia="lt-LT"/>
                </w:rPr>
                <w:t>M</w:t>
              </w:r>
              <w:r>
                <w:rPr>
                  <w:vertAlign w:val="subscript"/>
                  <w:lang w:eastAsia="lt-LT"/>
                </w:rPr>
                <w:t>NUS</w:t>
              </w:r>
              <w:r>
                <w:rPr>
                  <w:lang w:eastAsia="lt-LT"/>
                </w:rPr>
                <w:t xml:space="preserve"> – mokestis už nuslėptą taršą sąvartyne šalinamomis atitinkamos rūšies atliekomis (Eur);</w:t>
              </w:r>
            </w:p>
            <w:p>
              <w:pPr>
                <w:suppressAutoHyphens/>
                <w:ind w:firstLine="567"/>
                <w:jc w:val="both"/>
                <w:rPr>
                  <w:lang w:eastAsia="lt-LT"/>
                </w:rPr>
              </w:pPr>
              <w:r>
                <w:rPr>
                  <w:lang w:eastAsia="lt-LT"/>
                </w:rPr>
                <w:t>Q</w:t>
              </w:r>
              <w:r>
                <w:rPr>
                  <w:vertAlign w:val="subscript"/>
                  <w:lang w:eastAsia="lt-LT"/>
                </w:rPr>
                <w:t>NUS</w:t>
              </w:r>
              <w:r>
                <w:rPr>
                  <w:lang w:eastAsia="lt-LT"/>
                </w:rPr>
                <w:t xml:space="preserve"> – nuslėptas sąvartyne šalinamų atitinkamos rūšies atliekų kiekis (t);</w:t>
              </w:r>
            </w:p>
            <w:p>
              <w:pPr>
                <w:suppressAutoHyphens/>
                <w:ind w:firstLine="567"/>
                <w:jc w:val="both"/>
                <w:rPr>
                  <w:lang w:eastAsia="lt-LT"/>
                </w:rPr>
              </w:pPr>
              <w:r>
                <w:rPr>
                  <w:lang w:eastAsia="lt-LT"/>
                </w:rPr>
                <w:t>T – mokesčio tarifas, nustatytas Mokesčio už aplinkos teršimą įstatymo 8 priede;</w:t>
              </w:r>
            </w:p>
            <w:p>
              <w:pPr>
                <w:suppressAutoHyphens/>
                <w:ind w:firstLine="567"/>
                <w:jc w:val="both"/>
                <w:rPr>
                  <w:lang w:eastAsia="lt-LT"/>
                </w:rPr>
              </w:pPr>
              <w:r>
                <w:rPr>
                  <w:rFonts w:eastAsia="Calibri"/>
                  <w:szCs w:val="24"/>
                  <w:lang w:eastAsia="lt-LT"/>
                </w:rPr>
                <w:t>k – mokestinio laikotarpio indeksavimo koeficientas.</w:t>
              </w:r>
            </w:p>
          </w:sdtContent>
        </w:sdt>
        <w:sdt>
          <w:sdtPr>
            <w:alias w:val="5 p."/>
            <w:tag w:val="part_0416d83eb7c6446b99cbabcc35b52884"/>
            <w:lock w:val="sdtLocked"/>
            <w:richText/>
          </w:sdtPr>
          <w:sdtContent>
            <w:p>
              <w:pPr>
                <w:suppressAutoHyphens/>
                <w:ind w:firstLine="567"/>
                <w:jc w:val="both"/>
                <w:rPr>
                  <w:lang w:eastAsia="lt-LT"/>
                </w:rPr>
              </w:pPr>
              <w:sdt>
                <w:sdtPr>
                  <w:alias w:val="Numeris"/>
                  <w:tag w:val="nr_0416d83eb7c6446b99cbabcc35b52884"/>
                  <w:lock w:val="sdtLocked"/>
                  <w:richText/>
                </w:sdtPr>
                <w:sdtContent>
                  <w:r>
                    <w:rPr>
                      <w:lang w:eastAsia="lt-LT"/>
                    </w:rPr>
                    <w:t>5</w:t>
                  </w:r>
                </w:sdtContent>
              </w:sdt>
              <w:r>
                <w:rPr>
                  <w:lang w:eastAsia="lt-LT"/>
                </w:rPr>
                <w:t>. Mokestis už aplinkos teršimą sąvartyne šalinamomis atliekomis neskaičiuojamas už sąvartyne šalinamas atliekas, nurodytas Mokesčio už aplinkos teršimą įstatymo 6 straipsnio 8 dalyje.</w:t>
              </w:r>
            </w:p>
          </w:sdtContent>
        </w:sdt>
        <w:sdt>
          <w:sdtPr>
            <w:alias w:val="pabaiga"/>
            <w:tag w:val="part_d2a2ca7abc684e0e8220c088f03aa1b6"/>
            <w:lock w:val="sdtLocked"/>
            <w:richText/>
          </w:sdtPr>
          <w:sdtContent>
            <w:p>
              <w:pPr>
                <w:suppressAutoHyphens/>
                <w:jc w:val="center"/>
                <w:rPr>
                  <w:lang w:eastAsia="lt-LT"/>
                </w:rPr>
              </w:pPr>
              <w:r>
                <w:rPr>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b8a560b05211eea5a28c81c82193a8">
            <w:r w:rsidRPr="00532B9F">
              <w:rPr>
                <w:rFonts w:ascii="Times New Roman" w:eastAsia="MS Mincho" w:hAnsi="Times New Roman"/>
                <w:sz w:val="20"/>
                <w:iCs/>
                <w:color w:val="0000FF" w:themeColor="hyperlink"/>
                <w:u w:val="single"/>
              </w:rPr>
              <w:t>D1-4</w:t>
            </w:r>
          </w:fldSimple>
          <w:r>
            <w:rPr>
              <w:rFonts w:ascii="Times New Roman" w:eastAsia="MS Mincho" w:hAnsi="Times New Roman"/>
              <w:sz w:val="20"/>
              <w:iCs/>
            </w:rPr>
            <w:t>,
2024-01-11,
paskelbta TAR 2024-01-11, i. k. 2024-00361                </w:t>
          </w:r>
        </w:p>
        <w:p>
          <w:pPr>
            <w:jc w:val="both"/>
            <w:rPr>
              <w:rFonts w:ascii="Times New Roman" w:hAnsi="Times New Roman"/>
            </w:rPr>
          </w:pPr>
          <w:r>
            <w:rPr>
              <w:rFonts w:ascii="Times New Roman" w:hAnsi="Times New Roman"/>
              <w:sz w:val="20"/>
            </w:rPr>
            <w:t>Dėl Lietuvos Respublikos aplinkos ministro 2021 m. kovo 10 d. įsakymo Nr. D1-143 „Dėl mokesčio už aplinkos teršimą ir nuslėptą taršą apskaičiavimo už 2021 ir vėlesnius metus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c76cd03e9a11efbdaea558de59136c">
            <w:r w:rsidRPr="00532B9F">
              <w:rPr>
                <w:rFonts w:ascii="Times New Roman" w:eastAsia="MS Mincho" w:hAnsi="Times New Roman"/>
                <w:sz w:val="20"/>
                <w:iCs/>
                <w:color w:val="0000FF" w:themeColor="hyperlink"/>
                <w:u w:val="single"/>
              </w:rPr>
              <w:t>D1-232</w:t>
            </w:r>
          </w:fldSimple>
          <w:r>
            <w:rPr>
              <w:rFonts w:ascii="Times New Roman" w:eastAsia="MS Mincho" w:hAnsi="Times New Roman"/>
              <w:sz w:val="20"/>
              <w:iCs/>
            </w:rPr>
            <w:t>,
2024-07-10,
paskelbta TAR 2024-07-10, i. k. 2024-12817                </w:t>
          </w:r>
        </w:p>
        <w:p>
          <w:pPr>
            <w:jc w:val="both"/>
            <w:rPr>
              <w:rFonts w:ascii="Times New Roman" w:hAnsi="Times New Roman"/>
            </w:rPr>
          </w:pPr>
          <w:r>
            <w:rPr>
              <w:rFonts w:ascii="Times New Roman" w:hAnsi="Times New Roman"/>
              <w:sz w:val="20"/>
            </w:rPr>
            <w:t>Dėl Lietuvos Respublikos aplinkos ministro 2021 m. kovo 10 d. įsakymo Nr. D1-143 „Dėl Mokesčio už aplinkos teršimą ir nuslėptą taršą apskaičiavimo už 2021 ir vėlesnius metus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038070c91611f08918e1adc7c5b1ec">
            <w:r w:rsidRPr="00532B9F">
              <w:rPr>
                <w:rFonts w:ascii="Times New Roman" w:eastAsia="MS Mincho" w:hAnsi="Times New Roman"/>
                <w:sz w:val="20"/>
                <w:iCs/>
                <w:color w:val="0000FF" w:themeColor="hyperlink"/>
                <w:u w:val="single"/>
              </w:rPr>
              <w:t>D1-183</w:t>
            </w:r>
          </w:fldSimple>
          <w:r>
            <w:rPr>
              <w:rFonts w:ascii="Times New Roman" w:eastAsia="MS Mincho" w:hAnsi="Times New Roman"/>
              <w:sz w:val="20"/>
              <w:iCs/>
            </w:rPr>
            <w:t>,
2025-11-24,
paskelbta TAR 2025-11-24, i. k. 2025-19615                </w:t>
          </w:r>
        </w:p>
        <w:p>
          <w:pPr>
            <w:jc w:val="both"/>
            <w:rPr>
              <w:rFonts w:ascii="Times New Roman" w:hAnsi="Times New Roman"/>
            </w:rPr>
          </w:pPr>
          <w:r>
            <w:rPr>
              <w:rFonts w:ascii="Times New Roman" w:hAnsi="Times New Roman"/>
              <w:sz w:val="20"/>
            </w:rPr>
            <w:t>Dėl Lietuvos Respublikos aplinkos ministro 2021 m. kovo 10 d. įsakymo Nr. D1-143 „Dėl mokesčio už aplinkos teršimą ir nuslėptą taršą apskaičiavimo už 2021 ir vėlesnius metus tvarkos aprašų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701" w:right="567" w:bottom="1134" w:left="1701" w:header="567" w:footer="919"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9</w:t>
    </w:r>
    <w:r>
      <w:rPr>
        <w:spacing w:val="10"/>
        <w:szCs w:val="24"/>
        <w:lang w:eastAsia="lt-LT"/>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9100"/>
      </w:tabs>
      <w:suppressAutoHyphens/>
      <w:rPr>
        <w:rFonts w:ascii="Tahoma" w:hAnsi="Tahoma"/>
        <w:spacing w:val="10"/>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12</w:t>
    </w:r>
    <w:r>
      <w:rPr>
        <w:spacing w:val="10"/>
        <w:szCs w:val="24"/>
        <w:lang w:eastAsia="lt-LT"/>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w:t>
    </w:r>
    <w:r>
      <w:rPr>
        <w:spacing w:val="10"/>
        <w:szCs w:val="24"/>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8</w:t>
    </w:r>
    <w:r>
      <w:rPr>
        <w:spacing w:val="10"/>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7782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6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392947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1882594">
      <w:bodyDiv w:val="1"/>
      <w:marLeft w:val="0"/>
      <w:marRight w:val="0"/>
      <w:marTop w:val="0"/>
      <w:marBottom w:val="0"/>
      <w:divBdr>
        <w:top w:val="none" w:sz="0" w:space="0" w:color="auto"/>
        <w:left w:val="none" w:sz="0" w:space="0" w:color="auto"/>
        <w:bottom w:val="none" w:sz="0" w:space="0" w:color="auto"/>
        <w:right w:val="none" w:sz="0" w:space="0" w:color="auto"/>
      </w:divBdr>
    </w:div>
    <w:div w:id="1316181849">
      <w:bodyDiv w:val="1"/>
      <w:marLeft w:val="0"/>
      <w:marRight w:val="0"/>
      <w:marTop w:val="0"/>
      <w:marBottom w:val="0"/>
      <w:divBdr>
        <w:top w:val="none" w:sz="0" w:space="0" w:color="auto"/>
        <w:left w:val="none" w:sz="0" w:space="0" w:color="auto"/>
        <w:bottom w:val="none" w:sz="0" w:space="0" w:color="auto"/>
        <w:right w:val="none" w:sz="0" w:space="0" w:color="auto"/>
      </w:divBdr>
      <w:divsChild>
        <w:div w:id="1294753128">
          <w:marLeft w:val="0"/>
          <w:marRight w:val="0"/>
          <w:marTop w:val="0"/>
          <w:marBottom w:val="0"/>
          <w:divBdr>
            <w:top w:val="none" w:sz="0" w:space="0" w:color="auto"/>
            <w:left w:val="none" w:sz="0" w:space="0" w:color="auto"/>
            <w:bottom w:val="none" w:sz="0" w:space="0" w:color="auto"/>
            <w:right w:val="none" w:sz="0" w:space="0" w:color="auto"/>
          </w:divBdr>
        </w:div>
        <w:div w:id="849569294">
          <w:marLeft w:val="0"/>
          <w:marRight w:val="0"/>
          <w:marTop w:val="0"/>
          <w:marBottom w:val="0"/>
          <w:divBdr>
            <w:top w:val="none" w:sz="0" w:space="0" w:color="auto"/>
            <w:left w:val="none" w:sz="0" w:space="0" w:color="auto"/>
            <w:bottom w:val="none" w:sz="0" w:space="0" w:color="auto"/>
            <w:right w:val="none" w:sz="0" w:space="0" w:color="auto"/>
          </w:divBdr>
          <w:divsChild>
            <w:div w:id="458960632">
              <w:marLeft w:val="0"/>
              <w:marRight w:val="0"/>
              <w:marTop w:val="0"/>
              <w:marBottom w:val="0"/>
              <w:divBdr>
                <w:top w:val="none" w:sz="0" w:space="0" w:color="auto"/>
                <w:left w:val="none" w:sz="0" w:space="0" w:color="auto"/>
                <w:bottom w:val="none" w:sz="0" w:space="0" w:color="auto"/>
                <w:right w:val="none" w:sz="0" w:space="0" w:color="auto"/>
              </w:divBdr>
            </w:div>
            <w:div w:id="1927808262">
              <w:marLeft w:val="0"/>
              <w:marRight w:val="0"/>
              <w:marTop w:val="0"/>
              <w:marBottom w:val="0"/>
              <w:divBdr>
                <w:top w:val="none" w:sz="0" w:space="0" w:color="auto"/>
                <w:left w:val="none" w:sz="0" w:space="0" w:color="auto"/>
                <w:bottom w:val="none" w:sz="0" w:space="0" w:color="auto"/>
                <w:right w:val="none" w:sz="0" w:space="0" w:color="auto"/>
              </w:divBdr>
            </w:div>
          </w:divsChild>
        </w:div>
        <w:div w:id="1034232373">
          <w:marLeft w:val="0"/>
          <w:marRight w:val="0"/>
          <w:marTop w:val="0"/>
          <w:marBottom w:val="0"/>
          <w:divBdr>
            <w:top w:val="none" w:sz="0" w:space="0" w:color="auto"/>
            <w:left w:val="none" w:sz="0" w:space="0" w:color="auto"/>
            <w:bottom w:val="none" w:sz="0" w:space="0" w:color="auto"/>
            <w:right w:val="none" w:sz="0" w:space="0" w:color="auto"/>
          </w:divBdr>
        </w:div>
      </w:divsChild>
    </w:div>
    <w:div w:id="1332224293">
      <w:bodyDiv w:val="1"/>
      <w:marLeft w:val="0"/>
      <w:marRight w:val="0"/>
      <w:marTop w:val="0"/>
      <w:marBottom w:val="0"/>
      <w:divBdr>
        <w:top w:val="none" w:sz="0" w:space="0" w:color="auto"/>
        <w:left w:val="none" w:sz="0" w:space="0" w:color="auto"/>
        <w:bottom w:val="none" w:sz="0" w:space="0" w:color="auto"/>
        <w:right w:val="none" w:sz="0" w:space="0" w:color="auto"/>
      </w:divBdr>
      <w:divsChild>
        <w:div w:id="325280693">
          <w:marLeft w:val="0"/>
          <w:marRight w:val="0"/>
          <w:marTop w:val="0"/>
          <w:marBottom w:val="0"/>
          <w:divBdr>
            <w:top w:val="none" w:sz="0" w:space="0" w:color="auto"/>
            <w:left w:val="none" w:sz="0" w:space="0" w:color="auto"/>
            <w:bottom w:val="none" w:sz="0" w:space="0" w:color="auto"/>
            <w:right w:val="none" w:sz="0" w:space="0" w:color="auto"/>
          </w:divBdr>
        </w:div>
        <w:div w:id="1016731324">
          <w:marLeft w:val="0"/>
          <w:marRight w:val="0"/>
          <w:marTop w:val="0"/>
          <w:marBottom w:val="0"/>
          <w:divBdr>
            <w:top w:val="none" w:sz="0" w:space="0" w:color="auto"/>
            <w:left w:val="none" w:sz="0" w:space="0" w:color="auto"/>
            <w:bottom w:val="none" w:sz="0" w:space="0" w:color="auto"/>
            <w:right w:val="none" w:sz="0" w:space="0" w:color="auto"/>
          </w:divBdr>
        </w:div>
        <w:div w:id="10597442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image" Target="media/image13.wmf"/>
  <Relationship Id="rId15" Type="http://schemas.openxmlformats.org/officeDocument/2006/relationships/oleObject" Target="embeddings/oleObject13.bin"/>
  <Relationship Id="rId16" Type="http://schemas.openxmlformats.org/officeDocument/2006/relationships/image" Target="media/image14.wmf"/>
  <Relationship Id="rId17" Type="http://schemas.openxmlformats.org/officeDocument/2006/relationships/oleObject" Target="embeddings/oleObject14.bin"/>
  <Relationship Id="rId18" Type="http://schemas.openxmlformats.org/officeDocument/2006/relationships/image" Target="media/image15.wmf"/>
  <Relationship Id="rId19" Type="http://schemas.openxmlformats.org/officeDocument/2006/relationships/oleObject" Target="embeddings/oleObject15.bin"/>
  <Relationship Id="rId2" Type="http://schemas.openxmlformats.org/officeDocument/2006/relationships/customXml" Target="../customXml/item2.xml"/>
  <Relationship Id="rId20" Type="http://schemas.openxmlformats.org/officeDocument/2006/relationships/image" Target="media/image16.wmf"/>
  <Relationship Id="rId21" Type="http://schemas.openxmlformats.org/officeDocument/2006/relationships/oleObject" Target="embeddings/oleObject16.bin"/>
  <Relationship Id="rId22" Type="http://schemas.openxmlformats.org/officeDocument/2006/relationships/header" Target="header10.xml"/>
  <Relationship Id="rId23" Type="http://schemas.openxmlformats.org/officeDocument/2006/relationships/image" Target="media/image23.wmf"/>
  <Relationship Id="rId24" Type="http://schemas.openxmlformats.org/officeDocument/2006/relationships/oleObject" Target="embeddings/oleObject23.bin"/>
  <Relationship Id="rId25" Type="http://schemas.openxmlformats.org/officeDocument/2006/relationships/image" Target="media/image24.wmf"/>
  <Relationship Id="rId26" Type="http://schemas.openxmlformats.org/officeDocument/2006/relationships/oleObject" Target="embeddings/oleObject24.bin"/>
  <Relationship Id="rId27"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SharedWithUsers xmlns="19cf09c5-daa1-4028-a0ff-74a0be4ec5cc">
      <UserInfo>
        <DisplayName>Aidas Juozapaitis</DisplayName>
        <AccountId>65</AccountId>
        <AccountType/>
      </UserInfo>
      <UserInfo>
        <DisplayName>Virginija Kalesinskienė</DisplayName>
        <AccountId>83</AccountId>
        <AccountType/>
      </UserInfo>
      <UserInfo>
        <DisplayName>Danguolė Tunkevičienė</DisplayName>
        <AccountId>198</AccountId>
        <AccountType/>
      </UserInfo>
    </SharedWithUsers>
  </documentManagement>
</p:properties>
</file>

<file path=customXml/item4.xml><?xml version="1.0" encoding="utf-8"?>
<Parts xmlns="http://lrs.lt/TAIS/DocParts">
  <Part Type="pagrindine" DocPartId="05157bfbf3eb4aee853be657e4a863b5" PartId="bb1cf4c5fc604f5e85427a94e2a56b20">
    <Part Type="preambule" DocPartId="12a5597ac57247eca5d2b9e0946e7935" PartId="0f630c401cba4de59bbc44587b7802dc"/>
    <Part Type="punktas" Nr="1" Abbr="1 p." DocPartId="ca20eabc3d6e49d3ba9faa601d436a0f" PartId="b621de458efa414891ab20dc894ce22a">
      <Part Type="papunktis" Nr="1.1" Abbr="1.1 pp." DocPartId="c495ad26c9004f05be2649648607217d" PartId="370db0b69eb14270adb5fd81146bf232"/>
      <Part Type="papunktis" Nr="1.2" Abbr="1.2 pp." DocPartId="ba377acc38174809b82ef4376b3d8b47" PartId="974084da02c741cab7365bd230301c76"/>
      <Part Type="papunktis" Nr="1.3" Abbr="1.3 pp." DocPartId="3f9af2723fe149f1928f2c2a5ce5ebe3" PartId="c0d96006b6474886b1dd839da93bd7f5"/>
      <Part Type="papunktis" Nr="1.4" Abbr="1.4 pp." DocPartId="b5a748daba5c4f0a99c7cb174605d343" PartId="f082dedf418a4a20a2714b6bb68623a8"/>
      <Part Type="papunktis" Nr="1.5" Abbr="1.5 pp." DocPartId="5992370284bd439ab1243ef6b0f96541" PartId="fd7fddfbbaa8451bb95011508ddf7b80"/>
    </Part>
    <Part Type="punktas" Nr="2" Abbr="2 p." DocPartId="00dc929c66b840d29c82d235fff1aafd" PartId="a581309d4be143e6b2018b4a81b80d3c">
      <Part Type="papunktis" Nr="2.1" Abbr="2.1 pp." DocPartId="50b349e1ceb64c3a891a12d94606055f" PartId="8de28b96c9184729a8896f2daec178e9"/>
      <Part Type="papunktis" Nr="2.2" Abbr="2.2 pp." DocPartId="69d1e0c9d081459ebfc5194fbb5276a6" PartId="c07aa993b97a49bf933bcf43af34adcd"/>
    </Part>
    <Part Type="punktas" Nr="3" Abbr="3 p." DocPartId="433b22a0be9e497380402596c4e57a69" PartId="0613e76ed2d14fa0ba09ff04e7bef357"/>
    <Part Type="signatura" DocPartId="79ffd55416d44c49986738009125bfaa" PartId="8b698a6d211a4dd3ab7bee27206ecd5d"/>
  </Part>
  <Part Type="patvirtinta" Title="MOKESČIO UŽ APLINKOS TERŠIMĄ IR NUSLĖPTĄ TARŠĄ IŠ MOBILIŲJŲ TARŠOS ŠALTINIŲ APSKAIČIAVIMO TVARKOS APRAŠAS" DocPartId="847cd16687634567bd051a4124256591" PartId="f6aa384450e14657a2feea081efe17d2">
    <Part Type="skyrius" Nr="1" Title="BENDROSIOS NUOSTATOS" DocPartId="32a19263586b46049408c4710e924b9b" PartId="5d4b2bb60c864961847b9935aa161382">
      <Part Type="punktas" Nr="1" Abbr="1 p." DocPartId="fb5bf25718b34d80ba6d1434b5b70c1d" PartId="e0fa9cc0f5b542f7ac61bfd52c30fe0f"/>
      <Part Type="punktas" Nr="2" Abbr="2 p." DocPartId="c54df24c5d3b413a833e7d12db7998ac" PartId="af885a3bb2094251a579db4481c82ee4"/>
      <Part Type="punktas" Nr="3" Abbr="3 p." DocPartId="0f491eb757c44518a006df1a69e22872" PartId="57e0a34400874f1cb52c56f9f901bba6"/>
    </Part>
    <Part Type="skyrius" Nr="2" Title="MOKESČIO APSKAIČIAVIMAS" DocPartId="fb805a227cb449b69efbc1088db145bb" PartId="3c4818d6bbec45ffbe01bf0b3619f93c">
      <Part Type="punktas" Nr="4" Abbr="4 p." DocPartId="33c0b1c0b8d449f99b4ed50a7a971a86" PartId="d387e7faa1d74b4fb0097a9b03d9b17e"/>
      <Part Type="punktas" Nr="5" Abbr="5 p." DocPartId="d8d775d8dbb74014be9429ed9f28e7c5" PartId="7b1a5db40e1a439f8f4fececb522746d"/>
      <Part Type="punktas" Nr="6" Abbr="6 p." DocPartId="eb39a4b61707484cad29450d1f4d67bd" PartId="1dff3e95d7604c03a41a595ecf0196bf"/>
    </Part>
    <Part Type="skyrius" Nr="3" Title="MOKESČIO UŽ NUSLĖPTĄ TARŠĄ APSKAIČIAVIMAS" DocPartId="be7c548ea614404ab97eb5289572a27b" PartId="21dc53142ce344e29d3f548af555e89a">
      <Part Type="punktas" Nr="7" Abbr="7 p." DocPartId="fbf55758fade4b249958ed20db11a4ac" PartId="8741f00760584628b0a5846c517f66e4"/>
      <Part Type="punktas" Nr="8" Abbr="8 p." DocPartId="846350b17b7346809563a0f63a2739b4" PartId="7418b9bc86bf416eaf7ac6689affa227"/>
      <Part Type="punktas" Nr="9" Abbr="9 p." DocPartId="dae001125424453bbc2d64038b102e73" PartId="f95b6a6f076948edbff88122789a6d14"/>
      <Part Type="punktas" Nr="10" Abbr="10 p." DocPartId="32c497dcefd0473b901d27acefaaa2b4" PartId="ebb4ed0c0d0845b480b0d20ed10787e8"/>
    </Part>
    <Part Type="skyrius" Nr="4" Title="MOKESČIO LENGVATŲ TAIKYMĄ PATVIRTINANTYS DOKUMENTAI" DocPartId="e5ab6809e2b84579bb89319bf8aa2e51" PartId="20809a2c833f40efbdd08896f1ee15ee">
      <Part Type="punktas" Nr="11" Abbr="11 p." DocPartId="f85321c13b394872b2ab30fdf3074e18" PartId="7ea4abaa4fd34c919d16458e366417c4">
        <Part Type="papunktis" Nr="11.1" Abbr="11.1 pp." DocPartId="89f6d21a21a649fa8e6dce4df02ebbba" PartId="c9f363b5ebb047c08d779815e3d6b637"/>
        <Part Type="papunktis" Nr="11.2" Abbr="11.2 pp." DocPartId="18d271b3dd9d47988df2be8f85e3872d" PartId="be8ec057d14a432fbc032b039752b756"/>
      </Part>
    </Part>
    <Part Type="pabaiga" DocPartId="33734a4a60204efc9e1404d09e451dca" PartId="cf34704352bf4513be57bfd8df911af5"/>
  </Part>
  <Part Type="patvirtinta" Title="MOKESČIO UŽ APLINKOS TERŠIMĄ IR NUSLĖPTĄ TARŠĄ IŠ STACIONARIŲJŲ TARŠOS ŠALTINIŲ APSKAIČIAVIMO TVARKOS APRAŠAS" DocPartId="c7d3ac0a788b4239b2b9756fde07fab1" PartId="ba95d47edf09481c94ec4a721d4faa6c">
    <Part Type="skyrius" Nr="1" Title="BENDROSIOS NUOSTATOS" DocPartId="dd896689290b49358f8f37cf8980f7c5" PartId="865d361f098643b5b4d5cf17c5bd3381">
      <Part Type="punktas" Nr="1" Abbr="1 p." DocPartId="5bf6f48fbd41426882c1f1e8f7b248c9" PartId="c6cc858c143b4399999984f3ae48d1b0"/>
      <Part Type="punktas" Nr="2" Abbr="2 p." DocPartId="9621f722ad894ec2ade67d35d585ab5e" PartId="d32d6ee71d3a42a98ad234c370f620b1"/>
    </Part>
    <Part Type="skyrius" Nr="2" Title="MOKESČIO APSKAIČIAVIMAS" DocPartId="1a0ce198d820466598c1bbdebfdd3665" PartId="530073462dd64b75bc84220a784d97c8">
      <Part Type="punktas" Nr="3" Abbr="3 p." DocPartId="2f35434dfd3b451c8dabcecbb8ae4dfd" PartId="f36f04b1fb9d41fcb23dbc4f4974d965"/>
      <Part Type="punktas" Nr="4" Abbr="4 p." DocPartId="888bc6a7d1c642ebbc8bb82716fb0a39" PartId="042b37d32c0e4cb593db7a7250944cbd"/>
      <Part Type="punktas" Nr="5" Abbr="5 p." DocPartId="e40702171be04b1c9da9bb297e197d65" PartId="211eb73ddcb949e89424f3be10d56c67"/>
      <Part Type="punktas" Nr="6" Abbr="6 p." DocPartId="181e11b7c7cf46ef878ada079d3f23fd" PartId="7926950d12ab498588b2070d0e72c1ad"/>
      <Part Type="punktas" Nr="7" Abbr="7 p." DocPartId="ecb91325765041e8a90e8a63b27f14b4" PartId="a39c49e76f714b5e9f16563d46f02584"/>
      <Part Type="punktas" Nr="8." Abbr="8. p." DocPartId="b67709966b9d4b2f91514feae80060f1" PartId="6824817f42ef4349a2174271d453573b"/>
      <Part Type="punktas" Nr="9" Abbr="9 p." DocPartId="7c2b5eb6e30b434bbecba1858c85986c" PartId="46a49fbe11d541ea905b350e253789ef"/>
      <Part Type="punktas" Nr="10" Abbr="10 p." DocPartId="69a14167cb484ad99a58d2a95324791b" PartId="2a39693abc8e4b5a9092219fb079057a"/>
      <Part Type="punktas" Nr="11" Abbr="11 p." DocPartId="c8c6908822864fe091cbdecc8a81a8dc" PartId="a752c3d7659a41c5b35a1d085e1d443c"/>
      <Part Type="punktas" Nr="12" Abbr="12 p." DocPartId="b6849024c7fe40069180fda0dfe31569" PartId="158401bedb9347bba9d104e0be982f4b"/>
      <Part Type="punktas" Nr="13" Abbr="13 p." DocPartId="0756f4a3591a49a19e24de4be062aa4c" PartId="57f1f64986274a93a57ac56abb4a7243">
        <Part Type="papunktis" Nr="13.1" Abbr="13.1 pp." DocPartId="9bdc87fc481a4091bea8c6974b9f6063" PartId="3aabb01e21364f8bb12bd58e2ff34499"/>
        <Part Type="papunktis" Nr="13.2" Abbr="13.2 pp." DocPartId="185313eacd394b3fb67a24cedeec6d9c" PartId="9721e7be7e724b3aa477bbac45581633"/>
      </Part>
      <Part Type="punktas" Nr="14" Abbr="14 p." DocPartId="b1b50f2e7027447882a2ac4c172968f8" PartId="e66be2ae746f4ccfbe8f1b99c434a4e3"/>
    </Part>
    <Part Type="skyrius" Nr="3" Title="MOKESČIO UŽ NUSLĖPTĄ TARŠĄ APSKAIČIAVIMAS" DocPartId="2bc0fb4a667a4a488c76573ab07bcde5" PartId="08c66b73982d493db63a6e9344559b33">
      <Part Type="punktas" Nr="15" Abbr="15 p." DocPartId="a3874d4648344d21b3ea8ca23e6b5343" PartId="a5ee711a4d3849d6af9da7ae8a91b80d">
        <Part Type="papunktis" Nr="15.1" Abbr="15.1 pp." DocPartId="ca8c6a1a84a04876923e2bb56c12595c" PartId="cdd37a6247b945a3b66be40367780529"/>
        <Part Type="papunktis" Nr="15.2" Abbr="15.2 pp." DocPartId="8dd95e0c7957487ebd72068a249c7829" PartId="42943e7d0d6444a18ac26a69aa9fc8fc"/>
        <Part Type="papunktis" Nr="15.3" Abbr="15.3 pp." DocPartId="74861aac311b4207b6bd8b541ead2da2" PartId="48e830274f4c41e292d57b18a767469d"/>
      </Part>
      <Part Type="punktas" Nr="16" Abbr="16 p." DocPartId="e86dea5d12a84f6e8cf4ad3fd06b64aa" PartId="370f24e875014c97a826621bf3c2c2ea">
        <Part Type="papunktis" Nr="16.1" Abbr="16.1 pp." DocPartId="ee14102d9d7344d9a6afb4e0d112e346" PartId="25bad290008e4c7c80676769cca68f54"/>
        <Part Type="papunktis" Nr="16.2" Abbr="16.2 pp." DocPartId="2accc3f375b94fdc8c76de04d3edbec1" PartId="6f8f25dcd5874bfea2ca477f6761daa3"/>
        <Part Type="papunktis" Nr="16.3" Abbr="16.3 pp." DocPartId="9271f20866714190b63b7a056fcab402" PartId="10fd26fbcb5d4d09b66df829a90149ec"/>
      </Part>
      <Part Type="punktas" Nr="17" Abbr="17 p." DocPartId="be4fa3c979de4c0c828cc488ad3139e6" PartId="a31ec21c98694c3abdf2e490a110964f"/>
      <Part Type="punktas" Nr="18" Abbr="18 p." DocPartId="1e4fdef5be5b498d865ecdd27a07839f" PartId="e82905d7ec554c6c9fdf2b7d3c75f285"/>
    </Part>
    <Part Type="skyrius" Nr="4" Title="MOKESČIO LENGVATŲ TAIKYMĄ PATVIRTINANTYS DOKUMENTAI" DocPartId="042e5d27a46f490dab43fd98b4019968" PartId="3208f08ecf454c019f2e3d774f4e8cb4">
      <Part Type="punktas" Nr="19" Abbr="19 p." DocPartId="58962e283d184e4fa7272cb2008c5f3f" PartId="f391d795cfad4af5952f15086120e18e">
        <Part Type="papunktis" Nr="19.1" Abbr="19.1 pp." DocPartId="937c301f6e824801991e28d087526566" PartId="0573de654fb048baa8ad7bd29dd11e6c"/>
        <Part Type="papunktis" Nr="19.2" Abbr="19.2 pp." DocPartId="c1fb42d936d446d0bdcabaf6155a3467" PartId="66a78a225d0944c0837f6ba60141fb7b"/>
      </Part>
      <Part Type="punktas" Nr="20" Abbr="20 p." DocPartId="5780354d5f5647468aa138163e862cd8" PartId="387a4cf201db43539005c2c7ce566130"/>
    </Part>
    <Part Type="pabaiga" DocPartId="b7df9e8884414d99b23468106d70d732" PartId="c8c9a8e1f8574baca09b91e931c8a294"/>
  </Part>
  <Part Type="patvirtinta" Title="MOKESČIO UŽ APLINKOS TERŠIMĄ IR NUSLĖPTĄ TARŠĄ GAMINIŲ ATLIEKOMIS APSKAIČIAVIMO TVARKOS APRAŠAS" DocPartId="40451517938546338f5ef7c967a98fc4" PartId="bef52015973b4f3da1ecfc1ce365cf2a">
    <Part Type="skyrius" Nr="1" Title="BENDROSIOS NUOSTATOS" DocPartId="8f49780b3f044bb2baceddef00eb19de" PartId="8dd787a4fd144805b49dffb3beedb353">
      <Part Type="punktas" Nr="1" Abbr="1 p." DocPartId="c1efbaa3d7f3415ebb08ccdf1c65619b" PartId="930ccf2a9c484ab6babf9d89ae0ab57f"/>
      <Part Type="punktas" Nr="2" Abbr="2 p." DocPartId="609c976a13fd4a4593f2b856d838f38f" PartId="8579c6c3ea6c4f418bd62676237610a6"/>
    </Part>
    <Part Type="skyrius" Nr="2" Title="MOKESČIO APSKAIČIAVIMAS" DocPartId="bcdea160a1c5477e83dd4d2288966d20" PartId="b858c95b70df4e4abbad8ec76f4991bd">
      <Part Type="punktas" Nr="3" Abbr="3 p." DocPartId="c7deb7d6868d40a3a9c01f8fb5c93252" PartId="3b69b8ef28d945598c977ae513c9d772"/>
      <Part Type="punktas" Nr="4" Abbr="4 p." DocPartId="ff5e5915e6934b0e8a6213e2e409ebeb" PartId="e777ee8d405743218309e62278c70079"/>
      <Part Type="punktas" Nr="5" Abbr="5 p." DocPartId="3fcaa48a7bf146fdbf189e8855485d16" PartId="b9c9e140d4b54d569f0a642f8a837236"/>
      <Part Type="punktas" Nr="6" Abbr="6 p." DocPartId="dc5bdda43e0e4c52b46dc3c26012126c" PartId="5cd6f658625d462a84add6d9738d5883"/>
      <Part Type="punktas" Nr="7" Abbr="7 p." DocPartId="48033af28aee467fba81be37ca2b8f24" PartId="d33a91d1517741be9b881127c7f5ae70"/>
    </Part>
    <Part Type="skyrius" Nr="3" Title="MOKESČIO UŽ NUSLĖPTĄ TARŠĄ APSKAIČIAVIMAS" DocPartId="28725a4c0dc24ca0870ec7782d2c3a48" PartId="8d9954c1c44a48708dd16758cbc6e508">
      <Part Type="punktas" Nr="8" Abbr="8 p." DocPartId="f675e2bfbde747ba88baafb623c0134e" PartId="8c0080fc7a224293a0efc973d2c8313d">
        <Part Type="papunktis" Nr="8.1" Abbr="8.1 pp." DocPartId="3250b3bd8f324b329a0ad2af6c74117e" PartId="2c08a049316b4405a86b8b8176a01be8"/>
        <Part Type="papunktis" Nr="8.2" Abbr="8.2 pp." DocPartId="8d0fba529b3b40df8716f5c8ff997b79" PartId="c1f2e4dae1d64d9d8ddb1177f4c10c55"/>
        <Part Type="papunktis" Nr="8.3" Abbr="8.3 pp." DocPartId="c8e4b6ceb0014e7e81295aced95a6f19" PartId="8d541a4cbf5742528ecd806b33b4331f"/>
      </Part>
    </Part>
    <Part Type="skyrius" Nr="4" Title="MOKESČIO LENGVATAS SUTEIKIANTYS DOKUMENTAI" DocPartId="2d5a67b730e744148694b44f1946f750" PartId="09608c1fe0fd44329b33d2de78729c7b">
      <Part Type="punktas" Nr="9" Abbr="9 p." DocPartId="5017004211324b878833399d0e5634a7" PartId="b78e730d50594b03901c545f98fdabf7">
        <Part Type="papunktis" Nr="9.1" Abbr="9.1 pp." DocPartId="88ca3ac6f28c494aa8bf4f9875cca01c" PartId="901a9642bd374dbda08b2032ae5b05f0">
          <Part Type="papunktis" Nr="9.1.1" Abbr="9.1.1 pp." DocPartId="8c7db3125aa849c3813f3cffb3866639" PartId="5dc900c405d24aaaa7ecdde5e587882e"/>
          <Part Type="papunktis" Nr="9.1.2" Abbr="9.1.2 pp." DocPartId="67bb1152dea94cd2b0ebb710bba22234" PartId="dccc94ff88204002aba6a03ba1a4c539"/>
        </Part>
        <Part Type="papunktis" Nr="9.2" Abbr="9.2 pp." DocPartId="921c7f2468254b4086e838eae85dfbda" PartId="7762375082ca4c05a7c1be5be7dff1c6"/>
      </Part>
      <Part Type="punktas" Nr="10" Abbr="10 p." DocPartId="18bbf0d322d549b897c64a025aa783f9" PartId="9804b8ca8d954223939313f4453d5f02"/>
      <Part Type="punktas" Nr="11" Abbr="11 p." DocPartId="16a87bc9245f4edd91debe16c131e73e" PartId="6038cc280a8945508bd4edcc1db374b6"/>
      <Part Type="punktas" Nr="12" Abbr="12 p." DocPartId="93a9170065a7493d8b3c44ed2a8d1d6f" PartId="6ea949d3370f4d4dbd1643c271345313">
        <Part Type="papunktis" Nr="12.1" Abbr="12.1 pp." DocPartId="8cd2303499804f9a972f2ff9513b8775" PartId="1aac45a8897140368e2781409b48513c"/>
        <Part Type="papunktis" Nr="12.2" Abbr="12.2 pp." DocPartId="e8dae192c3a2409d8dbf4025ae77b651" PartId="15313041df204cc5bd3c1291b1946757"/>
      </Part>
    </Part>
    <Part Type="pabaiga" DocPartId="bec6e004610348b990ba24982c88f84b" PartId="9ee172fcc26943c4b3791ed9f1c8a850"/>
  </Part>
  <Part Type="patvirtinta" Title="MOKESČIO UŽ APLINKOS TERŠIMĄ IR NUSLĖPTĄ TARŠĄ PAKUOČIŲ ATLIEKOMIS APSKAIČIAVIMO TVARKOS APRAŠAS" DocPartId="7fcb21f1a1304ae8abfa1ae413968a38" PartId="018e8cdc362149548c6045935f03a542">
    <Part Type="skyrius" Nr="1" Title="BENDROSIOS NUOSTATOS" DocPartId="c2b8d4e942b64d368972eb1b70bbb829" PartId="0bea9b2923b74c4596f7e0b5232ff74c">
      <Part Type="punktas" Nr="1" Abbr="1 p." DocPartId="c2384b8512a94e2b9679a4e0549eaf3d" PartId="0158bd86435c4790ba58621df97c36e9"/>
      <Part Type="punktas" Nr="2" Abbr="2 p." DocPartId="20baa364335d4d4d9f3b3acdf11c4632" PartId="60b26fca28dd4312851c531129fe55bd"/>
    </Part>
    <Part Type="skyrius" Nr="2" Title="MOKESČIO APSKAIČIAVIMAS" DocPartId="d2bcad1c4836411c9ec9a5b1e7472e2b" PartId="487d77366ca74aec82d52d4bbf2a3150">
      <Part Type="punktas" Nr="3" Abbr="3 p." DocPartId="9072bf30f716478c9a88697ddd238e3d" PartId="bdc15f185c4a4b9288343a256c2a37b9"/>
      <Part Type="punktas" Nr="4" Abbr="4 p." DocPartId="e8e574fa0ca84cb489254b7d4d3e94d2" PartId="dd951bc9bd7043fabaf88affbdc482da"/>
      <Part Type="punktas" Nr="5" Abbr="5 p." DocPartId="e55bfca336c84b4380ae2ffe55670f76" PartId="a4fb5633c7e84edcbe1ba40646b0a0fa"/>
      <Part Type="punktas" Nr="6" Abbr="6 p." DocPartId="21efee76526e485ca244e0676fb46e93" PartId="2bddad4a75b047a2b666f72afacb99bd"/>
      <Part Type="punktas" Nr="7" Abbr="7 p." DocPartId="6f456080beeb40b3a57a7c35c7a7ede7" PartId="5bd10f6be20d4ad8b86c62d059ad2736"/>
      <Part Type="punktas" Nr="8" Abbr="8 p." DocPartId="a8b6b0bfa3b643968bb22fda72762938" PartId="62eaa2c2f53c4538b9890f9a105daf82"/>
      <Part Type="punktas" Nr="9" Abbr="9 p." DocPartId="5e9b76efc6654deb8bf0604091d46742" PartId="7a452bf69ccd4b01b618790b30c32a9f"/>
      <Part Type="punktas" Nr="10" Abbr="10 p." DocPartId="7a1f920271854dbba25f20559a2a3629" PartId="c0128abe07da403fb8cb80b116cebcc8"/>
      <Part Type="punktas" Nr="11" Abbr="11 p." DocPartId="0b33f63a9c4a4d2f8808bba0cf230774" PartId="b8d11c2efd664f13a1de7df8c073b0b3"/>
    </Part>
    <Part Type="skyrius" Nr="3" Title="MOKESČIO UŽ NUSLĖPTĄ TARŠĄ APSKAIČIAVIMAS" DocPartId="d33dd8abb59e47c8b2994df283db5dcc" PartId="cb7cfaef21994cd2bf9096a9bfecc975">
      <Part Type="punktas" Nr="12" Abbr="12 p." DocPartId="fc15e72106a448eea815ef609c899ba0" PartId="10d80df928e04f1e8a2a93fa2acffedb">
        <Part Type="papunktis" Nr="12.1" Abbr="12.1 pp." DocPartId="8a3d37af20c54ed2b873c870b711bc72" PartId="0dda00fdf88d4ac5bc2c14933cba1b99"/>
        <Part Type="papunktis" Nr="12.2" Abbr="12.2 pp." DocPartId="11003b8201f145f1961621b4b4430a18" PartId="9b64da8469ef46b1a3488f0b38dbc47a"/>
        <Part Type="papunktis" Nr="12.3" Abbr="12.3 pp." DocPartId="0f7c8512114947b39a5952faf87c037d" PartId="5bc548a092d8436083e8394faac05659"/>
        <Part Type="papunktis" Nr="12.4" Abbr="12.4 pp." DocPartId="d6776f5d8cba4de492a4ba35fa46f3e3" PartId="4ca8104667fc49939eadc73c0dc6b031"/>
        <Part Type="papunktis" Nr="12.5" Abbr="12.5 pp." DocPartId="e3246f4b3aff46d7b5e1bb2ecce45077" PartId="cdb816f70fd24aca99f7f600b2dd9b79"/>
      </Part>
    </Part>
    <Part Type="skyrius" Nr="4" Title="MOKESČIO LENGVATAS SUTEIKIANTYS DOKUMENTAI" DocPartId="4f3f3d4e745047948c3857e113d67c7a" PartId="7d8ce156b3ec4ee18c44aaeedf8364e6">
      <Part Type="punktas" Nr="13" Abbr="13 p." DocPartId="c3ee991473784915a887c127c297888f" PartId="23b996dc250646d59285929704e89852">
        <Part Type="papunktis" Nr="13.1" Abbr="13.1 pp." DocPartId="dec31d9ebe014e4385254d505526b809" PartId="8a0f6ec87d9340f9942a9a5b69f6856b">
          <Part Type="papunktis" Nr="13.1.1" Abbr="13.1.1 pp." DocPartId="57cfaf5c1b5048248aefffcd3e234862" PartId="f645207b392741f6b315c9dc134b5a50"/>
          <Part Type="papunktis" Nr="13.1.2" Abbr="13.1.2 pp." DocPartId="c08bfb2b8454489b89b00f984d1553e7" PartId="07c3989652a241dd9f0ad0c248fda7e7"/>
        </Part>
        <Part Type="papunktis" Nr="13.2" Abbr="13.2 pp." DocPartId="02ceb4392d9445f5a71638b7ffe41992" PartId="7351d45a47db433db0100ec058970f91"/>
      </Part>
      <Part Type="punktas" Nr="14" Abbr="14 p." DocPartId="a4acbdc76d044fd5a9cd11fcd42d87ee" PartId="c27af7b3f44b48989f49b0dd87c96112"/>
      <Part Type="punktas" Nr="15" Abbr="15 p." DocPartId="055d0869401a45a69068a76dde98b0f2" PartId="10a195cea99c41f1a3e82aa7c35764c4"/>
      <Part Type="punktas" Nr="16" Abbr="16 p." DocPartId="bda2d09d9bac40ba85f57d591221c255" PartId="5f8c295a0f3d4695a99cfad0ecd9bc96">
        <Part Type="papunktis" Nr="16.1" Abbr="16.1 pp." DocPartId="58525eee412248089d02a4be72824228" PartId="08dc7ccbc3a742e5a394ef139c23dda9"/>
        <Part Type="papunktis" Nr="16.2" Abbr="16.2 pp." DocPartId="8a25cadc73e94b799d5c3024920edcba" PartId="1aeb901f45c74232879737c182c70ae6"/>
      </Part>
      <Part Type="punktas" Nr="17" Abbr="17 p." DocPartId="7b9bcf8d479341f59ad9859e966ea163" PartId="894b402d58ec4aabbb3d8bb131e37f0d"/>
      <Part Type="punktas" Nr="18" Abbr="18 p." DocPartId="9eca8215f80b4158b3294486e691951b" PartId="6b25582ed0e94e8fbb462000b2d95b8f"/>
    </Part>
    <Part Type="pabaiga" DocPartId="f8c192b9ae9a47179df2946976c3f903" PartId="e24f332ec3c848718ef9a9447b5a278b"/>
  </Part>
  <Part Type="patvirtinta" Title="MOKESČIO UŽ APLINKOS TERŠIMĄ IR NUSLĖPTĄ TARŠĄ SĄVARTYNE ŠALINAMOMIS ATLIEKOMIS APSKAIČIAVIMO TVARKOS APRAŠAS" DocPartId="89996ef2c12e48509e20e92b0d6fdf9a" PartId="93427f80073c45188aadbc1016b99bf6">
    <Part Type="punktas" Nr="1" Abbr="1 p." DocPartId="379b9fa5d1ba48bea06108ce11321e1c" PartId="516ad5adc3d44bb8bab03407fad42447"/>
    <Part Type="punktas" Nr="2" Abbr="2 p." DocPartId="d97016fed4484711a420f3ee0255421d" PartId="96d3b1a19ffb4b198d14205c437055db"/>
    <Part Type="punktas" Nr="3" Abbr="3 p." DocPartId="55bf06e7d9974570a71cba03232c559f" PartId="d3993bfaf74e4cc7a6c1357b0863eae7"/>
    <Part Type="punktas" Nr="4" Abbr="4 p." DocPartId="802b49f938c24e48bb54fbd35d755316" PartId="4441f4eff8854629aacc10d489988463"/>
    <Part Type="punktas" Nr="5" Abbr="5 p." DocPartId="0f05ccec343d4a4d873559b8b33ba35f" PartId="0416d83eb7c6446b99cbabcc35b52884"/>
    <Part Type="pabaiga" DocPartId="204331b6ea8b4da18fa72e013ac25537" PartId="d2a2ca7abc684e0e8220c088f03aa1b6"/>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8B3CEA-D215-4DC4-8617-BFF6BBAA76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8BA925-F27D-47AD-9CC2-8E7D81D98578}">
  <ds:schemaRefs>
    <ds:schemaRef ds:uri="http://schemas.microsoft.com/sharepoint/v3/contenttype/forms"/>
  </ds:schemaRefs>
</ds:datastoreItem>
</file>

<file path=customXml/itemProps3.xml><?xml version="1.0" encoding="utf-8"?>
<ds:datastoreItem xmlns:ds="http://schemas.openxmlformats.org/officeDocument/2006/customXml" ds:itemID="{2FB8D473-B817-4498-B74B-54B4C51436F1}">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431A8212-F2B1-4914-B47E-DB2C24E9A4F9}">
  <ds:schemaRefs>
    <ds:schemaRef ds:uri="http://lrs.lt/TAIS/DocParts"/>
  </ds:schemaRefs>
</ds:datastoreItem>
</file>

<file path=customXml/itemProps5.xml><?xml version="1.0" encoding="utf-8"?>
<ds:datastoreItem xmlns:ds="http://schemas.openxmlformats.org/officeDocument/2006/customXml" ds:itemID="{6E1C7CC7-93FE-47CF-9C19-412F727BEF24}">
  <ds:schemaRefs>
    <ds:schemaRef ds:uri="http://schemas.openxmlformats.org/officeDocument/2006/bibliography"/>
  </ds:schemaRefs>
</ds:datastoreItem>
</file>

<file path=customXml/itemProps6.xml><?xml version="1.0" encoding="utf-8"?>
<ds:datastoreItem xmlns:ds="http://schemas.openxmlformats.org/officeDocument/2006/customXml" ds:itemID="{CE345408-76D4-491B-9FD5-D25D5D3717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28</Pages>
  <Words>55261</Words>
  <Characters>31499</Characters>
  <Application>Microsoft Office Word</Application>
  <DocSecurity>0</DocSecurity>
  <Lines>262</Lines>
  <Paragraphs>173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LinksUpToDate>false</LinksUpToDate>
  <CharactersWithSpaces>86587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2021-03-10T09:43:00Z</dcterms:created>
  <dcterms:modified xsi:type="dcterms:W3CDTF">2025-11-25T15:52:00Z</dcterms:modified>
  <revision>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