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b3187ca144041f0a10e0e2887b42ef8"/>
        <w:lock w:val="sdtLocked"/>
        <w:richText/>
      </w:sdtPr>
      <w:sdtContent>
        <w:p>
          <w:pPr>
            <w:jc w:val="both"/>
            <w:rPr>
              <w:rFonts w:ascii="Times New Roman" w:hAnsi="Times New Roman"/>
            </w:rPr>
          </w:pPr>
          <w:r>
            <w:rPr>
              <w:rFonts w:ascii="Times New Roman" w:hAnsi="Times New Roman"/>
              <w:b/>
              <w:i/>
            </w:rPr>
            <w:t>Suvestinė redakcija nuo 2024-11-30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2021-12-23, i. k. 2021-26855</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DĖL REGIONINĖS PAGALBOS TEIKIMO PAGAL LIETUVOS RESPUBLIKOS REGIONINĖS PAGALBOS ŽEMĖLAPĮ, TAIKYTINĄ NUO 2022 M. SAUSIO 1 D. IKI 2027 M. GRUODŽIO 31 D.</w:t>
          </w:r>
        </w:p>
        <w:p>
          <w:pPr>
            <w:tabs>
              <w:tab w:val="center" w:pos="4153"/>
              <w:tab w:val="right" w:pos="8306"/>
            </w:tabs>
            <w:rPr>
              <w:lang w:eastAsia="lt-LT"/>
            </w:rPr>
          </w:pPr>
        </w:p>
        <w:p>
          <w:pPr>
            <w:ind w:firstLine="62"/>
            <w:jc w:val="center"/>
            <w:rPr>
              <w:lang w:eastAsia="lt-LT"/>
            </w:rPr>
          </w:pPr>
          <w:r>
            <w:rPr>
              <w:lang w:eastAsia="lt-LT"/>
            </w:rPr>
            <w:t>2021 m. gruodžio 22 d. Nr. 1123</w:t>
          </w:r>
        </w:p>
        <w:p>
          <w:pPr>
            <w:jc w:val="center"/>
            <w:rPr>
              <w:lang w:eastAsia="lt-LT"/>
            </w:rPr>
          </w:pPr>
          <w:r>
            <w:rPr>
              <w:lang w:eastAsia="lt-LT"/>
            </w:rPr>
            <w:t>Vilnius</w:t>
          </w:r>
        </w:p>
        <w:p>
          <w:pPr>
            <w:jc w:val="center"/>
            <w:rPr>
              <w:lang w:eastAsia="lt-LT"/>
            </w:rPr>
          </w:pPr>
        </w:p>
        <w:sdt>
          <w:sdtPr>
            <w:alias w:val="preambule"/>
            <w:tag w:val="part_c8375f01e58343cbb78a2159e4e46d1a"/>
            <w:lock w:val="sdtLocked"/>
            <w:richText/>
          </w:sdtPr>
          <w:sdtContent>
            <w:p>
              <w:pPr>
                <w:tabs>
                  <w:tab w:val="left" w:pos="567"/>
                </w:tabs>
                <w:spacing w:line="360" w:lineRule="atLeast"/>
                <w:ind w:firstLine="720"/>
                <w:jc w:val="both"/>
                <w:rPr>
                  <w:szCs w:val="24"/>
                  <w:lang w:eastAsia="lt-LT"/>
                </w:rPr>
              </w:pPr>
              <w:r>
                <w:rPr>
                  <w:szCs w:val="24"/>
                  <w:lang w:eastAsia="lt-LT"/>
                </w:rPr>
                <w:t xml:space="preserve">Vadovaudamasi Lietuvos Respublikos regioninės plėtros įstatymo 6 straipsnio 1 dalies 1 punktu ir 9 straipsniu, 2003 m. gegužės 26 d. Europos Parlamento ir Tarybos reglamento (EB) Nr. 1059/2003 dėl bendro teritorinių statistinių vienetų klasifikatoriaus (NUTS) nustatymo su visais pakeitimais I priedu ir atsižvelgdama į Europos Komisijos komunikatą „Regioninės valstybės pagalbos gairės“ (2021/C 153/01) su visais pakeitimais, 2024 m. vasario 29 d. Europos Parlamento ir Tarybos reglamentą (ES) 2024/795, kuriuo sukuriama Europos strateginių technologijų platforma (STEP) ir iš dalies keičiami Direktyva 2003/87/EB bei reglamentai (ES) 2021/1058, (ES) 2021/1056, (ES) 2021/1057, (ES) Nr. 1303/2013, (ES) Nr. 223/2014, (ES) 2021/1060, (ES) 2021/523, (ES) 2021/695, (ES) 2021/697 ir (ES) 2021/241, Teritorinį teisingos pertvarkos planą, patvirtintą Europos Komisijos įgyvendinimo sprendimu Nr. C(2022) 9626, kuriuo iš dalies keičiamas Įgyvendinimo sprendimas C(2022) 5742, kuriuo patvirtinama programa „2021–2027 metų Europos Sąjungos fondų investicijų programa“ dėl paramos iš Europos regioninės plėtros fondo, Sanglaudos fondo ir „Europos socialinio fondo +“ Lietuvoje siekiant investicijų į darbo vietų kūrimą ir ekonomikos augimą tikslo, 2023 m. balandžio 21 d. Europos Komisijos sprendimą Nr. C(2023) 2614 </w:t>
              </w:r>
              <w:r>
                <w:rPr>
                  <w:i/>
                  <w:szCs w:val="24"/>
                  <w:lang w:eastAsia="lt-LT"/>
                </w:rPr>
                <w:t>final</w:t>
              </w:r>
              <w:r>
                <w:rPr>
                  <w:szCs w:val="24"/>
                  <w:lang w:eastAsia="lt-LT"/>
                </w:rPr>
                <w:t xml:space="preserve"> „Valstybės pagalba SA.106647 (2023/N) – Lietuva. Lietuvos regioninės pagalbos žemėlapio (2022 m. sausio 1 d.–2027 m. gruodžio 31 d.) pakeitimas – padidintas pagalbos intensyvumas teritorijoms, kurioms numatyta parama iš TPF“, 2024 m. spalio 28 d. Europos Komisijos sprendimą Nr. C(2024) 7432 </w:t>
              </w:r>
              <w:r>
                <w:rPr>
                  <w:i/>
                  <w:iCs/>
                  <w:szCs w:val="24"/>
                  <w:lang w:eastAsia="lt-LT"/>
                </w:rPr>
                <w:t xml:space="preserve">final </w:t>
              </w:r>
              <w:r>
                <w:rPr>
                  <w:szCs w:val="24"/>
                  <w:lang w:eastAsia="lt-LT"/>
                </w:rPr>
                <w:t>„Valstybės pagalba SA.115740 (2024/N) – Lietuva. Lietuvos regioninės pagalbos žemėlapio (2022 m. sausio 1 d.–2027 m. gruodžio 31 d.) pakeitimas. Padidintas pagalbos intensyvumas investicijoms, kurioms taikomas STEP reglamentas“ ir į tai, kad Lietuvos Respublikos teritorijos NUTS 2 regionas – LT02 Vidurio ir vakarų Lietuvos regionas, kuris apima NUTS 3 regionus: LT021 Alytaus apskritis, LT022 Kauno apskritis, LT023 Klaipėdos apskritis, LT024 Marijampolės apskritis, LT025 Panevėžio apskritis, LT026 Šiaulių apskritis, LT027 Tauragės apskritis, LT028 Telšių apskritis, LT029 Utenos apskritis, priskiriamas regionui, kuriame gali būti teikiama pagalba ekonominei plėtrai skatinti pagal Sutarties dėl Europos Sąjungos veikimo 107 straipsnio 3 dalies a punkto nuostatas, Lietuvos Respublikos teritorijos NUTS 2 regionas – LT01 Sostinės regionas, kuris sutampa su NUTS 3 regionu – LT011 Vilniaus apskritis, priskiriamas regionui, kuriame gali būti teikiama pagalba, skirta tam tikros ekonominės veiklos rūšių arba tam tikrų ekonomikos sričių plėtrai skatinti pagal Sutarties dėl Europos Sąjungos veikimo 107 straipsnio 3 dalies c punkto nuostatas,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0de890f30511ed9978886e85107ab2">
                <w:r w:rsidRPr="00532B9F">
                  <w:rPr>
                    <w:rFonts w:ascii="Times New Roman" w:eastAsia="MS Mincho" w:hAnsi="Times New Roman"/>
                    <w:sz w:val="20"/>
                    <w:i/>
                    <w:iCs/>
                    <w:color w:val="0000FF" w:themeColor="hyperlink"/>
                    <w:u w:val="single"/>
                  </w:rPr>
                  <w:t>360</w:t>
                </w:r>
              </w:fldSimple>
              <w:r>
                <w:rPr>
                  <w:rFonts w:ascii="Times New Roman" w:eastAsia="MS Mincho" w:hAnsi="Times New Roman"/>
                  <w:sz w:val="20"/>
                  <w:i/>
                  <w:iCs/>
                </w:rPr>
                <w:t>,
2023-05-10,
paskelbta TAR 2023-05-15, i. k. 2023-09125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9114b2ae1511ef90b5ee8931e5ce5e">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2024-11-27,
paskelbta TAR 2024-11-29, i. k. 2024-20933            </w:t>
              </w:r>
            </w:p>
            <w:p/>
          </w:sdtContent>
        </w:sdt>
        <w:sdt>
          <w:sdtPr>
            <w:alias w:val="1 p."/>
            <w:tag w:val="part_9b21e6d9c797409da93fd95c32d79aa4"/>
            <w:lock w:val="sdtLocked"/>
            <w:richText/>
          </w:sdtPr>
          <w:sdtContent>
            <w:p>
              <w:pPr>
                <w:spacing w:line="360" w:lineRule="atLeast"/>
                <w:ind w:firstLine="720"/>
                <w:jc w:val="both"/>
                <w:rPr>
                  <w:color w:val="000000"/>
                  <w:szCs w:val="24"/>
                  <w:lang w:eastAsia="lt-LT"/>
                </w:rPr>
              </w:pPr>
              <w:sdt>
                <w:sdtPr>
                  <w:alias w:val="Numeris"/>
                  <w:tag w:val="nr_9b21e6d9c797409da93fd95c32d79aa4"/>
                  <w:lock w:val="sdtLocked"/>
                  <w:richText/>
                </w:sdtPr>
                <w:sdtContent>
                  <w:r>
                    <w:rPr>
                      <w:color w:val="000000"/>
                      <w:szCs w:val="24"/>
                      <w:lang w:eastAsia="lt-LT"/>
                    </w:rPr>
                    <w:t>1</w:t>
                  </w:r>
                </w:sdtContent>
              </w:sdt>
              <w:r>
                <w:rPr>
                  <w:color w:val="000000"/>
                  <w:szCs w:val="24"/>
                  <w:lang w:eastAsia="lt-LT"/>
                </w:rPr>
                <w:t>. Pagal Lietuvos Respublikos regioninės pagalbos žemėlapį, taikytiną nuo 2022 m. sausio 1 d. iki 2027 m. gruodžio 31 d.:</w:t>
              </w:r>
            </w:p>
            <w:sdt>
              <w:sdtPr>
                <w:alias w:val="1.1 pp."/>
                <w:tag w:val="part_c926e5f118224e649c96081beffc8c99"/>
                <w:lock w:val="sdtLocked"/>
                <w:richText/>
              </w:sdtPr>
              <w:sdtContent>
                <w:p>
                  <w:pPr>
                    <w:spacing w:line="360" w:lineRule="atLeast"/>
                    <w:ind w:firstLine="720"/>
                    <w:jc w:val="both"/>
                    <w:rPr>
                      <w:color w:val="000000"/>
                      <w:szCs w:val="24"/>
                      <w:lang w:eastAsia="lt-LT"/>
                    </w:rPr>
                  </w:pPr>
                  <w:sdt>
                    <w:sdtPr>
                      <w:alias w:val="Numeris"/>
                      <w:tag w:val="nr_c926e5f118224e649c96081beffc8c99"/>
                      <w:lock w:val="sdtLocked"/>
                      <w:richText/>
                    </w:sdtPr>
                    <w:sdtContent>
                      <w:r>
                        <w:rPr>
                          <w:color w:val="000000"/>
                          <w:szCs w:val="24"/>
                          <w:lang w:eastAsia="lt-LT"/>
                        </w:rPr>
                        <w:t>1.1</w:t>
                      </w:r>
                    </w:sdtContent>
                  </w:sdt>
                  <w:r>
                    <w:rPr>
                      <w:color w:val="000000"/>
                      <w:szCs w:val="24"/>
                      <w:lang w:eastAsia="lt-LT"/>
                    </w:rPr>
                    <w:t>. teikiant regioninę pagalbą Vilniaus apskrityje, didžiausias pagalbos intensyvumas negali viršyti 35 procentų bendrojo subsidijos ekvivalento;</w:t>
                  </w:r>
                </w:p>
              </w:sdtContent>
            </w:sdt>
            <w:sdt>
              <w:sdtPr>
                <w:alias w:val="1.2 pp."/>
                <w:tag w:val="part_468e1a4957d340b78eb4590a05f30e84"/>
                <w:lock w:val="sdtLocked"/>
                <w:richText/>
              </w:sdtPr>
              <w:sdtContent>
                <w:p>
                  <w:pPr>
                    <w:spacing w:line="360" w:lineRule="atLeast"/>
                    <w:ind w:firstLine="720"/>
                    <w:jc w:val="both"/>
                    <w:rPr>
                      <w:color w:val="000000"/>
                      <w:szCs w:val="24"/>
                      <w:lang w:eastAsia="lt-LT"/>
                    </w:rPr>
                  </w:pPr>
                  <w:sdt>
                    <w:sdtPr>
                      <w:alias w:val="Numeris"/>
                      <w:tag w:val="nr_468e1a4957d340b78eb4590a05f30e84"/>
                      <w:lock w:val="sdtLocked"/>
                      <w:richText/>
                    </w:sdtPr>
                    <w:sdtContent>
                      <w:r>
                        <w:rPr>
                          <w:color w:val="000000"/>
                          <w:szCs w:val="24"/>
                          <w:lang w:eastAsia="lt-LT"/>
                        </w:rPr>
                        <w:t>1.2</w:t>
                      </w:r>
                    </w:sdtContent>
                  </w:sdt>
                  <w:r>
                    <w:rPr>
                      <w:color w:val="000000"/>
                      <w:szCs w:val="24"/>
                      <w:lang w:eastAsia="lt-LT"/>
                    </w:rPr>
                    <w:t>. teikiant regioninę pagalbą Klaipėdos apskrityje, didžiausias pagalbos intensyvumas negali viršyti 40 procentų bendrojo subsidijos ekvivalento;</w:t>
                  </w:r>
                </w:p>
              </w:sdtContent>
            </w:sdt>
            <w:sdt>
              <w:sdtPr>
                <w:alias w:val="1.3 pp."/>
                <w:tag w:val="part_3bc942d2e98e49baae37a1b9d80b109a"/>
                <w:lock w:val="sdtLocked"/>
                <w:richText/>
              </w:sdtPr>
              <w:sdtContent>
                <w:p>
                  <w:pPr>
                    <w:spacing w:line="360" w:lineRule="atLeast"/>
                    <w:ind w:firstLine="720"/>
                    <w:jc w:val="both"/>
                    <w:rPr>
                      <w:color w:val="000000"/>
                      <w:szCs w:val="24"/>
                      <w:lang w:eastAsia="lt-LT"/>
                    </w:rPr>
                  </w:pPr>
                  <w:sdt>
                    <w:sdtPr>
                      <w:alias w:val="Numeris"/>
                      <w:tag w:val="nr_3bc942d2e98e49baae37a1b9d80b109a"/>
                      <w:lock w:val="sdtLocked"/>
                      <w:richText/>
                    </w:sdtPr>
                    <w:sdtContent>
                      <w:r>
                        <w:rPr>
                          <w:color w:val="000000"/>
                          <w:szCs w:val="24"/>
                          <w:lang w:eastAsia="lt-LT"/>
                        </w:rPr>
                        <w:t>1.3</w:t>
                      </w:r>
                    </w:sdtContent>
                  </w:sdt>
                  <w:r>
                    <w:rPr>
                      <w:color w:val="000000"/>
                      <w:szCs w:val="24"/>
                      <w:lang w:eastAsia="lt-LT"/>
                    </w:rPr>
                    <w:t>. teikiant regioninę pagalbą Alytaus, Kauno, Marijampolės, Panevėžio, Šiaulių, Tauragės, Telšių ir Utenos apskrityse, didžiausias pagalbos intensyvumas negali viršyti 50 procentų bendrojo subsidijos ekvivalento;</w:t>
                  </w:r>
                </w:p>
              </w:sdtContent>
            </w:sdt>
            <w:sdt>
              <w:sdtPr>
                <w:alias w:val="1.4 pp."/>
                <w:tag w:val="part_32833ad8ef6a4f338e46966f6b6acba9"/>
                <w:lock w:val="sdtLocked"/>
                <w:richText/>
              </w:sdtPr>
              <w:sdtContent>
                <w:p>
                  <w:pPr>
                    <w:tabs>
                      <w:tab w:val="left" w:pos="567"/>
                    </w:tabs>
                    <w:spacing w:line="360" w:lineRule="atLeast"/>
                    <w:ind w:firstLine="720"/>
                    <w:jc w:val="both"/>
                  </w:pPr>
                  <w:sdt>
                    <w:sdtPr>
                      <w:alias w:val="Numeris"/>
                      <w:tag w:val="nr_32833ad8ef6a4f338e46966f6b6acba9"/>
                      <w:lock w:val="sdtLocked"/>
                      <w:richText/>
                    </w:sdtPr>
                    <w:sdtContent>
                      <w:r>
                        <w:rPr>
                          <w:szCs w:val="24"/>
                          <w:lang w:eastAsia="lt-LT"/>
                        </w:rPr>
                        <w:t>1.4</w:t>
                      </w:r>
                    </w:sdtContent>
                  </w:sdt>
                  <w:r>
                    <w:rPr>
                      <w:szCs w:val="24"/>
                      <w:lang w:eastAsia="lt-LT"/>
                    </w:rPr>
                    <w:t>. teikiant regioninę pagalbą, šio nutarimo 1.1–1.3 papunkčiuose nurodytas didžiausias pagalbos intensyvumas gali būti padidintas ne daugiau kaip 20 procentinių punktų labai mažoms ir mažoms įmonėms ir ne daugiau kaip 10 procentinių punktų − vidutinėms įmonėms. Labai mažos, mažos ir vidutinės įmonės negali pasinaudoti šiame papunktyje nurodytu padidintu pagalbos intensyvumu, jeigu investicija susijusi su Europos Komisijos komunikato „Regioninės valstybės pagalbos gairės“ (2021/C 153/01) su visais pakeitimais (toliau – Gairės) 19 punkto 18 papunktyje apibrėžtu dideliu investiciniu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9114b2ae1511ef90b5ee8931e5ce5e">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2024-11-27,
paskelbta TAR 2024-11-29, i. k. 2024-20933            </w:t>
                  </w:r>
                </w:p>
                <w:p/>
              </w:sdtContent>
            </w:sdt>
            <w:sdt>
              <w:sdtPr>
                <w:alias w:val="1.4-1 pp."/>
                <w:tag w:val="part_05e792c9a826422c9bbdb36b34161d90"/>
                <w:lock w:val="sdtLocked"/>
                <w:richText/>
              </w:sdtPr>
              <w:sdtContent>
                <w:p>
                  <w:pPr>
                    <w:spacing w:line="360" w:lineRule="atLeast"/>
                    <w:ind w:firstLine="720"/>
                    <w:jc w:val="both"/>
                  </w:pPr>
                  <w:sdt>
                    <w:sdtPr>
                      <w:alias w:val="Numeris"/>
                      <w:tag w:val="nr_05e792c9a826422c9bbdb36b34161d90"/>
                      <w:lock w:val="sdtLocked"/>
                      <w:richText/>
                    </w:sdtPr>
                    <w:sdtContent>
                      <w:r>
                        <w:rPr>
                          <w:szCs w:val="24"/>
                          <w:lang w:eastAsia="lt-LT"/>
                        </w:rPr>
                        <w:t>1.4</w:t>
                      </w:r>
                      <w:r>
                        <w:rPr>
                          <w:szCs w:val="24"/>
                          <w:vertAlign w:val="superscript"/>
                          <w:lang w:eastAsia="lt-LT"/>
                        </w:rPr>
                        <w:t>1</w:t>
                      </w:r>
                    </w:sdtContent>
                  </w:sdt>
                  <w:r>
                    <w:rPr>
                      <w:szCs w:val="24"/>
                      <w:lang w:eastAsia="lt-LT"/>
                    </w:rPr>
                    <w:t>. šio nutarimo 1.3 papunktyje nurodytas didžiausias pagalbos intensyvumas gali būti padidintas 10 procentinių punktų teritorijoms, kurioms Teritoriniame teisingos pertvarkos plane, patvirtintame Įgyvendinimo sprendimu Nr. C(2022) 9626, yra numatyta parama iš Teisingos pertvarkos fondo, jeigu šios teritorijos yra Kauno, Šiaulių ir Telšių apskrityse;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0de890f30511ed9978886e85107ab2">
                    <w:r w:rsidRPr="00532B9F">
                      <w:rPr>
                        <w:rFonts w:ascii="Times New Roman" w:eastAsia="MS Mincho" w:hAnsi="Times New Roman"/>
                        <w:sz w:val="20"/>
                        <w:i/>
                        <w:iCs/>
                        <w:color w:val="0000FF" w:themeColor="hyperlink"/>
                        <w:u w:val="single"/>
                      </w:rPr>
                      <w:t>360</w:t>
                    </w:r>
                  </w:fldSimple>
                  <w:r>
                    <w:rPr>
                      <w:rFonts w:ascii="Times New Roman" w:eastAsia="MS Mincho" w:hAnsi="Times New Roman"/>
                      <w:sz w:val="20"/>
                      <w:i/>
                      <w:iCs/>
                    </w:rPr>
                    <w:t>,
2023-05-10,
paskelbta TAR 2023-05-15, i. k. 2023-09125        </w:t>
                  </w:r>
                </w:p>
                <w:p/>
              </w:sdtContent>
            </w:sdt>
            <w:sdt>
              <w:sdtPr>
                <w:alias w:val="1.4-2 pp."/>
                <w:tag w:val="part_15e330fa0bdd49ecb13f25772d54507f"/>
                <w:lock w:val="sdtLocked"/>
                <w:richText/>
              </w:sdtPr>
              <w:sdtContent>
                <w:p>
                  <w:pPr>
                    <w:tabs>
                      <w:tab w:val="left" w:pos="567"/>
                    </w:tabs>
                    <w:spacing w:line="360" w:lineRule="atLeast"/>
                    <w:ind w:firstLine="720"/>
                    <w:jc w:val="both"/>
                    <w:rPr>
                      <w:color w:val="000000"/>
                      <w:szCs w:val="24"/>
                      <w:lang w:eastAsia="lt-LT"/>
                    </w:rPr>
                  </w:pPr>
                  <w:sdt>
                    <w:sdtPr>
                      <w:alias w:val="Numeris"/>
                      <w:tag w:val="nr_15e330fa0bdd49ecb13f25772d54507f"/>
                      <w:lock w:val="sdtLocked"/>
                      <w:richText/>
                    </w:sdtPr>
                    <w:sdtContent>
                      <w:r>
                        <w:rPr>
                          <w:szCs w:val="24"/>
                          <w:lang w:eastAsia="lt-LT"/>
                        </w:rPr>
                        <w:t>1.4</w:t>
                      </w:r>
                      <w:r>
                        <w:rPr>
                          <w:szCs w:val="24"/>
                          <w:vertAlign w:val="superscript"/>
                          <w:lang w:eastAsia="lt-LT"/>
                        </w:rPr>
                        <w:t>2</w:t>
                      </w:r>
                    </w:sdtContent>
                  </w:sdt>
                  <w:r>
                    <w:rPr>
                      <w:szCs w:val="24"/>
                      <w:lang w:eastAsia="lt-LT"/>
                    </w:rPr>
                    <w:t>. teikiant regioninę pagalbą investicijoms, kurioms taikomas Reglamentas (ES) 2024/795, didžiausias pagalbos intensyvumas gali būti padidintas ne daugiau kaip 5 procentiniais punktais šio nutarimo 1.1 papunktyje nurodytoms teritorijoms ir ne daugiau kaip 10 procentinių punktų šio nutarimo 1.2 ir 1.3 papunkčiuose nurodytoms teritorijoms;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9114b2ae1511ef90b5ee8931e5ce5e">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2024-11-27,
paskelbta TAR 2024-11-29, i. k. 2024-20933        </w:t>
                  </w:r>
                </w:p>
                <w:p/>
              </w:sdtContent>
            </w:sdt>
            <w:sdt>
              <w:sdtPr>
                <w:alias w:val="1.5 pp."/>
                <w:tag w:val="part_155c26f5d0854e05a7020874e40e9ca9"/>
                <w:lock w:val="sdtLocked"/>
                <w:richText/>
              </w:sdtPr>
              <w:sdtContent>
                <w:p>
                  <w:pPr>
                    <w:spacing w:line="360" w:lineRule="atLeast"/>
                    <w:ind w:firstLine="720"/>
                    <w:jc w:val="both"/>
                    <w:rPr>
                      <w:color w:val="000000"/>
                      <w:szCs w:val="24"/>
                      <w:lang w:eastAsia="lt-LT"/>
                    </w:rPr>
                  </w:pPr>
                  <w:sdt>
                    <w:sdtPr>
                      <w:alias w:val="Numeris"/>
                      <w:tag w:val="nr_155c26f5d0854e05a7020874e40e9ca9"/>
                      <w:lock w:val="sdtLocked"/>
                      <w:richText/>
                    </w:sdtPr>
                    <w:sdtContent>
                      <w:r>
                        <w:rPr>
                          <w:color w:val="000000"/>
                          <w:szCs w:val="24"/>
                          <w:lang w:eastAsia="lt-LT"/>
                        </w:rPr>
                        <w:t>1.5</w:t>
                      </w:r>
                    </w:sdtContent>
                  </w:sdt>
                  <w:r>
                    <w:rPr>
                      <w:color w:val="000000"/>
                      <w:szCs w:val="24"/>
                      <w:lang w:eastAsia="lt-LT"/>
                    </w:rPr>
                    <w:t xml:space="preserve">. </w:t>
                  </w:r>
                  <w:r>
                    <w:rPr>
                      <w:color w:val="000000"/>
                      <w:lang w:eastAsia="lt-LT"/>
                    </w:rPr>
                    <w:t xml:space="preserve">teikiant regioninę pagalbą Gairių 19 punkto 18 papunktyje apibrėžtiems dideliems investiciniams projektams, didžiausias pagalbos intensyvumas, nurodytas šio nutarimo </w:t>
                    <w:br/>
                    <w:t>1.1–1.4 papunkčiuose, turi būti pakoreguotas pagal Gairių 19 punkto 3 papunkčio nuostatas;</w:t>
                  </w:r>
                </w:p>
              </w:sdtContent>
            </w:sdt>
            <w:sdt>
              <w:sdtPr>
                <w:alias w:val="1.6 pp."/>
                <w:tag w:val="part_cb9bbb16766d410daa9562e14de9f9f9"/>
                <w:lock w:val="sdtLocked"/>
                <w:richText/>
              </w:sdtPr>
              <w:sdtContent>
                <w:p>
                  <w:pPr>
                    <w:spacing w:line="360" w:lineRule="atLeast"/>
                    <w:ind w:firstLine="720"/>
                    <w:jc w:val="both"/>
                    <w:rPr>
                      <w:color w:val="000000"/>
                      <w:szCs w:val="24"/>
                      <w:lang w:eastAsia="lt-LT"/>
                    </w:rPr>
                  </w:pPr>
                  <w:sdt>
                    <w:sdtPr>
                      <w:alias w:val="Numeris"/>
                      <w:tag w:val="nr_cb9bbb16766d410daa9562e14de9f9f9"/>
                      <w:lock w:val="sdtLocked"/>
                      <w:richText/>
                    </w:sdtPr>
                    <w:sdtContent>
                      <w:r>
                        <w:rPr>
                          <w:color w:val="000000"/>
                          <w:szCs w:val="24"/>
                          <w:lang w:eastAsia="lt-LT"/>
                        </w:rPr>
                        <w:t>1.6</w:t>
                      </w:r>
                    </w:sdtContent>
                  </w:sdt>
                  <w:r>
                    <w:rPr>
                      <w:color w:val="000000"/>
                      <w:szCs w:val="24"/>
                      <w:lang w:eastAsia="lt-LT"/>
                    </w:rPr>
                    <w:t>. skiriant investicinę pagalbą vienu metu pagal kelias regioninės pagalbos schemas arba sumuojant su Gairių 19 punkto 12 papunktyje apibrėžta individualia pagalba, laikomasi Gairių 99 punkto nuostatų;</w:t>
                  </w:r>
                </w:p>
              </w:sdtContent>
            </w:sdt>
            <w:sdt>
              <w:sdtPr>
                <w:alias w:val="1.7 pp."/>
                <w:tag w:val="part_b8c3d25f4ee54f2fa2e59fe4acc3e716"/>
                <w:lock w:val="sdtLocked"/>
                <w:richText/>
              </w:sdtPr>
              <w:sdtContent>
                <w:p>
                  <w:pPr>
                    <w:tabs>
                      <w:tab w:val="left" w:pos="567"/>
                    </w:tabs>
                    <w:spacing w:line="360" w:lineRule="atLeast"/>
                    <w:ind w:firstLine="720"/>
                    <w:jc w:val="both"/>
                    <w:rPr>
                      <w:color w:val="000000"/>
                      <w:szCs w:val="24"/>
                      <w:lang w:eastAsia="lt-LT"/>
                    </w:rPr>
                  </w:pPr>
                  <w:sdt>
                    <w:sdtPr>
                      <w:alias w:val="Numeris"/>
                      <w:tag w:val="nr_b8c3d25f4ee54f2fa2e59fe4acc3e716"/>
                      <w:lock w:val="sdtLocked"/>
                      <w:richText/>
                    </w:sdtPr>
                    <w:sdtContent>
                      <w:r>
                        <w:rPr>
                          <w:bCs/>
                          <w:szCs w:val="24"/>
                          <w:lang w:eastAsia="lt-LT"/>
                        </w:rPr>
                        <w:t>1.7</w:t>
                      </w:r>
                    </w:sdtContent>
                  </w:sdt>
                  <w:r>
                    <w:rPr>
                      <w:bCs/>
                      <w:szCs w:val="24"/>
                      <w:lang w:eastAsia="lt-LT"/>
                    </w:rPr>
                    <w:t xml:space="preserve">. apie visus ketinimus suteikti regioninę pagalbą, vadovaujantis </w:t>
                  </w:r>
                  <w:r>
                    <w:rPr>
                      <w:szCs w:val="24"/>
                      <w:lang w:eastAsia="lt-LT"/>
                    </w:rPr>
                    <w:t xml:space="preserve">Sutarties dėl Europos Sąjungos veikimo </w:t>
                  </w:r>
                  <w:r>
                    <w:rPr>
                      <w:bCs/>
                      <w:szCs w:val="24"/>
                      <w:lang w:eastAsia="lt-LT"/>
                    </w:rPr>
                    <w:t>108 straipsnio 3 dalimi, turi būti pranešta iš anksto Europos Komisijai, išskyrus regioninę pagalbą, kuriai taikomas 2014 m. birželio 17 d. Komisijos reglamentas (ES) Nr. 651/2014, kuriuo tam tikrų kategorijų pagalba skelbiama suderinama su vidaus rinka taikant Sutarties 107 ir 108 straipsnius,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9114b2ae1511ef90b5ee8931e5ce5e">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2024-11-27,
paskelbta TAR 2024-11-29, i. k. 2024-20933            </w:t>
                  </w:r>
                </w:p>
                <w:p/>
              </w:sdtContent>
            </w:sdt>
            <w:sdt>
              <w:sdtPr>
                <w:alias w:val="1.8 pp."/>
                <w:tag w:val="part_1b4be58b560f4808bfefd69eadcf65de"/>
                <w:lock w:val="sdtLocked"/>
                <w:richText/>
              </w:sdtPr>
              <w:sdtContent>
                <w:p>
                  <w:pPr>
                    <w:spacing w:line="360" w:lineRule="atLeast"/>
                    <w:ind w:firstLine="720"/>
                    <w:jc w:val="both"/>
                    <w:rPr>
                      <w:color w:val="000000"/>
                      <w:szCs w:val="24"/>
                      <w:lang w:eastAsia="lt-LT"/>
                    </w:rPr>
                  </w:pPr>
                  <w:sdt>
                    <w:sdtPr>
                      <w:alias w:val="Numeris"/>
                      <w:tag w:val="nr_1b4be58b560f4808bfefd69eadcf65de"/>
                      <w:lock w:val="sdtLocked"/>
                      <w:richText/>
                    </w:sdtPr>
                    <w:sdtContent>
                      <w:r>
                        <w:rPr>
                          <w:color w:val="000000"/>
                          <w:szCs w:val="24"/>
                          <w:lang w:eastAsia="lt-LT"/>
                        </w:rPr>
                        <w:t>1.8</w:t>
                      </w:r>
                    </w:sdtContent>
                  </w:sdt>
                  <w:r>
                    <w:rPr>
                      <w:color w:val="000000"/>
                      <w:szCs w:val="24"/>
                      <w:lang w:eastAsia="lt-LT"/>
                    </w:rPr>
                    <w:t>. visa suteikta regioninė pagalba turi atitikti šiame nutarime nurodytą didžiausią pagalbos intensyvumą ir negali jo viršyti.</w:t>
                  </w:r>
                </w:p>
              </w:sdtContent>
            </w:sdt>
          </w:sdtContent>
        </w:sdt>
        <w:sdt>
          <w:sdtPr>
            <w:alias w:val="2 p."/>
            <w:tag w:val="part_7b63835757c54598aff579fa8936d94f"/>
            <w:lock w:val="sdtLocked"/>
            <w:richText/>
          </w:sdtPr>
          <w:sdtContent>
            <w:p>
              <w:pPr>
                <w:spacing w:line="360" w:lineRule="atLeast"/>
                <w:ind w:firstLine="720"/>
                <w:jc w:val="both"/>
                <w:rPr>
                  <w:lang w:eastAsia="lt-LT"/>
                </w:rPr>
              </w:pPr>
              <w:sdt>
                <w:sdtPr>
                  <w:alias w:val="Numeris"/>
                  <w:tag w:val="nr_7b63835757c54598aff579fa8936d94f"/>
                  <w:lock w:val="sdtLocked"/>
                  <w:richText/>
                </w:sdtPr>
                <w:sdtContent>
                  <w:r>
                    <w:rPr>
                      <w:color w:val="000000"/>
                      <w:szCs w:val="24"/>
                      <w:lang w:eastAsia="lt-LT"/>
                    </w:rPr>
                    <w:t>2</w:t>
                  </w:r>
                </w:sdtContent>
              </w:sdt>
              <w:r>
                <w:rPr>
                  <w:color w:val="000000"/>
                  <w:szCs w:val="24"/>
                  <w:lang w:eastAsia="lt-LT"/>
                </w:rPr>
                <w:t>. Šis nutarimas įsigalioja 2022 m. sausio 1 d. ir galioja iki 2027 m. gruodžio 31 d.</w:t>
              </w:r>
            </w:p>
          </w:sdtContent>
        </w:sdt>
        <w:sdt>
          <w:sdtPr>
            <w:alias w:val="signatura"/>
            <w:tag w:val="part_d898ed041b04423da5198c3fdc12d99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0de890f30511ed9978886e85107ab2">
            <w:r w:rsidRPr="00532B9F">
              <w:rPr>
                <w:rFonts w:ascii="Times New Roman" w:eastAsia="MS Mincho" w:hAnsi="Times New Roman"/>
                <w:sz w:val="20"/>
                <w:iCs/>
                <w:color w:val="0000FF" w:themeColor="hyperlink"/>
                <w:u w:val="single"/>
              </w:rPr>
              <w:t>360</w:t>
            </w:r>
          </w:fldSimple>
          <w:r>
            <w:rPr>
              <w:rFonts w:ascii="Times New Roman" w:eastAsia="MS Mincho" w:hAnsi="Times New Roman"/>
              <w:sz w:val="20"/>
              <w:iCs/>
            </w:rPr>
            <w:t>,
2023-05-10,
paskelbta TAR 2023-05-15, i. k. 2023-09125                </w:t>
          </w:r>
        </w:p>
        <w:p>
          <w:pPr>
            <w:jc w:val="both"/>
            <w:rPr>
              <w:rFonts w:ascii="Times New Roman" w:hAnsi="Times New Roman"/>
            </w:rPr>
          </w:pPr>
          <w:r>
            <w:rPr>
              <w:rFonts w:ascii="Times New Roman" w:hAnsi="Times New Roman"/>
              <w:sz w:val="20"/>
            </w:rPr>
            <w:t>Dėl Lietuvos Respublikos Vyriausybės 2021 m. gruodžio 22 d. nutarimo Nr. 1123 „Dėl regioninės pagalbos teikimo pagal Lietuvos Respublikos regioninės pagalbos žemėlapį, taikytiną nuo 2022 m. sausio 1 d. iki 2027 m. gruodžio 31 d.“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9114b2ae1511ef90b5ee8931e5ce5e">
            <w:r w:rsidRPr="00532B9F">
              <w:rPr>
                <w:rFonts w:ascii="Times New Roman" w:eastAsia="MS Mincho" w:hAnsi="Times New Roman"/>
                <w:sz w:val="20"/>
                <w:iCs/>
                <w:color w:val="0000FF" w:themeColor="hyperlink"/>
                <w:u w:val="single"/>
              </w:rPr>
              <w:t>1019</w:t>
            </w:r>
          </w:fldSimple>
          <w:r>
            <w:rPr>
              <w:rFonts w:ascii="Times New Roman" w:eastAsia="MS Mincho" w:hAnsi="Times New Roman"/>
              <w:sz w:val="20"/>
              <w:iCs/>
            </w:rPr>
            <w:t>,
2024-11-27,
paskelbta TAR 2024-11-29, i. k. 2024-20933                </w:t>
          </w:r>
        </w:p>
        <w:p>
          <w:pPr>
            <w:jc w:val="both"/>
            <w:rPr>
              <w:rFonts w:ascii="Times New Roman" w:hAnsi="Times New Roman"/>
            </w:rPr>
          </w:pPr>
          <w:r>
            <w:rPr>
              <w:rFonts w:ascii="Times New Roman" w:hAnsi="Times New Roman"/>
              <w:sz w:val="20"/>
            </w:rPr>
            <w:t>Dėl Lietuvos Respublikos Vyriausybės 2021 m. gruodžio 22 d. nutarimo Nr. 1123 „Dėl regioninės pagalbos teikimo pagal Lietuvos Respublikos regioninės pagalbos žemėlapį, taikytiną nuo 2022 m. sausio 1 d. iki 2027 m. gruodžio 31 d.“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26D4AECC-63C3-49E1-B1E4-6350A739F4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026626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bbdbe33efd4a32aa837ed1fa6f8bf9" PartId="6b3187ca144041f0a10e0e2887b42ef8">
    <Part Type="preambule" DocPartId="7b1973cd8a694078b9129709612a8900" PartId="c8375f01e58343cbb78a2159e4e46d1a"/>
    <Part Type="punktas" Nr="1" Abbr="1 p." DocPartId="5cee24894a984182ade0b7fb977d4eb1" PartId="9b21e6d9c797409da93fd95c32d79aa4">
      <Part Type="papunktis" Nr="1.1" Abbr="1.1 pp." DocPartId="1d9798df2fb445b7a17ecdb0a0f4968d" PartId="c926e5f118224e649c96081beffc8c99"/>
      <Part Type="papunktis" Nr="1.2" Abbr="1.2 pp." DocPartId="40376e0ecf694fe29f5f837fcf7eb14e" PartId="468e1a4957d340b78eb4590a05f30e84"/>
      <Part Type="papunktis" Nr="1.3" Abbr="1.3 pp." DocPartId="e8390a39feaa4f688fee9ecc174e1888" PartId="3bc942d2e98e49baae37a1b9d80b109a"/>
      <Part Type="papunktis" Nr="1.4" Abbr="1.4 pp." DocPartId="e99833cfdde243838661aba2fae4972d" PartId="32833ad8ef6a4f338e46966f6b6acba9"/>
      <Part Type="papunktis" Nr="1.4-1" Abbr="1.4-1 pp." DocPartId="6a3eaca6d5874493a153e5a6b755792f" PartId="05e792c9a826422c9bbdb36b34161d90"/>
      <Part Type="papunktis" Nr="1.4-2" Abbr="1.4-2 pp." DocPartId="c652173668c5471a817fe57c4b0fbf5a" PartId="15e330fa0bdd49ecb13f25772d54507f"/>
      <Part Type="papunktis" Nr="1.5" Abbr="1.5 pp." DocPartId="8fad1dd12af8498290206ccbd4a26860" PartId="155c26f5d0854e05a7020874e40e9ca9"/>
      <Part Type="papunktis" Nr="1.6" Abbr="1.6 pp." DocPartId="67056492ae6141368aea4070c5fdd0c0" PartId="cb9bbb16766d410daa9562e14de9f9f9"/>
      <Part Type="papunktis" Nr="1.7" Abbr="1.7 pp." DocPartId="faa99f302415450b88c639878f96f567" PartId="b8c3d25f4ee54f2fa2e59fe4acc3e716"/>
      <Part Type="papunktis" Nr="1.8" Abbr="1.8 pp." DocPartId="af5952c2b29c4d06852ec4193bd6c86e" PartId="1b4be58b560f4808bfefd69eadcf65de"/>
    </Part>
    <Part Type="punktas" Nr="2" Abbr="2 p." DocPartId="11886284acda44a29152d95d719bb791" PartId="7b63835757c54598aff579fa8936d94f"/>
    <Part Type="signatura" DocPartId="ac685c54bb004133916ffddc046b0364" PartId="d898ed041b04423da5198c3fdc12d990"/>
  </Part>
</Parts>
</file>

<file path=customXml/itemProps1.xml><?xml version="1.0" encoding="utf-8"?>
<ds:datastoreItem xmlns:ds="http://schemas.openxmlformats.org/officeDocument/2006/customXml" ds:itemID="{BEFEAC95-14DE-40A9-BE64-A434B1085CF9}">
  <ds:schemaRefs>
    <ds:schemaRef ds:uri="http://lrs.lt/TAIS/DocParts"/>
  </ds:schemaRefs>
</ds:datastoreItem>
</file>

<file path=docProps/app.xml><?xml version="1.0" encoding="utf-8"?>
<Properties xmlns="http://schemas.openxmlformats.org/officeDocument/2006/extended-properties">
  <Template>Normal.dotm</Template>
  <TotalTime>10</TotalTime>
  <Pages>4</Pages>
  <Words>1198</Words>
  <Characters>8059</Characters>
  <Application>Microsoft Office Word</Application>
  <DocSecurity>0</DocSecurity>
  <Lines>67</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9239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2021-12-23T13:23:00Z</dcterms:created>
  <dc:creator>lrvk</dc:creator>
  <lastModifiedBy>JŪRĖNIENĖ Jolanta</lastModifiedBy>
  <lastPrinted>2017-06-01T05:28:00Z</lastPrinted>
  <dcterms:modified xsi:type="dcterms:W3CDTF">2024-12-03T08:10:00Z</dcterms:modified>
  <revision>6</revision>
</coreProperties>
</file>