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8ff2ac219a1d4305ac99968770ad7724"/>
        <w:lock w:val="sdtLocked"/>
        <w:richText/>
      </w:sdtPr>
      <w:sdtContent>
        <w:p>
          <w:pPr>
            <w:jc w:val="both"/>
            <w:rPr>
              <w:rFonts w:ascii="Times New Roman" w:hAnsi="Times New Roman"/>
            </w:rPr>
          </w:pPr>
          <w:r>
            <w:rPr>
              <w:rFonts w:ascii="Times New Roman" w:hAnsi="Times New Roman"/>
              <w:b/>
              <w:i/>
            </w:rPr>
            <w:t>Suvestinė redakcija nuo 2021-07-10 iki 2021-09-27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lang w:eastAsia="lt-LT"/>
            </w:rPr>
          </w:pPr>
          <w:r>
            <w:rPr>
              <w:b/>
              <w:caps/>
              <w:lang w:eastAsia="lt-LT"/>
            </w:rPr>
            <w:t xml:space="preserve">DĖL </w:t>
          </w:r>
          <w:r>
            <w:rPr>
              <w:b/>
              <w:bCs/>
              <w:lang w:eastAsia="lt-LT"/>
            </w:rPr>
            <w:t xml:space="preserve">PACIENTO PRIEMOKOS UŽ KOMPENSUOJAMUOSIUS VAISTINIUS PREPARATUS IR MEDICINOS PAGALBOS PRIEMONES PADENGIMO </w:t>
          </w:r>
        </w:p>
        <w:p>
          <w:pPr>
            <w:widowControl w:val="0"/>
            <w:jc w:val="center"/>
            <w:rPr>
              <w:b/>
              <w:caps/>
              <w:lang w:eastAsia="lt-LT"/>
            </w:rPr>
          </w:pPr>
          <w:r>
            <w:rPr>
              <w:b/>
              <w:szCs w:val="24"/>
              <w:lang w:eastAsia="lt-LT"/>
            </w:rPr>
            <w:t>TVARKOS APRAŠO PATVIRTINIMO</w:t>
          </w:r>
        </w:p>
        <w:p>
          <w:pPr>
            <w:tabs>
              <w:tab w:val="center" w:pos="4153"/>
              <w:tab w:val="right" w:pos="8306"/>
            </w:tabs>
            <w:rPr>
              <w:lang w:eastAsia="lt-LT"/>
            </w:rPr>
          </w:pPr>
        </w:p>
        <w:p>
          <w:pPr>
            <w:ind w:firstLine="62"/>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sdt>
          <w:sdtPr>
            <w:alias w:val="preambule"/>
            <w:tag w:val="part_9f94d21cbbda4542bab3e356c11fc6be"/>
            <w:lock w:val="sdtLocked"/>
            <w:richText/>
          </w:sdtPr>
          <w:sdtContent>
            <w:p>
              <w:pPr>
                <w:ind w:firstLine="720"/>
                <w:jc w:val="both"/>
                <w:rPr>
                  <w:lang w:eastAsia="lt-LT"/>
                </w:rPr>
              </w:pPr>
              <w:r>
                <w:rPr>
                  <w:lang w:eastAsia="lt-LT"/>
                </w:rPr>
                <w:t>Vadovaudamasi Lietuvos Respublikos sveikatos draudimo įstatymo 10 straipsnio 6 dalimi, Lietuvos Respublikos Vyriausybė n u t a r i a:</w:t>
              </w:r>
            </w:p>
          </w:sdtContent>
        </w:sdt>
        <w:sdt>
          <w:sdtPr>
            <w:alias w:val="1 p."/>
            <w:tag w:val="part_dd7ad70c2ca0443d936de68b5f5189e5"/>
            <w:lock w:val="sdtLocked"/>
            <w:richText/>
          </w:sdtPr>
          <w:sdtContent>
            <w:p>
              <w:pPr>
                <w:tabs>
                  <w:tab w:val="left" w:pos="567"/>
                  <w:tab w:val="left" w:pos="993"/>
                </w:tabs>
                <w:ind w:firstLine="720"/>
                <w:jc w:val="both"/>
                <w:rPr>
                  <w:lang w:eastAsia="lt-LT"/>
                </w:rPr>
              </w:pPr>
              <w:sdt>
                <w:sdtPr>
                  <w:alias w:val="Numeris"/>
                  <w:tag w:val="nr_dd7ad70c2ca0443d936de68b5f5189e5"/>
                  <w:lock w:val="sdtLocked"/>
                  <w:richText/>
                </w:sdtPr>
                <w:sdtContent>
                  <w:r>
                    <w:rPr>
                      <w:lang w:eastAsia="lt-LT"/>
                    </w:rPr>
                    <w:t>1</w:t>
                  </w:r>
                </w:sdtContent>
              </w:sdt>
              <w:r>
                <w:rPr>
                  <w:lang w:eastAsia="lt-LT"/>
                </w:rPr>
                <w:t>.</w:t>
                <w:tab/>
                <w:t xml:space="preserve">Patvirtinti Paciento priemokos už kompensuojamuosius vaistinius preparatus ir medicinos pagalbos priemones padengimo </w:t>
              </w:r>
              <w:r>
                <w:rPr>
                  <w:szCs w:val="24"/>
                  <w:lang w:eastAsia="lt-LT"/>
                </w:rPr>
                <w:t>tvarkos aprašą</w:t>
              </w:r>
              <w:r>
                <w:rPr>
                  <w:lang w:eastAsia="lt-LT"/>
                </w:rPr>
                <w:t xml:space="preserve"> (pridedama). </w:t>
              </w:r>
            </w:p>
          </w:sdtContent>
        </w:sdt>
        <w:sdt>
          <w:sdtPr>
            <w:alias w:val="2 p."/>
            <w:tag w:val="part_1b47dbfcfa794009836be9ba5ceebd85"/>
            <w:lock w:val="sdtLocked"/>
            <w:richText/>
          </w:sdtPr>
          <w:sdtContent>
            <w:p>
              <w:pPr>
                <w:tabs>
                  <w:tab w:val="left" w:pos="709"/>
                  <w:tab w:val="left" w:pos="993"/>
                </w:tabs>
                <w:ind w:firstLine="720"/>
                <w:jc w:val="both"/>
                <w:rPr>
                  <w:lang w:eastAsia="lt-LT"/>
                </w:rPr>
              </w:pPr>
              <w:sdt>
                <w:sdtPr>
                  <w:alias w:val="Numeris"/>
                  <w:tag w:val="nr_1b47dbfcfa794009836be9ba5ceebd85"/>
                  <w:lock w:val="sdtLocked"/>
                  <w:richText/>
                </w:sdtPr>
                <w:sdtContent>
                  <w:r>
                    <w:rPr>
                      <w:lang w:eastAsia="lt-LT"/>
                    </w:rPr>
                    <w:t>2</w:t>
                  </w:r>
                </w:sdtContent>
              </w:sdt>
              <w:r>
                <w:rPr>
                  <w:lang w:eastAsia="lt-LT"/>
                </w:rPr>
                <w:t>.</w:t>
                <w:tab/>
                <w:t>Šis nutarimas įsigalioja 2020 m. liepos 1 d.</w:t>
              </w:r>
            </w:p>
          </w:sdtContent>
        </w:sdt>
        <w:sdt>
          <w:sdtPr>
            <w:alias w:val="signatura"/>
            <w:tag w:val="part_e711acb078c3453e87d9a63f802cb06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sdtContent>
        </w:sdt>
      </w:sdtContent>
    </w:sdt>
    <w:sdt>
      <w:sdtPr>
        <w:alias w:val="patvirtinta"/>
        <w:tag w:val="part_266142ee455546618663b05fe3644488"/>
        <w:lock w:val="sdtLocked"/>
        <w:richText/>
      </w:sdtPr>
      <w:sdtContent>
        <w:p>
          <w:pPr>
            <w:tabs>
              <w:tab w:val="center" w:pos="-7800"/>
              <w:tab w:val="center" w:pos="4153"/>
              <w:tab w:val="left" w:pos="6237"/>
              <w:tab w:val="right" w:pos="8306"/>
            </w:tabs>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rPr>
              <w:szCs w:val="24"/>
            </w:rPr>
          </w:pPr>
          <w:r>
            <w:rPr>
              <w:lang w:eastAsia="lt-LT"/>
            </w:rPr>
            <w:t xml:space="preserve">2020 m. birželio 17 d. </w:t>
          </w:r>
          <w:r>
            <w:rPr>
              <w:szCs w:val="24"/>
            </w:rPr>
            <w:t xml:space="preserve">nutarimu Nr. </w:t>
          </w:r>
          <w:r>
            <w:rPr>
              <w:lang w:eastAsia="lt-LT"/>
            </w:rPr>
            <w:t>647</w:t>
          </w:r>
        </w:p>
        <w:p>
          <w:pPr>
            <w:tabs>
              <w:tab w:val="center" w:pos="-7800"/>
              <w:tab w:val="center" w:pos="4153"/>
              <w:tab w:val="left" w:pos="6237"/>
              <w:tab w:val="right" w:pos="8306"/>
            </w:tabs>
            <w:jc w:val="center"/>
            <w:rPr>
              <w:szCs w:val="24"/>
            </w:rPr>
          </w:pPr>
        </w:p>
        <w:p>
          <w:pPr>
            <w:jc w:val="center"/>
            <w:rPr>
              <w:b/>
              <w:bCs/>
            </w:rPr>
          </w:pPr>
        </w:p>
        <w:p>
          <w:pPr>
            <w:jc w:val="center"/>
            <w:rPr>
              <w:b/>
              <w:bCs/>
            </w:rPr>
          </w:pPr>
          <w:sdt>
            <w:sdtPr>
              <w:alias w:val="Pavadinimas"/>
              <w:tag w:val="title_266142ee455546618663b05fe3644488"/>
              <w:lock w:val="sdtLocked"/>
              <w:richText/>
            </w:sdtPr>
            <w:sdtContent>
              <w:r>
                <w:rPr>
                  <w:b/>
                  <w:bCs/>
                </w:rPr>
                <w:t xml:space="preserve">PACIENTO PRIEMOKOS UŽ KOMPENSUOJAMUOSIUS VAISTINIUS PREPARATUS IR MEDICINOS PAGALBOS PRIEMONES PADENGIMO TVARKOS APRAŠAS </w:t>
              </w:r>
            </w:sdtContent>
          </w:sdt>
        </w:p>
        <w:p>
          <w:pPr>
            <w:tabs>
              <w:tab w:val="center" w:pos="-7800"/>
              <w:tab w:val="center" w:pos="4153"/>
              <w:tab w:val="left" w:pos="6237"/>
              <w:tab w:val="right" w:pos="8306"/>
            </w:tabs>
            <w:jc w:val="center"/>
            <w:rPr>
              <w:b/>
              <w:szCs w:val="24"/>
            </w:rPr>
          </w:pPr>
        </w:p>
        <w:p>
          <w:pPr>
            <w:tabs>
              <w:tab w:val="center" w:pos="-7800"/>
              <w:tab w:val="center" w:pos="4153"/>
              <w:tab w:val="left" w:pos="6237"/>
              <w:tab w:val="right" w:pos="8306"/>
            </w:tabs>
          </w:pPr>
        </w:p>
        <w:sdt>
          <w:sdtPr>
            <w:alias w:val="skyrius"/>
            <w:tag w:val="part_8ad50598d7e44efea5eac860f91ddac4"/>
            <w:lock w:val="sdtLocked"/>
            <w:richText/>
          </w:sdtPr>
          <w:sdtContent>
            <w:p>
              <w:pPr>
                <w:tabs>
                  <w:tab w:val="center" w:pos="-7800"/>
                  <w:tab w:val="center" w:pos="4153"/>
                  <w:tab w:val="left" w:pos="6237"/>
                  <w:tab w:val="right" w:pos="8306"/>
                </w:tabs>
                <w:jc w:val="center"/>
                <w:rPr>
                  <w:b/>
                  <w:bCs/>
                </w:rPr>
              </w:pPr>
              <w:sdt>
                <w:sdtPr>
                  <w:alias w:val="Numeris"/>
                  <w:tag w:val="nr_8ad50598d7e44efea5eac860f91ddac4"/>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8ad50598d7e44efea5eac860f91ddac4"/>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2c7246dcb1594b4389b8cf7ce03adaec"/>
                <w:lock w:val="sdtLocked"/>
                <w:richText/>
              </w:sdtPr>
              <w:sdtContent>
                <w:p>
                  <w:pPr>
                    <w:ind w:firstLine="720"/>
                    <w:jc w:val="both"/>
                  </w:pPr>
                  <w:sdt>
                    <w:sdtPr>
                      <w:alias w:val="Numeris"/>
                      <w:tag w:val="nr_2c7246dcb1594b4389b8cf7ce03adaec"/>
                      <w:lock w:val="sdtLocked"/>
                      <w:richText/>
                    </w:sdtPr>
                    <w:sdtContent>
                      <w:r>
                        <w:t>1</w:t>
                      </w:r>
                    </w:sdtContent>
                  </w:sdt>
                  <w:r>
                    <w:t>. Paciento priemokos už kompensuojamuosius vaistinius preparatus ir medicinos pagalbos priemones padengimo tvarkos aprašas (toliau – Aprašas) reglamentuoja Lietuvos Respublikos sveikatos draudimo įstatymo 10 straipsnio 6 dalyje nurodytas sąlygas</w:t>
                  </w:r>
                  <w:r>
                    <w:rPr>
                      <w:szCs w:val="24"/>
                    </w:rPr>
                    <w:t xml:space="preserve"> atitinkančių </w:t>
                  </w:r>
                  <w:r>
                    <w:t>privalomuoju sveikatos draudimu</w:t>
                  </w:r>
                  <w:r>
                    <w:rPr>
                      <w:szCs w:val="24"/>
                    </w:rPr>
                    <w:t xml:space="preserve"> apdraustų asmenų (toliau – apdraustieji) </w:t>
                  </w:r>
                  <w:r>
                    <w:t xml:space="preserve">išlaidų kompensuojamiesiems vaistiniams preparatams, kompensuojamosioms medicinos pagalbos priemonėms sumažinimo, kompensuojant paciento priemoką tikslinėmis valstybės biudžeto lėšomis, pervestomis į Privalomojo sveikatos draudimo fondo (toliau – PSDF) biudžetą, tvarką. </w:t>
                  </w:r>
                </w:p>
              </w:sdtContent>
            </w:sdt>
            <w:sdt>
              <w:sdtPr>
                <w:alias w:val="2 p."/>
                <w:tag w:val="part_f95d77b1d9e74865950b6ea23b1a31b2"/>
                <w:lock w:val="sdtLocked"/>
                <w:richText/>
              </w:sdtPr>
              <w:sdtContent>
                <w:p>
                  <w:pPr>
                    <w:tabs>
                      <w:tab w:val="center" w:pos="-7800"/>
                      <w:tab w:val="center" w:pos="4153"/>
                      <w:tab w:val="left" w:pos="6237"/>
                      <w:tab w:val="right" w:pos="8306"/>
                    </w:tabs>
                    <w:ind w:firstLine="720"/>
                    <w:jc w:val="both"/>
                    <w:rPr>
                      <w:szCs w:val="24"/>
                    </w:rPr>
                  </w:pPr>
                  <w:sdt>
                    <w:sdtPr>
                      <w:alias w:val="Numeris"/>
                      <w:tag w:val="nr_f95d77b1d9e74865950b6ea23b1a31b2"/>
                      <w:lock w:val="sdtLocked"/>
                      <w:richText/>
                    </w:sdtPr>
                    <w:sdtContent>
                      <w:r>
                        <w:rPr>
                          <w:color w:val="000000"/>
                          <w:szCs w:val="24"/>
                        </w:rPr>
                        <w:t>2</w:t>
                      </w:r>
                    </w:sdtContent>
                  </w:sdt>
                  <w:r>
                    <w:rPr>
                      <w:color w:val="000000"/>
                      <w:szCs w:val="24"/>
                    </w:rPr>
                    <w:t xml:space="preserve">. Apraše vartojamos sąvokos </w:t>
                  </w:r>
                  <w:r>
                    <w:rPr>
                      <w:szCs w:val="24"/>
                    </w:rPr>
                    <w:t xml:space="preserve">apibrėžtos Lietuvos Respublikos farmacijos įstatyme, Lietuvos Respublikos sveikatos draudimo įstatyme, Lietuvos Respublikos sveikatos sistemos įstatyme ir Lietuvos Respublikos 2005 m. rugsėjo 13 d. nutarime Nr. 994 „Dėl </w:t>
                  </w:r>
                  <w:r>
                    <w:rPr>
                      <w:color w:val="000000"/>
                      <w:szCs w:val="24"/>
                      <w:shd w:val="clear" w:color="auto" w:fill="FFFFFF"/>
                    </w:rPr>
                    <w:t xml:space="preserve">Ambulatoriniam gydymui skiriamų vaistinių preparatų ir medicinos pagalbos priemonių bazinių kainų ir paciento priemokų už juos apskaičiavimo tvarkos aprašo patvirtinimo“. </w:t>
                  </w:r>
                </w:p>
                <w:p>
                  <w:pPr>
                    <w:tabs>
                      <w:tab w:val="center" w:pos="-7800"/>
                      <w:tab w:val="center" w:pos="4153"/>
                      <w:tab w:val="left" w:pos="6237"/>
                      <w:tab w:val="right" w:pos="8306"/>
                    </w:tabs>
                    <w:rPr>
                      <w:i/>
                      <w:iCs/>
                    </w:rPr>
                  </w:pPr>
                </w:p>
              </w:sdtContent>
            </w:sdt>
          </w:sdtContent>
        </w:sdt>
        <w:sdt>
          <w:sdtPr>
            <w:alias w:val="skyrius"/>
            <w:tag w:val="part_b1e845f701064a619cf67e4f788ab91e"/>
            <w:lock w:val="sdtLocked"/>
            <w:richText/>
          </w:sdtPr>
          <w:sdtContent>
            <w:p>
              <w:pPr>
                <w:tabs>
                  <w:tab w:val="center" w:pos="-7800"/>
                  <w:tab w:val="center" w:pos="4153"/>
                  <w:tab w:val="left" w:pos="6237"/>
                  <w:tab w:val="right" w:pos="8306"/>
                </w:tabs>
                <w:jc w:val="center"/>
                <w:rPr>
                  <w:b/>
                  <w:bCs/>
                </w:rPr>
              </w:pPr>
              <w:sdt>
                <w:sdtPr>
                  <w:alias w:val="Numeris"/>
                  <w:tag w:val="nr_b1e845f701064a619cf67e4f788ab91e"/>
                  <w:lock w:val="sdtLocked"/>
                  <w:richText/>
                </w:sdtPr>
                <w:sdtContent>
                  <w:r>
                    <w:rPr>
                      <w:b/>
                      <w:bCs/>
                    </w:rPr>
                    <w:t>II</w:t>
                  </w:r>
                </w:sdtContent>
              </w:sdt>
              <w:r>
                <w:rPr>
                  <w:b/>
                  <w:bCs/>
                </w:rPr>
                <w:t xml:space="preserve"> SKYRIUS</w:t>
              </w:r>
            </w:p>
            <w:p>
              <w:pPr>
                <w:jc w:val="center"/>
                <w:rPr>
                  <w:b/>
                  <w:bCs/>
                  <w:caps/>
                </w:rPr>
              </w:pPr>
              <w:sdt>
                <w:sdtPr>
                  <w:alias w:val="Pavadinimas"/>
                  <w:tag w:val="title_b1e845f701064a619cf67e4f788ab91e"/>
                  <w:lock w:val="sdtLocked"/>
                  <w:richText/>
                </w:sdtPr>
                <w:sdtContent>
                  <w:r>
                    <w:rPr>
                      <w:b/>
                      <w:bCs/>
                      <w:caps/>
                    </w:rPr>
                    <w:t>ASMENS teisės į paciento priemokos padengimą nustatymo tvarkA</w:t>
                  </w:r>
                </w:sdtContent>
              </w:sdt>
            </w:p>
            <w:p>
              <w:pPr>
                <w:jc w:val="center"/>
                <w:rPr>
                  <w:b/>
                  <w:bCs/>
                  <w:caps/>
                </w:rPr>
              </w:pPr>
            </w:p>
            <w:sdt>
              <w:sdtPr>
                <w:alias w:val="3 p."/>
                <w:tag w:val="part_22122592298349b2a52ae3d7a76c1f2d"/>
                <w:lock w:val="sdtLocked"/>
                <w:richText/>
              </w:sdtPr>
              <w:sdtContent>
                <w:p>
                  <w:pPr>
                    <w:tabs>
                      <w:tab w:val="center" w:pos="-7800"/>
                      <w:tab w:val="right" w:pos="8306"/>
                    </w:tabs>
                    <w:ind w:firstLine="709"/>
                    <w:jc w:val="both"/>
                    <w:rPr>
                      <w:lang w:eastAsia="lt-LT"/>
                    </w:rPr>
                  </w:pPr>
                  <w:sdt>
                    <w:sdtPr>
                      <w:alias w:val="Numeris"/>
                      <w:tag w:val="nr_22122592298349b2a52ae3d7a76c1f2d"/>
                      <w:lock w:val="sdtLocked"/>
                      <w:richText/>
                    </w:sdtPr>
                    <w:sdtContent>
                      <w:r>
                        <w:rPr>
                          <w:szCs w:val="24"/>
                          <w:lang w:eastAsia="lt-LT"/>
                        </w:rPr>
                        <w:t>3</w:t>
                      </w:r>
                    </w:sdtContent>
                  </w:sdt>
                  <w:r>
                    <w:rPr>
                      <w:szCs w:val="24"/>
                      <w:lang w:eastAsia="lt-LT"/>
                    </w:rPr>
                    <w:t>.</w:t>
                  </w:r>
                  <w:r>
                    <w:rPr>
                      <w:lang w:eastAsia="lt-LT"/>
                    </w:rPr>
                    <w:t xml:space="preserve"> Asmens teisė į paciento priemokos padengimą nustatoma pagal Elektroninės sveikatos paslaugų ir bendradarbiavimo infrastruktūros informacinės sistemos (toliau – ESPBI IS) duomenis ir (ar) informaciją (toliau – informacija), gautą iš:</w:t>
                  </w:r>
                </w:p>
                <w:sdt>
                  <w:sdtPr>
                    <w:alias w:val="3.1 pp."/>
                    <w:tag w:val="part_337617071b484a5899fffb3cdaeb81b6"/>
                    <w:lock w:val="sdtLocked"/>
                    <w:richText/>
                  </w:sdtPr>
                  <w:sdtContent>
                    <w:p>
                      <w:pPr>
                        <w:tabs>
                          <w:tab w:val="center" w:pos="-7800"/>
                          <w:tab w:val="right" w:pos="8306"/>
                        </w:tabs>
                        <w:ind w:firstLine="709"/>
                        <w:jc w:val="both"/>
                        <w:rPr>
                          <w:lang w:eastAsia="lt-LT"/>
                        </w:rPr>
                      </w:pPr>
                      <w:sdt>
                        <w:sdtPr>
                          <w:alias w:val="Numeris"/>
                          <w:tag w:val="nr_337617071b484a5899fffb3cdaeb81b6"/>
                          <w:lock w:val="sdtLocked"/>
                          <w:richText/>
                        </w:sdtPr>
                        <w:sdtContent>
                          <w:r>
                            <w:rPr>
                              <w:lang w:eastAsia="lt-LT"/>
                            </w:rPr>
                            <w:t>3.1</w:t>
                          </w:r>
                        </w:sdtContent>
                      </w:sdt>
                      <w:r>
                        <w:rPr>
                          <w:lang w:eastAsia="lt-LT"/>
                        </w:rPr>
                        <w:t xml:space="preserve">. Valstybinio socialinio draudimo fondo valdybos prie Socialinės apsaugos ir darbo ministerijos informacinės sistemos (toliau – SODROS informacinė sistema), nurodant, kad </w:t>
                      </w:r>
                      <w:r>
                        <w:rPr>
                          <w:szCs w:val="24"/>
                          <w:lang w:eastAsia="lt-LT"/>
                        </w:rPr>
                        <w:t xml:space="preserve">senatvės pensijos amžių sukakusiems arba Lietuvos Respublikos neįgaliųjų socialinės integracijos įstatyme nurodytiems neįgaliesiems asmenims užpraeitą mėnesį gautų </w:t>
                      </w:r>
                      <w:r>
                        <w:rPr>
                          <w:lang w:eastAsia="lt-LT"/>
                        </w:rPr>
                        <w:t xml:space="preserve">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100 procentų ar daugiau einamųjų metų minimalių vartojimo poreikių dydžio, apskaičiuoto Lietuvos Respublikos socialinės paramos išmokų atskaitos rodiklių ir bazinio bausmių ir nuobaudų dydžio nustatymo įstatymo nustatyta tvarka;   </w:t>
                      </w:r>
                    </w:p>
                  </w:sdtContent>
                </w:sdt>
                <w:sdt>
                  <w:sdtPr>
                    <w:alias w:val="3.2 pp."/>
                    <w:tag w:val="part_e9740f0498f74db48391c4eb83228417"/>
                    <w:lock w:val="sdtLocked"/>
                    <w:richText/>
                  </w:sdtPr>
                  <w:sdtContent>
                    <w:p>
                      <w:pPr>
                        <w:tabs>
                          <w:tab w:val="center" w:pos="-7800"/>
                          <w:tab w:val="right" w:pos="8306"/>
                        </w:tabs>
                        <w:ind w:firstLine="709"/>
                        <w:jc w:val="both"/>
                        <w:rPr>
                          <w:lang w:eastAsia="lt-LT"/>
                        </w:rPr>
                      </w:pPr>
                      <w:sdt>
                        <w:sdtPr>
                          <w:alias w:val="Numeris"/>
                          <w:tag w:val="nr_e9740f0498f74db48391c4eb83228417"/>
                          <w:lock w:val="sdtLocked"/>
                          <w:richText/>
                        </w:sdtPr>
                        <w:sdtContent>
                          <w:r>
                            <w:rPr>
                              <w:lang w:eastAsia="lt-LT"/>
                            </w:rPr>
                            <w:t>3.2</w:t>
                          </w:r>
                        </w:sdtContent>
                      </w:sdt>
                      <w:r>
                        <w:rPr>
                          <w:lang w:eastAsia="lt-LT"/>
                        </w:rP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teisėjui, kuris gauna mažesnę valstybinę pensiją nei 100 procentų einamųjų metų minimalių vartojimo poreikių dydžio, apskaičiuoto Socialinės paramos išmokų atskaitos rodiklių ir bazinio bausmių ir nuobaudų dydžio nustatymo įstatymo nustatyta tvarka; </w:t>
                      </w:r>
                    </w:p>
                  </w:sdtContent>
                </w:sdt>
                <w:sdt>
                  <w:sdtPr>
                    <w:alias w:val="3.3 pp."/>
                    <w:tag w:val="part_444ad9185ac743639f2ee146cb90a2b9"/>
                    <w:lock w:val="sdtLocked"/>
                    <w:richText/>
                  </w:sdtPr>
                  <w:sdtContent>
                    <w:p>
                      <w:pPr>
                        <w:tabs>
                          <w:tab w:val="center" w:pos="-7800"/>
                          <w:tab w:val="center" w:pos="4153"/>
                          <w:tab w:val="left" w:pos="6237"/>
                          <w:tab w:val="right" w:pos="8306"/>
                        </w:tabs>
                        <w:ind w:firstLine="720"/>
                        <w:jc w:val="both"/>
                      </w:pPr>
                      <w:sdt>
                        <w:sdtPr>
                          <w:alias w:val="Numeris"/>
                          <w:tag w:val="nr_444ad9185ac743639f2ee146cb90a2b9"/>
                          <w:lock w:val="sdtLocked"/>
                          <w:richText/>
                        </w:sdtPr>
                        <w:sdtContent>
                          <w:r>
                            <w:rPr>
                              <w:lang w:eastAsia="lt-LT"/>
                            </w:rPr>
                            <w:t>3.3</w:t>
                          </w:r>
                        </w:sdtContent>
                      </w:sdt>
                      <w:r>
                        <w:rPr>
                          <w:lang w:eastAsia="lt-LT"/>
                        </w:rPr>
                        <w:t>.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asmeniui, kuris gauna mažesnę rentą nei 100 procentų einamųjų metų minimalių vartojimo poreikių dydžio, apskaičiuoto Socialinės paramos išmokų atskaitos rodiklių ir bazinio bausmių ir nuobaudų dydžio nustatymo įstatymo nustatyta tvarka.</w:t>
                      </w:r>
                      <w:r>
                        <w:t xml:space="preserve"> </w:t>
                      </w:r>
                    </w:p>
                  </w:sdtContent>
                </w:sdt>
                <w:sdt>
                  <w:sdtPr>
                    <w:alias w:val="3.4 pp."/>
                    <w:tag w:val="part_471a43bc3e3449d6a5f8ff96d7b40220"/>
                    <w:lock w:val="sdtLocked"/>
                    <w:richText/>
                  </w:sdtPr>
                  <w:sdtContent>
                    <w:p>
                      <w:pPr>
                        <w:tabs>
                          <w:tab w:val="center" w:pos="-7800"/>
                          <w:tab w:val="right" w:pos="8306"/>
                        </w:tabs>
                        <w:ind w:firstLine="709"/>
                        <w:jc w:val="both"/>
                      </w:pPr>
                      <w:sdt>
                        <w:sdtPr>
                          <w:alias w:val="Numeris"/>
                          <w:tag w:val="nr_471a43bc3e3449d6a5f8ff96d7b40220"/>
                          <w:lock w:val="sdtLocked"/>
                          <w:richText/>
                        </w:sdtPr>
                        <w:sdtContent>
                          <w:r>
                            <w:rPr>
                              <w:szCs w:val="24"/>
                              <w:lang w:eastAsia="lt-LT"/>
                            </w:rPr>
                            <w:t>3.4</w:t>
                          </w:r>
                        </w:sdtContent>
                      </w:sdt>
                      <w:r>
                        <w:rPr>
                          <w:szCs w:val="24"/>
                          <w:lang w:eastAsia="lt-LT"/>
                        </w:rPr>
                        <w:t>. paciento, tais atvejais, kai nėra galimybių išrašyti elektroninio recepto ir (ar) ESPBI IS patikrinti, ar pacientas turi teisę į paciento priemokos padengimą (toliau – ESPBI IS sutrikimai) – jam pateikus asmens tapatybę patvirtinantį dokumentą ir receptą, išrašytą sveikatos apsaugos ministro nustatytos formos kompensuojamųjų vaistų ir kompensuojamųjų medicinos pagalbos priemonių recepto blanke (toliau – popierinis receptas).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vaistinėms ir ūkio subjektams Aprašo III skyriuje nustatyta tvarka apmokama už paciento priemokos padengimą nuo 2021 m. kovo 1 d., jei šiuo laikotarpiu jie kompensuojamuosius vaistinius preparatus ir kompensuojamąsias medicinos pagalbos priemones išdavė  3.4 papunktyje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58380e07611eb9f09e7df20500045">
                        <w:r w:rsidRPr="00532B9F">
                          <w:rPr>
                            <w:rFonts w:ascii="Times New Roman" w:eastAsia="MS Mincho" w:hAnsi="Times New Roman"/>
                            <w:sz w:val="20"/>
                            <w:i/>
                            <w:iCs/>
                            <w:color w:val="0000FF" w:themeColor="hyperlink"/>
                            <w:u w:val="single"/>
                          </w:rPr>
                          <w:t>539</w:t>
                        </w:r>
                      </w:fldSimple>
                      <w:r>
                        <w:rPr>
                          <w:rFonts w:ascii="Times New Roman" w:eastAsia="MS Mincho" w:hAnsi="Times New Roman"/>
                          <w:sz w:val="20"/>
                          <w:i/>
                          <w:iCs/>
                        </w:rPr>
                        <w:t>,
2021-07-07,
paskelbta TAR 2021-07-09, i. k. 2021-15650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4 p."/>
                <w:tag w:val="part_ad296ea721034cf59d186a3ade58f4b2"/>
                <w:lock w:val="sdtLocked"/>
                <w:richText/>
              </w:sdtPr>
              <w:sdtContent>
                <w:p>
                  <w:pPr>
                    <w:tabs>
                      <w:tab w:val="center" w:pos="-7800"/>
                      <w:tab w:val="center" w:pos="4153"/>
                      <w:tab w:val="left" w:pos="6237"/>
                      <w:tab w:val="right" w:pos="8306"/>
                    </w:tabs>
                    <w:ind w:firstLine="720"/>
                    <w:jc w:val="both"/>
                    <w:rPr>
                      <w:lang w:eastAsia="lt-LT"/>
                    </w:rPr>
                  </w:pPr>
                  <w:sdt>
                    <w:sdtPr>
                      <w:alias w:val="Numeris"/>
                      <w:tag w:val="nr_ad296ea721034cf59d186a3ade58f4b2"/>
                      <w:lock w:val="sdtLocked"/>
                      <w:richText/>
                    </w:sdtPr>
                    <w:sdtContent>
                      <w:r>
                        <w:rPr>
                          <w:lang w:eastAsia="lt-LT"/>
                        </w:rPr>
                        <w:t>4</w:t>
                      </w:r>
                    </w:sdtContent>
                  </w:sdt>
                  <w:r>
                    <w:rPr>
                      <w:lang w:eastAsia="lt-LT"/>
                    </w:rPr>
                    <w:t>. Nustatant, ar asmuo turi teisę į paciento priemokos padengimą:</w:t>
                  </w:r>
                </w:p>
                <w:sdt>
                  <w:sdtPr>
                    <w:alias w:val="4.1 pp."/>
                    <w:tag w:val="part_0701429040f247998f57a9fee08e26da"/>
                    <w:lock w:val="sdtLocked"/>
                    <w:richText/>
                  </w:sdtPr>
                  <w:sdtContent>
                    <w:p>
                      <w:pPr>
                        <w:tabs>
                          <w:tab w:val="center" w:pos="-7800"/>
                          <w:tab w:val="center" w:pos="4153"/>
                          <w:tab w:val="left" w:pos="6237"/>
                          <w:tab w:val="right" w:pos="8306"/>
                        </w:tabs>
                        <w:ind w:firstLine="720"/>
                        <w:jc w:val="both"/>
                        <w:rPr>
                          <w:lang w:eastAsia="lt-LT"/>
                        </w:rPr>
                      </w:pPr>
                      <w:sdt>
                        <w:sdtPr>
                          <w:alias w:val="Numeris"/>
                          <w:tag w:val="nr_0701429040f247998f57a9fee08e26da"/>
                          <w:lock w:val="sdtLocked"/>
                          <w:richText/>
                        </w:sdtPr>
                        <w:sdtContent>
                          <w:r>
                            <w:rPr>
                              <w:lang w:eastAsia="lt-LT"/>
                            </w:rPr>
                            <w:t>4.1</w:t>
                          </w:r>
                        </w:sdtContent>
                      </w:sdt>
                      <w:r>
                        <w:rPr>
                          <w:lang w:eastAsia="lt-LT"/>
                        </w:rPr>
                        <w:t xml:space="preserve">. ESPBI IS patikrinama, ar asmuo yra 75 metų, ar vyresnis. Informacija apie asmens amžių pateikiama iš </w:t>
                      </w:r>
                      <w:r>
                        <w:rPr>
                          <w:color w:val="000000"/>
                          <w:szCs w:val="24"/>
                          <w:lang w:eastAsia="lt-LT"/>
                        </w:rPr>
                        <w:t>Lietuvos Respublikos draudžiamųjų privalomuoju sveikatos draudimu registro</w:t>
                      </w:r>
                      <w:r>
                        <w:rPr>
                          <w:color w:val="444444"/>
                          <w:sz w:val="18"/>
                          <w:szCs w:val="18"/>
                          <w:lang w:eastAsia="lt-LT"/>
                        </w:rPr>
                        <w:t xml:space="preserve"> </w:t>
                      </w:r>
                      <w:r>
                        <w:rPr>
                          <w:color w:val="000000"/>
                          <w:szCs w:val="24"/>
                          <w:lang w:eastAsia="lt-LT"/>
                        </w:rPr>
                        <w:t>(toliau –</w:t>
                      </w:r>
                      <w:r>
                        <w:rPr>
                          <w:color w:val="000000"/>
                          <w:sz w:val="18"/>
                          <w:szCs w:val="18"/>
                          <w:lang w:eastAsia="lt-LT"/>
                        </w:rPr>
                        <w:t xml:space="preserve"> </w:t>
                      </w:r>
                      <w:r>
                        <w:rPr>
                          <w:lang w:eastAsia="lt-LT"/>
                        </w:rPr>
                        <w:t>Draudžiamųjų registras), kartu atliekant patikrinimą apie asmens draustumą privalomuoju sveikatos draudimu. Jei apdraustasis yra 75 metų ar vyresnis, ESPBI IS nurodoma, kad jis turi teisę į paciento priemokos padengimą;</w:t>
                      </w:r>
                    </w:p>
                  </w:sdtContent>
                </w:sdt>
                <w:sdt>
                  <w:sdtPr>
                    <w:alias w:val="4.2 pp."/>
                    <w:tag w:val="part_17b44ed3cff140eb9d28ca642a46cd8c"/>
                    <w:lock w:val="sdtLocked"/>
                    <w:richText/>
                  </w:sdtPr>
                  <w:sdtContent>
                    <w:p>
                      <w:pPr>
                        <w:tabs>
                          <w:tab w:val="center" w:pos="-7800"/>
                          <w:tab w:val="center" w:pos="4153"/>
                          <w:tab w:val="left" w:pos="6237"/>
                          <w:tab w:val="right" w:pos="8306"/>
                        </w:tabs>
                        <w:ind w:firstLine="720"/>
                        <w:jc w:val="both"/>
                        <w:rPr>
                          <w:lang w:eastAsia="lt-LT"/>
                        </w:rPr>
                      </w:pPr>
                      <w:sdt>
                        <w:sdtPr>
                          <w:alias w:val="Numeris"/>
                          <w:tag w:val="nr_17b44ed3cff140eb9d28ca642a46cd8c"/>
                          <w:lock w:val="sdtLocked"/>
                          <w:richText/>
                        </w:sdtPr>
                        <w:sdtContent>
                          <w:r>
                            <w:rPr>
                              <w:lang w:eastAsia="lt-LT"/>
                            </w:rPr>
                            <w:t>4.2</w:t>
                          </w:r>
                        </w:sdtContent>
                      </w:sdt>
                      <w:r>
                        <w:rPr>
                          <w:lang w:eastAsia="lt-LT"/>
                        </w:rPr>
                        <w:t>. ESPBI IS patikrinama, ar asmuo yra įtrauktas į Nacionalinės teismų administracijos pateikiamą teisėjų, kuriems Teisėjų valstybinių pensijų įstatymo nustatyta tvarka skirtos teisėjų valstybinės pensijos, sąrašą ir jam mokama valstybinė pensija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3 pp."/>
                    <w:tag w:val="part_d8d4526e83c04bc79ed2aab4c5ad7f11"/>
                    <w:lock w:val="sdtLocked"/>
                    <w:richText/>
                  </w:sdtPr>
                  <w:sdtContent>
                    <w:p>
                      <w:pPr>
                        <w:tabs>
                          <w:tab w:val="center" w:pos="-7800"/>
                          <w:tab w:val="center" w:pos="4153"/>
                          <w:tab w:val="left" w:pos="6237"/>
                          <w:tab w:val="right" w:pos="8306"/>
                        </w:tabs>
                        <w:ind w:firstLine="720"/>
                        <w:jc w:val="both"/>
                        <w:rPr>
                          <w:lang w:eastAsia="lt-LT"/>
                        </w:rPr>
                      </w:pPr>
                      <w:sdt>
                        <w:sdtPr>
                          <w:alias w:val="Numeris"/>
                          <w:tag w:val="nr_d8d4526e83c04bc79ed2aab4c5ad7f11"/>
                          <w:lock w:val="sdtLocked"/>
                          <w:richText/>
                        </w:sdtPr>
                        <w:sdtContent>
                          <w:r>
                            <w:rPr>
                              <w:lang w:eastAsia="lt-LT"/>
                            </w:rPr>
                            <w:t>4.3</w:t>
                          </w:r>
                        </w:sdtContent>
                      </w:sdt>
                      <w:r>
                        <w:rPr>
                          <w:lang w:eastAsia="lt-LT"/>
                        </w:rPr>
                        <w:t xml:space="preserve">. ESPBI IS patikrinama, ar asmuo yra įtrauktas į Lietuvos Respublikos Seimo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4 pp."/>
                    <w:tag w:val="part_13111dfa9089493cbcb291c09185a3b0"/>
                    <w:lock w:val="sdtLocked"/>
                    <w:richText/>
                  </w:sdtPr>
                  <w:sdtContent>
                    <w:p>
                      <w:pPr>
                        <w:tabs>
                          <w:tab w:val="center" w:pos="-7800"/>
                          <w:tab w:val="left" w:pos="709"/>
                          <w:tab w:val="right" w:pos="8306"/>
                        </w:tabs>
                        <w:ind w:firstLine="720"/>
                        <w:jc w:val="both"/>
                      </w:pPr>
                      <w:sdt>
                        <w:sdtPr>
                          <w:alias w:val="Numeris"/>
                          <w:tag w:val="nr_13111dfa9089493cbcb291c09185a3b0"/>
                          <w:lock w:val="sdtLocked"/>
                          <w:richText/>
                        </w:sdtPr>
                        <w:sdtContent>
                          <w:r>
                            <w:rPr>
                              <w:lang w:eastAsia="lt-LT"/>
                            </w:rPr>
                            <w:t>4.4</w:t>
                          </w:r>
                        </w:sdtContent>
                      </w:sdt>
                      <w:r>
                        <w:rPr>
                          <w:lang w:eastAsia="lt-LT"/>
                        </w:rPr>
                        <w:t xml:space="preserve">. jei pagal Aprašo 4.1 papunktį nenustatoma, kad asmuo turi teisę į paciento priemokos padengimą arba pagal Aprašo 4.2–4.3 papunkčius jis neturi teisės į paciento priemokos padengimą, kreipiamasi į SODROS informacinę sistemą ir patikrinama, ar asmuo yra sukakęs senatvės pensijos amžių arba vadovaujantis Neįgaliųjų socialinės integracijos įstatymu yra pripažintas neįgaliu. Jei gaunamas teigiamas atsakymas, tokiu atveju SODROS informacinė sistema pateikia atsakymą, ar asmens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100 procentų ar daugiau einamųjų metų minimalių vartojimo poreikių dydžio, apskaičiuoto Socialinės paramos išmokų atskaitos rodiklių ir bazinio bausmių ir nuobaudų dydžio nustatymo įstatymo nustatyta tvarka. Jei gaunamas neigiamas atsakymas, ESPBI IS nurodoma, kad asmuo turi teisę į paciento priemokos padengimą.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5 p."/>
                <w:tag w:val="part_4ddc0e0d20cf497e99f7df4a2615b998"/>
                <w:lock w:val="sdtLocked"/>
                <w:richText/>
              </w:sdtPr>
              <w:sdtContent>
                <w:p>
                  <w:pPr>
                    <w:tabs>
                      <w:tab w:val="center" w:pos="-7800"/>
                      <w:tab w:val="center" w:pos="4153"/>
                      <w:tab w:val="left" w:pos="6237"/>
                      <w:tab w:val="right" w:pos="8306"/>
                    </w:tabs>
                    <w:ind w:firstLine="720"/>
                    <w:jc w:val="both"/>
                    <w:rPr>
                      <w:color w:val="000000"/>
                    </w:rPr>
                  </w:pPr>
                  <w:sdt>
                    <w:sdtPr>
                      <w:alias w:val="Numeris"/>
                      <w:tag w:val="nr_4ddc0e0d20cf497e99f7df4a2615b998"/>
                      <w:lock w:val="sdtLocked"/>
                      <w:richText/>
                    </w:sdtPr>
                    <w:sdtContent>
                      <w:r>
                        <w:rPr>
                          <w:color w:val="000000"/>
                        </w:rPr>
                        <w:t>5</w:t>
                      </w:r>
                    </w:sdtContent>
                  </w:sdt>
                  <w:r>
                    <w:rPr>
                      <w:color w:val="000000"/>
                    </w:rPr>
                    <w:t>. Asmuo ESPBI IS teikiamomis priemonėmis gali pasitikrinti, ar jis turi teisę</w:t>
                  </w:r>
                  <w:r>
                    <w:t xml:space="preserve"> į </w:t>
                  </w:r>
                  <w:r>
                    <w:rPr>
                      <w:color w:val="000000"/>
                    </w:rPr>
                    <w:t xml:space="preserve">paciento priemokos padengimą. </w:t>
                  </w:r>
                </w:p>
              </w:sdtContent>
            </w:sdt>
            <w:sdt>
              <w:sdtPr>
                <w:alias w:val="6 p."/>
                <w:tag w:val="part_cc9caf486b7a4b23907e0ffb27c2f809"/>
                <w:lock w:val="sdtLocked"/>
                <w:richText/>
              </w:sdtPr>
              <w:sdtContent>
                <w:p>
                  <w:pPr>
                    <w:ind w:firstLine="720"/>
                    <w:jc w:val="both"/>
                    <w:rPr>
                      <w:lang w:eastAsia="lt-LT"/>
                    </w:rPr>
                  </w:pPr>
                  <w:sdt>
                    <w:sdtPr>
                      <w:alias w:val="Numeris"/>
                      <w:tag w:val="nr_cc9caf486b7a4b23907e0ffb27c2f809"/>
                      <w:lock w:val="sdtLocked"/>
                      <w:richText/>
                    </w:sdtPr>
                    <w:sdtContent>
                      <w:r>
                        <w:rPr>
                          <w:color w:val="000000"/>
                          <w:lang w:eastAsia="lt-LT"/>
                        </w:rPr>
                        <w:t>6</w:t>
                      </w:r>
                    </w:sdtContent>
                  </w:sdt>
                  <w:r>
                    <w:rPr>
                      <w:color w:val="000000"/>
                      <w:lang w:eastAsia="lt-LT"/>
                    </w:rPr>
                    <w:t>. Informacija, ar asmuo turi teisę į paciento priemokos padengimą, turi būti tikrinama ESPBI IS teikiamomis priemonėmis arba</w:t>
                  </w:r>
                  <w:r>
                    <w:rPr>
                      <w:lang w:eastAsia="lt-LT"/>
                    </w:rPr>
                    <w:t xml:space="preserve"> asmeniui pateikus popierinį receptą –</w:t>
                  </w:r>
                  <w:r>
                    <w:rPr>
                      <w:color w:val="000000"/>
                      <w:lang w:eastAsia="lt-LT"/>
                    </w:rPr>
                    <w:t xml:space="preserve"> </w:t>
                  </w:r>
                  <w:r>
                    <w:rPr>
                      <w:lang w:eastAsia="lt-LT"/>
                    </w:rPr>
                    <w:t>Aprašo 3.4 papunktyje nustatyta tvarka:</w:t>
                  </w:r>
                </w:p>
                <w:sdt>
                  <w:sdtPr>
                    <w:alias w:val="6.1 pp."/>
                    <w:tag w:val="part_fa3d2ec687094a339f279737d353f9c0"/>
                    <w:lock w:val="sdtLocked"/>
                    <w:richText/>
                  </w:sdtPr>
                  <w:sdtContent>
                    <w:p>
                      <w:pPr>
                        <w:ind w:firstLine="720"/>
                        <w:jc w:val="both"/>
                        <w:rPr>
                          <w:color w:val="000000"/>
                          <w:lang w:eastAsia="lt-LT"/>
                        </w:rPr>
                      </w:pPr>
                      <w:sdt>
                        <w:sdtPr>
                          <w:alias w:val="Numeris"/>
                          <w:tag w:val="nr_fa3d2ec687094a339f279737d353f9c0"/>
                          <w:lock w:val="sdtLocked"/>
                          <w:richText/>
                        </w:sdtPr>
                        <w:sdtContent>
                          <w:r>
                            <w:rPr>
                              <w:color w:val="000000"/>
                              <w:lang w:eastAsia="lt-LT"/>
                            </w:rPr>
                            <w:t>6.1</w:t>
                          </w:r>
                        </w:sdtContent>
                      </w:sdt>
                      <w:r>
                        <w:rPr>
                          <w:color w:val="000000"/>
                          <w:lang w:eastAsia="lt-LT"/>
                        </w:rPr>
                        <w:t xml:space="preserve">. vaistinėje prieš išduodant (parduodant) kompensuojamuosius vaistinius preparatus ir (ar) kompensuojamąsias medicinos pagalbos priemones pagal elektroninius arba </w:t>
                      </w:r>
                      <w:r>
                        <w:rPr>
                          <w:lang w:eastAsia="lt-LT"/>
                        </w:rPr>
                        <w:t>Aprašo 3.4 papunktyje nurodytu atveju</w:t>
                      </w:r>
                      <w:r>
                        <w:rPr>
                          <w:color w:val="000000"/>
                          <w:lang w:eastAsia="lt-LT"/>
                        </w:rPr>
                        <w:t xml:space="preserve"> popierinius receptus, kitame ūkio subjekte, kuris turi teisę išduoti (parduoti) kompensuojamąsias medicinos pagalbos priemones – prieš išduodant (parduodant) kompensuojamąsias medicinos pagalbos priemones pagal elektroninius receptus arba </w:t>
                      </w:r>
                      <w:r>
                        <w:rPr>
                          <w:lang w:eastAsia="lt-LT"/>
                        </w:rPr>
                        <w:t>Aprašo 3.4 papunktyje nurodytu atveju</w:t>
                      </w:r>
                      <w:r>
                        <w:rPr>
                          <w:color w:val="000000"/>
                          <w:lang w:eastAsia="lt-LT"/>
                        </w:rPr>
                        <w:t xml:space="preserve"> popierinius;</w:t>
                      </w:r>
                    </w:p>
                  </w:sdtContent>
                </w:sdt>
                <w:sdt>
                  <w:sdtPr>
                    <w:alias w:val="6.2 pp."/>
                    <w:tag w:val="part_37f1d223880a47efbc3b1c51d0ed70de"/>
                    <w:lock w:val="sdtLocked"/>
                    <w:richText/>
                  </w:sdtPr>
                  <w:sdtContent>
                    <w:p>
                      <w:pPr>
                        <w:ind w:firstLine="720"/>
                        <w:jc w:val="both"/>
                        <w:rPr>
                          <w:color w:val="000000"/>
                          <w:lang w:eastAsia="lt-LT"/>
                        </w:rPr>
                      </w:pPr>
                      <w:sdt>
                        <w:sdtPr>
                          <w:alias w:val="Numeris"/>
                          <w:tag w:val="nr_37f1d223880a47efbc3b1c51d0ed70de"/>
                          <w:lock w:val="sdtLocked"/>
                          <w:richText/>
                        </w:sdtPr>
                        <w:sdtContent>
                          <w:r>
                            <w:rPr>
                              <w:color w:val="000000"/>
                              <w:lang w:eastAsia="lt-LT"/>
                            </w:rPr>
                            <w:t>6.2</w:t>
                          </w:r>
                        </w:sdtContent>
                      </w:sdt>
                      <w:r>
                        <w:rPr>
                          <w:color w:val="000000"/>
                          <w:lang w:eastAsia="lt-LT"/>
                        </w:rPr>
                        <w:t xml:space="preserve">. ESPBI IS asmeniui inicijavus kompensuojamųjų vaistinių preparatų ir (ar) kompensuojamųjų medicinos pagalbos priemonių pagal elektroninius receptus įsigijimą nuotoliniu būdu. Jei asmuo turi teisę į paciento priemokos padengimą, jam ESPBI IS turi būti pateikiama informacija apie kompensuojamąjį vaistinį preparatą ar kompensuojamąją medicinos pagalbos priemonę, kurios priemoka padengiama Aprašo III skyriuje nustatyta tvarka </w:t>
                      </w:r>
                      <w:r>
                        <w:rPr>
                          <w:lang w:eastAsia="lt-LT"/>
                        </w:rPr>
                        <w:t>(netaikoma Aprašo 3.4 papunktyje nurodytu atveju)</w:t>
                      </w:r>
                      <w:r>
                        <w:rPr>
                          <w:color w:val="000000"/>
                          <w:lang w:eastAsia="lt-LT"/>
                        </w:rPr>
                        <w:t>;</w:t>
                      </w:r>
                    </w:p>
                  </w:sdtContent>
                </w:sdt>
                <w:sdt>
                  <w:sdtPr>
                    <w:alias w:val="6.3 pp."/>
                    <w:tag w:val="part_2f56fdd71b3548c3b0c07a2a9c56c27c"/>
                    <w:lock w:val="sdtLocked"/>
                    <w:richText/>
                  </w:sdtPr>
                  <w:sdtContent>
                    <w:p>
                      <w:pPr>
                        <w:ind w:firstLine="720"/>
                        <w:jc w:val="both"/>
                        <w:rPr>
                          <w:color w:val="000000"/>
                        </w:rPr>
                      </w:pPr>
                      <w:sdt>
                        <w:sdtPr>
                          <w:alias w:val="Numeris"/>
                          <w:tag w:val="nr_2f56fdd71b3548c3b0c07a2a9c56c27c"/>
                          <w:lock w:val="sdtLocked"/>
                          <w:richText/>
                        </w:sdtPr>
                        <w:sdtContent>
                          <w:r>
                            <w:rPr>
                              <w:color w:val="000000"/>
                              <w:lang w:eastAsia="lt-LT"/>
                            </w:rPr>
                            <w:t>6.3</w:t>
                          </w:r>
                        </w:sdtContent>
                      </w:sdt>
                      <w:r>
                        <w:rPr>
                          <w:color w:val="000000"/>
                          <w:lang w:eastAsia="lt-LT"/>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rPr>
                          <w:lang w:eastAsia="lt-LT"/>
                        </w:rPr>
                        <w:t>(netaikoma Aprašo 3.4 papunktyje nurodytu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7 p."/>
                <w:tag w:val="part_16372e3583af43f9a36134007456511d"/>
                <w:lock w:val="sdtLocked"/>
                <w:richText/>
              </w:sdtPr>
              <w:sdtContent>
                <w:p>
                  <w:pPr>
                    <w:ind w:firstLine="720"/>
                    <w:jc w:val="both"/>
                  </w:pPr>
                  <w:sdt>
                    <w:sdtPr>
                      <w:alias w:val="Numeris"/>
                      <w:tag w:val="nr_16372e3583af43f9a36134007456511d"/>
                      <w:lock w:val="sdtLocked"/>
                      <w:richText/>
                    </w:sdtPr>
                    <w:sdtContent>
                      <w:r>
                        <w:rPr>
                          <w:lang w:eastAsia="lt-LT"/>
                        </w:rPr>
                        <w:t>7</w:t>
                      </w:r>
                    </w:sdtContent>
                  </w:sdt>
                  <w:r>
                    <w:rPr>
                      <w:lang w:eastAsia="lt-LT"/>
                    </w:rPr>
                    <w:t>.</w:t>
                    <w:tab/>
                    <w:t xml:space="preserve">Vaistinėje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kompensuojamąjį vaistinį preparatą ar kompensuojamąją medicinos pagalbos priemonę, kurios priemoka padengiama Aprašo III skyriuje nustatyta tvarka. Kitame ūkio subjekte, kuris turi teisę parduoti kompensuojamąsias medicinos pagalbos priemones,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kompensuojamąją medicinos pagalbos priemonę, kurios priemoka padengiama Aprašo III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8 p."/>
                <w:tag w:val="part_b04a3a98019f416d9abff7be4d784b83"/>
                <w:lock w:val="sdtLocked"/>
                <w:richText/>
              </w:sdtPr>
              <w:sdtContent>
                <w:p>
                  <w:pPr>
                    <w:tabs>
                      <w:tab w:val="center" w:pos="-7800"/>
                      <w:tab w:val="center" w:pos="4153"/>
                      <w:tab w:val="left" w:pos="6237"/>
                      <w:tab w:val="right" w:pos="8306"/>
                    </w:tabs>
                    <w:ind w:firstLine="720"/>
                    <w:jc w:val="both"/>
                  </w:pPr>
                  <w:sdt>
                    <w:sdtPr>
                      <w:alias w:val="Numeris"/>
                      <w:tag w:val="nr_b04a3a98019f416d9abff7be4d784b83"/>
                      <w:lock w:val="sdtLocked"/>
                      <w:richText/>
                    </w:sdtPr>
                    <w:sdtContent>
                      <w:r>
                        <w:t>8</w:t>
                      </w:r>
                    </w:sdtContent>
                  </w:sdt>
                  <w:r>
                    <w:t xml:space="preserve">. Pagal elektroninį receptą išdavus (pardavus) kompensuojamąjį vaistinį preparatą ar kompensuojamąją medicinos pagalbos priemonę, kurių priemoka padengiama Aprašo III skyriuje nustatyta tvarka, turi būti suformuojamas elektroninis kompensuojamojo vaistinio preparato ir kompensuojamosios medicinos pagalbos priemonės išdavimo (pardavimo) dokumentas nurodant, kad apdraustasis turėjo </w:t>
                  </w:r>
                  <w:r>
                    <w:rPr>
                      <w:color w:val="000000"/>
                    </w:rPr>
                    <w:t xml:space="preserve">teisę į paciento priemokos padengimą ir kokio dydžio paciento priemoka buvo padengta. </w:t>
                  </w:r>
                </w:p>
                <w:p>
                  <w:pPr>
                    <w:tabs>
                      <w:tab w:val="center" w:pos="-7800"/>
                      <w:tab w:val="center" w:pos="4153"/>
                      <w:tab w:val="left" w:pos="6237"/>
                      <w:tab w:val="right" w:pos="8306"/>
                    </w:tabs>
                    <w:ind w:firstLine="720"/>
                    <w:jc w:val="both"/>
                    <w:rPr>
                      <w:b/>
                      <w:bCs/>
                    </w:rPr>
                  </w:pPr>
                </w:p>
              </w:sdtContent>
            </w:sdt>
          </w:sdtContent>
        </w:sdt>
        <w:sdt>
          <w:sdtPr>
            <w:alias w:val="skyrius"/>
            <w:tag w:val="part_21db79d0a16e448bbd79ddb0128cc08a"/>
            <w:lock w:val="sdtLocked"/>
            <w:richText/>
          </w:sdtPr>
          <w:sdtContent>
            <w:p>
              <w:pPr>
                <w:tabs>
                  <w:tab w:val="center" w:pos="-7800"/>
                  <w:tab w:val="center" w:pos="4153"/>
                  <w:tab w:val="left" w:pos="6237"/>
                  <w:tab w:val="right" w:pos="8306"/>
                </w:tabs>
                <w:jc w:val="center"/>
                <w:rPr>
                  <w:b/>
                  <w:bCs/>
                </w:rPr>
              </w:pPr>
              <w:sdt>
                <w:sdtPr>
                  <w:alias w:val="Numeris"/>
                  <w:tag w:val="nr_21db79d0a16e448bbd79ddb0128cc08a"/>
                  <w:lock w:val="sdtLocked"/>
                  <w:richText/>
                </w:sdtPr>
                <w:sdtContent>
                  <w:r>
                    <w:rPr>
                      <w:b/>
                      <w:bCs/>
                    </w:rPr>
                    <w:t>III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21db79d0a16e448bbd79ddb0128cc08a"/>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9 p."/>
                <w:tag w:val="part_6da8e2e89058482d82b3e26c4eb592b0"/>
                <w:lock w:val="sdtLocked"/>
                <w:richText/>
              </w:sdtPr>
              <w:sdtContent>
                <w:p>
                  <w:pPr>
                    <w:tabs>
                      <w:tab w:val="center" w:pos="-7800"/>
                      <w:tab w:val="center" w:pos="4153"/>
                      <w:tab w:val="left" w:pos="6237"/>
                      <w:tab w:val="right" w:pos="8306"/>
                    </w:tabs>
                    <w:ind w:firstLine="720"/>
                    <w:jc w:val="both"/>
                  </w:pPr>
                  <w:sdt>
                    <w:sdtPr>
                      <w:alias w:val="Numeris"/>
                      <w:tag w:val="nr_6da8e2e89058482d82b3e26c4eb592b0"/>
                      <w:lock w:val="sdtLocked"/>
                      <w:richText/>
                    </w:sdtPr>
                    <w:sdtContent>
                      <w:r>
                        <w:t>9</w:t>
                      </w:r>
                    </w:sdtContent>
                  </w:sdt>
                  <w:r>
                    <w:t xml:space="preserve">. Paciento priemoka padengiama šia tvarka: </w:t>
                  </w:r>
                </w:p>
                <w:sdt>
                  <w:sdtPr>
                    <w:alias w:val="9.1 pp."/>
                    <w:tag w:val="part_1048603ec7a14af4ab667f2f85e244ca"/>
                    <w:lock w:val="sdtLocked"/>
                    <w:richText/>
                  </w:sdtPr>
                  <w:sdtContent>
                    <w:p>
                      <w:pPr>
                        <w:ind w:firstLine="720"/>
                        <w:jc w:val="both"/>
                        <w:rPr>
                          <w:szCs w:val="24"/>
                        </w:rPr>
                      </w:pPr>
                      <w:sdt>
                        <w:sdtPr>
                          <w:alias w:val="Numeris"/>
                          <w:tag w:val="nr_1048603ec7a14af4ab667f2f85e244ca"/>
                          <w:lock w:val="sdtLocked"/>
                          <w:richText/>
                        </w:sdtPr>
                        <w:sdtContent>
                          <w:r>
                            <w:t>9.1</w:t>
                          </w:r>
                        </w:sdtContent>
                      </w:sdt>
                      <w:r>
                        <w:t>.</w:t>
                      </w:r>
                      <w:r>
                        <w:rPr>
                          <w:szCs w:val="24"/>
                        </w:rPr>
                        <w:t xml:space="preserve"> už kompensuojamuosius vaistinius preparatus padengiama paciento priemokos suma, nurodyta galiojančiame kompensuojamųjų vaistinių preparatų kainyne;</w:t>
                      </w:r>
                    </w:p>
                  </w:sdtContent>
                </w:sdt>
                <w:sdt>
                  <w:sdtPr>
                    <w:alias w:val="9.2 pp."/>
                    <w:tag w:val="part_ce84ac29ea234c8891f78067c8e6e681"/>
                    <w:lock w:val="sdtLocked"/>
                    <w:richText/>
                  </w:sdtPr>
                  <w:sdtContent>
                    <w:p>
                      <w:pPr>
                        <w:ind w:firstLine="720"/>
                        <w:jc w:val="both"/>
                        <w:rPr>
                          <w:rFonts w:eastAsia="Calibri"/>
                          <w:szCs w:val="24"/>
                          <w:lang w:eastAsia="lt-LT"/>
                        </w:rPr>
                      </w:pPr>
                      <w:sdt>
                        <w:sdtPr>
                          <w:alias w:val="Numeris"/>
                          <w:tag w:val="nr_ce84ac29ea234c8891f78067c8e6e681"/>
                          <w:lock w:val="sdtLocked"/>
                          <w:richText/>
                        </w:sdtPr>
                        <w:sdtContent>
                          <w:r>
                            <w:t>9.2</w:t>
                          </w:r>
                        </w:sdtContent>
                      </w:sdt>
                      <w:r>
                        <w:t xml:space="preserve">. </w:t>
                      </w:r>
                      <w:r>
                        <w:rPr>
                          <w:rFonts w:eastAsia="Calibri"/>
                          <w:szCs w:val="24"/>
                        </w:rPr>
                        <w:t>paciento priemoka už kompensuojamąsias medicinos pagalbos priemones padengiama ne didesne suma negu einamųjų metų kompensuojamųjų medicinos pagalbos priemonių kainyne nurodyta paciento priemokos suma, tenkanti kompensuojamosios medicinos pagalbos priemonės pakuotės vienetui</w:t>
                      </w:r>
                      <w:r>
                        <w:rPr>
                          <w:szCs w:val="24"/>
                        </w:rPr>
                        <w:t>.</w:t>
                      </w:r>
                    </w:p>
                  </w:sdtContent>
                </w:sdt>
              </w:sdtContent>
            </w:sdt>
            <w:sdt>
              <w:sdtPr>
                <w:alias w:val="10 p."/>
                <w:tag w:val="part_45f70c8aa6e343f9972fb641e2bc8a50"/>
                <w:lock w:val="sdtLocked"/>
                <w:richText/>
              </w:sdtPr>
              <w:sdtContent>
                <w:p>
                  <w:pPr>
                    <w:ind w:firstLine="720"/>
                    <w:jc w:val="both"/>
                  </w:pPr>
                  <w:sdt>
                    <w:sdtPr>
                      <w:alias w:val="Numeris"/>
                      <w:tag w:val="nr_45f70c8aa6e343f9972fb641e2bc8a50"/>
                      <w:lock w:val="sdtLocked"/>
                      <w:richText/>
                    </w:sdtPr>
                    <w:sdtContent>
                      <w:r>
                        <w:rPr>
                          <w:lang w:eastAsia="lt-LT"/>
                        </w:rPr>
                        <w:t>10</w:t>
                      </w:r>
                    </w:sdtContent>
                  </w:sdt>
                  <w:r>
                    <w:rPr>
                      <w:lang w:eastAsia="lt-LT"/>
                    </w:rPr>
                    <w:t>.</w:t>
                    <w:tab/>
                    <w:t xml:space="preserve"> Valstybinė ligonių kasa prie Sveikatos apsaugos ministerijos arba jos įgaliotos teritorinės ligonių kasos (toliau – Valstybinė ligonių kasa) pagal gautas sąskaitas ir elektroninio recepto išdavimo (pardavimo) dokumento informaciją (išskyrus kai kompensuojamasis vaistinis preparatas ar kompensuojamoji medicinos pagalbos priemonė Aprašo 3.4 papunktyje nurodytu atveju išduota pagal popierinį receptą) apmoka vaistinėms ir ūkio subjektams už apdraustųjų, kuriems padengiama paciento priemoka už kompensuojamuosius vaistinius preparatus ir kompensuojamąsias medicinos pagalbos priemones, neviršijant šiame skyriuje nustatytų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1 p."/>
                <w:tag w:val="part_c4c6780930eb4e98a428152fe00287cd"/>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c4c6780930eb4e98a428152fe00287cd"/>
                      <w:lock w:val="sdtLocked"/>
                      <w:richText/>
                    </w:sdtPr>
                    <w:sdtContent>
                      <w:r>
                        <w:rPr>
                          <w:szCs w:val="24"/>
                        </w:rPr>
                        <w:t>11</w:t>
                      </w:r>
                    </w:sdtContent>
                  </w:sdt>
                  <w:r>
                    <w:rPr>
                      <w:szCs w:val="24"/>
                    </w:rPr>
                    <w:t>. V</w:t>
                  </w:r>
                  <w:r>
                    <w:t xml:space="preserve">aistinės ir ūkio subjektai </w:t>
                  </w:r>
                  <w:r>
                    <w:rPr>
                      <w:szCs w:val="24"/>
                    </w:rPr>
                    <w:t xml:space="preserve">per Privalomojo sveikatos draudimo informacinės sistemos „Sveidra“ (toliau – informacinė sistema „Sveidra“) vartotojo sąsają </w:t>
                  </w:r>
                  <w:r>
                    <w:rPr>
                      <w:color w:val="000000"/>
                      <w:szCs w:val="24"/>
                    </w:rPr>
                    <w:t xml:space="preserve">iki einamojo mėnesio 5 dienos pateikia </w:t>
                  </w:r>
                  <w:r>
                    <w:rPr>
                      <w:szCs w:val="24"/>
                    </w:rPr>
                    <w:t xml:space="preserve">Valstybinei ligonių kasai </w:t>
                  </w:r>
                  <w:r>
                    <w:rPr>
                      <w:color w:val="000000"/>
                      <w:szCs w:val="24"/>
                    </w:rPr>
                    <w:t xml:space="preserve">praėjusį kalendorinį mėnesį apdraustiesiems išduotų (parduotų) kompensuojamųjų vaistinių preparatų ir kompensuojamųjų medicinos pagalbos priemonių elektroninių </w:t>
                  </w:r>
                  <w:r>
                    <w:rPr>
                      <w:szCs w:val="24"/>
                    </w:rPr>
                    <w:t>receptų išdavimo (pardavimo) dokumentų informaciją</w:t>
                  </w:r>
                  <w:r>
                    <w:rPr>
                      <w:color w:val="000000"/>
                      <w:szCs w:val="24"/>
                    </w:rPr>
                    <w:t>.</w:t>
                  </w:r>
                </w:p>
              </w:sdtContent>
            </w:sdt>
            <w:sdt>
              <w:sdtPr>
                <w:alias w:val="12 p."/>
                <w:tag w:val="part_381370409ea0462488ddd85b4ef3c443"/>
                <w:lock w:val="sdtLocked"/>
                <w:richText/>
              </w:sdtPr>
              <w:sdtContent>
                <w:p>
                  <w:pPr>
                    <w:tabs>
                      <w:tab w:val="left" w:pos="142"/>
                      <w:tab w:val="left" w:pos="284"/>
                      <w:tab w:val="left" w:pos="851"/>
                      <w:tab w:val="left" w:pos="993"/>
                      <w:tab w:val="left" w:pos="1701"/>
                    </w:tabs>
                    <w:ind w:firstLine="720"/>
                    <w:jc w:val="both"/>
                  </w:pPr>
                  <w:sdt>
                    <w:sdtPr>
                      <w:alias w:val="Numeris"/>
                      <w:tag w:val="nr_381370409ea0462488ddd85b4ef3c443"/>
                      <w:lock w:val="sdtLocked"/>
                      <w:richText/>
                    </w:sdtPr>
                    <w:sdtContent>
                      <w:r>
                        <w:rPr>
                          <w:szCs w:val="24"/>
                        </w:rPr>
                        <w:t>12</w:t>
                      </w:r>
                    </w:sdtContent>
                  </w:sdt>
                  <w:r>
                    <w:rPr>
                      <w:szCs w:val="24"/>
                    </w:rPr>
                    <w:t>. V</w:t>
                  </w:r>
                  <w:r>
                    <w:t xml:space="preserve">aistinės ir ūkio subjektai </w:t>
                  </w:r>
                  <w:r>
                    <w:rPr>
                      <w:szCs w:val="24"/>
                    </w:rPr>
                    <w:t xml:space="preserve">Valstybinei ligonių kasai </w:t>
                  </w:r>
                  <w:r>
                    <w:rPr>
                      <w:color w:val="000000"/>
                      <w:szCs w:val="24"/>
                    </w:rPr>
                    <w:t>iki einamojo mėnesio 10 dienos pateikia</w:t>
                  </w:r>
                  <w:r>
                    <w:rPr>
                      <w:szCs w:val="24"/>
                    </w:rPr>
                    <w:t xml:space="preserve"> </w:t>
                  </w:r>
                  <w:r>
                    <w:rPr>
                      <w:color w:val="000000"/>
                      <w:szCs w:val="24"/>
                    </w:rPr>
                    <w:t xml:space="preserve">sąskaita, kurioje turi būti nurodyta praėjusį kalendorinį mėnesį išduotų (parduotų) kompensuojamųjų vaistinių preparatų ir kompensuojamųjų medicinos pagalbos priemonių įsigijimo išlaidų dalis, apmokama PSDF biudžeto lėšomis ir </w:t>
                  </w:r>
                  <w:r>
                    <w:t>valstybės biudžeto lėšomis padengiamos paciento priemokos suma.</w:t>
                  </w:r>
                </w:p>
              </w:sdtContent>
            </w:sdt>
            <w:sdt>
              <w:sdtPr>
                <w:alias w:val="13 p."/>
                <w:tag w:val="part_93c5fbf849e74ab3a0ff07b52807d5a7"/>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3c5fbf849e74ab3a0ff07b52807d5a7"/>
                      <w:lock w:val="sdtLocked"/>
                      <w:richText/>
                    </w:sdtPr>
                    <w:sdtContent>
                      <w:r>
                        <w:t>13</w:t>
                      </w:r>
                    </w:sdtContent>
                  </w:sdt>
                  <w:r>
                    <w:t>. S</w:t>
                  </w:r>
                  <w:r>
                    <w:rPr>
                      <w:color w:val="000000"/>
                      <w:szCs w:val="24"/>
                    </w:rPr>
                    <w:t xml:space="preserve">ąskaitos informacija turi atitikti Aprašo 11 punkte nurodytą, į </w:t>
                  </w:r>
                  <w:r>
                    <w:rPr>
                      <w:szCs w:val="24"/>
                    </w:rPr>
                    <w:t xml:space="preserve">informacinę sistemą „Sveidra“ </w:t>
                  </w:r>
                  <w:r>
                    <w:rPr>
                      <w:color w:val="000000"/>
                      <w:szCs w:val="24"/>
                    </w:rPr>
                    <w:t>pateikiamą elektroninių receptų išdavimo (pardavimo) dokumentų informaciją</w:t>
                  </w:r>
                  <w:r>
                    <w:rPr>
                      <w:szCs w:val="24"/>
                    </w:rPr>
                    <w:t>.</w:t>
                  </w:r>
                </w:p>
              </w:sdtContent>
            </w:sdt>
            <w:sdt>
              <w:sdtPr>
                <w:alias w:val="14 p."/>
                <w:tag w:val="part_144be750db984c2084bafbe0c34c1d4d"/>
                <w:lock w:val="sdtLocked"/>
                <w:richText/>
              </w:sdtPr>
              <w:sdtContent>
                <w:p>
                  <w:pPr>
                    <w:tabs>
                      <w:tab w:val="left" w:pos="142"/>
                      <w:tab w:val="left" w:pos="284"/>
                      <w:tab w:val="left" w:pos="851"/>
                      <w:tab w:val="left" w:pos="993"/>
                      <w:tab w:val="left" w:pos="1701"/>
                    </w:tabs>
                    <w:ind w:firstLine="720"/>
                    <w:jc w:val="both"/>
                  </w:pPr>
                  <w:sdt>
                    <w:sdtPr>
                      <w:alias w:val="Numeris"/>
                      <w:tag w:val="nr_144be750db984c2084bafbe0c34c1d4d"/>
                      <w:lock w:val="sdtLocked"/>
                      <w:richText/>
                    </w:sdtPr>
                    <w:sdtContent>
                      <w:r>
                        <w:rPr>
                          <w:color w:val="000000"/>
                          <w:szCs w:val="24"/>
                        </w:rPr>
                        <w:t>14</w:t>
                      </w:r>
                    </w:sdtContent>
                  </w:sdt>
                  <w:r>
                    <w:rPr>
                      <w:color w:val="000000"/>
                      <w:szCs w:val="24"/>
                    </w:rPr>
                    <w:t>. Valstybinė ligonių kasa atsiskaito su vaistinėmis ir ūkio subjektais ne vėliau kaip per 30 kalendorinių dienų nuo sąskaitos gavimo dienos. Sąskaitos gavimo diena laikoma ta diena, kai Valstybinė ligonių kasa patikrina vaistinių ir ūkio subjektų pateiktą Aprašo 12 punkte nurodytą informaciją ir įsitikinus, kad pateikta sąskaita yra tinkama, priima sąskaitą apmokėti ir informuoja apie tai vaistinę ar ūkio subjektą elektroninėmis ryšio priemonėmis.</w:t>
                  </w:r>
                </w:p>
              </w:sdtContent>
            </w:sdt>
            <w:sdt>
              <w:sdtPr>
                <w:alias w:val="15 p."/>
                <w:tag w:val="part_e425b0f701774cddad1d7f5698f525b3"/>
                <w:lock w:val="sdtLocked"/>
                <w:richText/>
              </w:sdtPr>
              <w:sdtContent>
                <w:p>
                  <w:pPr>
                    <w:tabs>
                      <w:tab w:val="center" w:pos="-7800"/>
                      <w:tab w:val="center" w:pos="4153"/>
                      <w:tab w:val="left" w:pos="6237"/>
                      <w:tab w:val="right" w:pos="8306"/>
                    </w:tabs>
                    <w:ind w:firstLine="720"/>
                    <w:jc w:val="both"/>
                  </w:pPr>
                  <w:sdt>
                    <w:sdtPr>
                      <w:alias w:val="Numeris"/>
                      <w:tag w:val="nr_e425b0f701774cddad1d7f5698f525b3"/>
                      <w:lock w:val="sdtLocked"/>
                      <w:richText/>
                    </w:sdtPr>
                    <w:sdtContent>
                      <w:r>
                        <w:t>15</w:t>
                      </w:r>
                    </w:sdtContent>
                  </w:sdt>
                  <w:r>
                    <w:t xml:space="preserve">. </w:t>
                    <w:tab/>
                    <w:t xml:space="preserve">Elektroninio recepto išdavimo (pardavimo) dokumente nurodytos padengiamos paciento priemokos sumos kontrolės tvarką nustato Valstybinės ligonių kasos direktorius. </w:t>
                  </w:r>
                </w:p>
              </w:sdtContent>
            </w:sdt>
            <w:sdt>
              <w:sdtPr>
                <w:alias w:val="15-1 p."/>
                <w:tag w:val="part_2a62ef59786043debb4e9b32fa7ff206"/>
                <w:lock w:val="sdtLocked"/>
                <w:richText/>
              </w:sdtPr>
              <w:sdtContent>
                <w:p>
                  <w:pPr>
                    <w:tabs>
                      <w:tab w:val="center" w:pos="-7800"/>
                      <w:tab w:val="right" w:pos="8306"/>
                    </w:tabs>
                    <w:ind w:firstLine="682"/>
                    <w:jc w:val="both"/>
                    <w:rPr>
                      <w:b/>
                      <w:bCs/>
                    </w:rPr>
                  </w:pPr>
                  <w:r>
                    <w:rPr>
                      <w:lang w:eastAsia="lt-LT"/>
                    </w:rPr>
                    <w:tab/>
                  </w:r>
                  <w:sdt>
                    <w:sdtPr>
                      <w:alias w:val="Numeris"/>
                      <w:tag w:val="nr_2a62ef59786043debb4e9b32fa7ff206"/>
                      <w:lock w:val="sdtLocked"/>
                      <w:richText/>
                    </w:sdtPr>
                    <w:sdtContent>
                      <w:r>
                        <w:rPr>
                          <w:lang w:eastAsia="lt-LT"/>
                        </w:rPr>
                        <w:t>15</w:t>
                      </w:r>
                      <w:r>
                        <w:rPr>
                          <w:vertAlign w:val="superscript"/>
                          <w:lang w:eastAsia="lt-LT"/>
                        </w:rPr>
                        <w:t>1</w:t>
                      </w:r>
                    </w:sdtContent>
                  </w:sdt>
                  <w:r>
                    <w:rPr>
                      <w:lang w:eastAsia="lt-LT"/>
                    </w:rPr>
                    <w:t>. Sveikatos draudimo įstatymo 10 straipsnio 6 dalyje nurodytas sąlygas atitinkančiam apdraustajam, išskyrus 75 metų ar vyresnius apdraustuosius, kompensuojamieji vaistai ir kompensuojamosios medicinos pagalbos priemonės, išrašyti popieriniame recepte, esant ESPBI IS sutrikimų išduodami apdraustajam sumokant paciento priemoką. Dėl sumokėtos paciento priemokos kompensavimo apdraustasis turi teisę kreiptis į Valstybinę ligonių kasą pateikdamas prašymą padengti paciento priemoką ir informaciją ar dokumentus, įrodančius kompensuojamųjų vaistų ir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pateikta ne visa šiame punkte nurodyta informacija ir (ar) su prašymu nepateikti ar pateikti ne visi dokumentai, Valstybinė ligonių kasa ne vėliau kaip per 3 darbo dienas nuo prašymo gavimo apie tai informuoja prašymą pateikusį asmenį ir nurodo terminą ištaisyti nustatytiems trūkumams, kuris negali būti trumpesnis kaip 20 darbo dienų. Informaciją apie apdraustojo teisę į paciento priemokos padengimą Valstybinė ligonių kasa gauna Aprašo 3 punkte nustatyta tvarka. Valstybinė ligonių kasa lėšas, skirtas paciento priemokai padengti, į paciento prašyme nurodytą kredito įstaigos sąskaitą perveda ne vėliau kaip per 30 kalendorinių dienų nuo šiame punkte nurodytų prašymo, kuriame pateikta visa šiame punkte nurodyta informacija, ir visų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skyrius"/>
            <w:tag w:val="part_e3ae37af784f4797b5da5b7fbec97d21"/>
            <w:lock w:val="sdtLocked"/>
            <w:richText/>
          </w:sdtPr>
          <w:sdtContent>
            <w:p>
              <w:pPr>
                <w:tabs>
                  <w:tab w:val="center" w:pos="-7800"/>
                  <w:tab w:val="center" w:pos="4153"/>
                  <w:tab w:val="left" w:pos="6237"/>
                  <w:tab w:val="right" w:pos="8306"/>
                </w:tabs>
                <w:jc w:val="center"/>
                <w:rPr>
                  <w:b/>
                  <w:bCs/>
                </w:rPr>
              </w:pPr>
              <w:sdt>
                <w:sdtPr>
                  <w:alias w:val="Numeris"/>
                  <w:tag w:val="nr_e3ae37af784f4797b5da5b7fbec97d21"/>
                  <w:lock w:val="sdtLocked"/>
                  <w:richText/>
                </w:sdtPr>
                <w:sdtContent>
                  <w:r>
                    <w:rPr>
                      <w:b/>
                      <w:bCs/>
                    </w:rPr>
                    <w:t>IV</w:t>
                  </w:r>
                </w:sdtContent>
              </w:sdt>
              <w:r>
                <w:rPr>
                  <w:b/>
                  <w:bCs/>
                </w:rPr>
                <w:t xml:space="preserve"> SKYRIUS</w:t>
              </w:r>
            </w:p>
            <w:p>
              <w:pPr>
                <w:tabs>
                  <w:tab w:val="center" w:pos="-7800"/>
                  <w:tab w:val="left" w:pos="6237"/>
                  <w:tab w:val="right" w:pos="8306"/>
                </w:tabs>
                <w:ind w:firstLine="62"/>
                <w:jc w:val="center"/>
                <w:rPr>
                  <w:b/>
                  <w:bCs/>
                </w:rPr>
              </w:pPr>
              <w:sdt>
                <w:sdtPr>
                  <w:alias w:val="Pavadinimas"/>
                  <w:tag w:val="title_e3ae37af784f4797b5da5b7fbec97d21"/>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16 p."/>
                <w:tag w:val="part_4c62d44c745d46268f3a4a1c164a5202"/>
                <w:lock w:val="sdtLocked"/>
                <w:richText/>
              </w:sdtPr>
              <w:sdtContent>
                <w:p>
                  <w:pPr>
                    <w:ind w:firstLine="720"/>
                    <w:jc w:val="both"/>
                    <w:rPr>
                      <w:szCs w:val="24"/>
                    </w:rPr>
                  </w:pPr>
                  <w:sdt>
                    <w:sdtPr>
                      <w:alias w:val="Numeris"/>
                      <w:tag w:val="nr_4c62d44c745d46268f3a4a1c164a5202"/>
                      <w:lock w:val="sdtLocked"/>
                      <w:richText/>
                    </w:sdtPr>
                    <w:sdtContent>
                      <w:r>
                        <w:t>16</w:t>
                      </w:r>
                    </w:sdtContent>
                  </w:sdt>
                  <w:r>
                    <w:t xml:space="preserve">. </w:t>
                  </w:r>
                  <w:r>
                    <w:rPr>
                      <w:szCs w:val="24"/>
                    </w:rPr>
                    <w:t>Jei pagal ESPBI IS duomenis teisė į paciento priemokos padengimą asmeniui nesuteikiama, jis turi teisę kreiptis į Valstybinę ligonių kasą pateikdamas prašymą ir papildomą informaciją ar dokumentus, įrodančius teisės į paciento priemokos padengimą turėjimą (toliau – prašymas).</w:t>
                  </w:r>
                </w:p>
              </w:sdtContent>
            </w:sdt>
            <w:sdt>
              <w:sdtPr>
                <w:alias w:val="17 p."/>
                <w:tag w:val="part_073a2d33c9194911ad764c9ee2715822"/>
                <w:lock w:val="sdtLocked"/>
                <w:richText/>
              </w:sdtPr>
              <w:sdtContent>
                <w:p>
                  <w:pPr>
                    <w:tabs>
                      <w:tab w:val="center" w:pos="-7800"/>
                      <w:tab w:val="right" w:pos="8306"/>
                    </w:tabs>
                    <w:ind w:firstLine="709"/>
                    <w:jc w:val="both"/>
                    <w:rPr>
                      <w:lang w:eastAsia="lt-LT"/>
                    </w:rPr>
                  </w:pPr>
                  <w:r>
                    <w:rPr>
                      <w:lang w:eastAsia="lt-LT"/>
                    </w:rPr>
                    <w:tab/>
                  </w:r>
                  <w:sdt>
                    <w:sdtPr>
                      <w:alias w:val="Numeris"/>
                      <w:tag w:val="nr_073a2d33c9194911ad764c9ee2715822"/>
                      <w:lock w:val="sdtLocked"/>
                      <w:richText/>
                    </w:sdtPr>
                    <w:sdtContent>
                      <w:r>
                        <w:rPr>
                          <w:lang w:eastAsia="lt-LT"/>
                        </w:rPr>
                        <w:t>17</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teigiamą sprendimą dėl teisės į paciento priemokos padengimą, apdraustajam padengiamos patirtos išlaidos paciento priemokai sumokėti, galiojusios kompensuojamojo vaistinio preparato ar kompensuojamosios medicinos pagalbos priemonės įsigijimo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8 p."/>
                <w:tag w:val="part_81797522cfdf45eb989f2a6d90252dd4"/>
                <w:lock w:val="sdtLocked"/>
                <w:richText/>
              </w:sdtPr>
              <w:sdtContent>
                <w:p>
                  <w:pPr>
                    <w:ind w:firstLine="720"/>
                    <w:jc w:val="both"/>
                  </w:pPr>
                  <w:sdt>
                    <w:sdtPr>
                      <w:alias w:val="Numeris"/>
                      <w:tag w:val="nr_81797522cfdf45eb989f2a6d90252dd4"/>
                      <w:lock w:val="sdtLocked"/>
                      <w:richText/>
                    </w:sdtPr>
                    <w:sdtContent>
                      <w:r>
                        <w:rPr>
                          <w:lang w:eastAsia="lt-LT"/>
                        </w:rPr>
                        <w:t>18</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neigiamą sprendimą dėl teisės į paciento priemokos padengimą, asmuo šį sprendimą turi teisę skųsti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pabaiga"/>
            <w:tag w:val="part_c0b9eda849d747f981bd4e469f0cb6de"/>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9ad4f076af11eb9601893677bfd7d8">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2021-02-24,
paskelbta TAR 2021-02-24, i. k. 2021-03535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458380e07611eb9f09e7df20500045">
            <w:r w:rsidRPr="00532B9F">
              <w:rPr>
                <w:rFonts w:ascii="Times New Roman" w:eastAsia="MS Mincho" w:hAnsi="Times New Roman"/>
                <w:sz w:val="20"/>
                <w:iCs/>
                <w:color w:val="0000FF" w:themeColor="hyperlink"/>
                <w:u w:val="single"/>
              </w:rPr>
              <w:t>539</w:t>
            </w:r>
          </w:fldSimple>
          <w:r>
            <w:rPr>
              <w:rFonts w:ascii="Times New Roman" w:eastAsia="MS Mincho" w:hAnsi="Times New Roman"/>
              <w:sz w:val="20"/>
              <w:iCs/>
            </w:rPr>
            <w:t>,
2021-07-07,
paskelbta TAR 2021-07-09, i. k. 2021-15650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ff2ac219a1d4305ac99968770ad7724">
    <Part Type="preambule" DocPartId="2ebf0d5d1b1c4e6fa3d23e2c61b54391" PartId="9f94d21cbbda4542bab3e356c11fc6be"/>
    <Part Type="punktas" Nr="1" Abbr="1 p." DocPartId="392f01ca7e4f4d1b9c79a25562c8048d" PartId="dd7ad70c2ca0443d936de68b5f5189e5"/>
    <Part Type="punktas" Nr="2" Abbr="2 p." DocPartId="f402f78925594fcfb05bc8183134ecd9" PartId="1b47dbfcfa794009836be9ba5ceebd85"/>
    <Part Type="signatura" DocPartId="6f2eaab89e7f4e9b84e5c19111762f10" PartId="e711acb078c3453e87d9a63f802cb065"/>
  </Part>
  <Part Type="patvirtinta" Title="PACIENTO PRIEMOKOS UŽ KOMPENSUOJAMUOSIUS VAISTINIUS PREPARATUS IR MEDICINOS PAGALBOS PRIEMONES PADENGIMO TVARKOS APRAŠAS" DocPartId="fb19ea6a1fc3416bb30592445ac87f49" PartId="266142ee455546618663b05fe3644488">
    <Part Type="skyrius" Nr="1" Title="BENDROSIOS NUOSTATOS" DocPartId="abd8f981a3604673a988290b1061cee5" PartId="8ad50598d7e44efea5eac860f91ddac4">
      <Part Type="punktas" Nr="1" Abbr="1 p." DocPartId="2a439200175942948c7b3f31df0aefec" PartId="2c7246dcb1594b4389b8cf7ce03adaec"/>
      <Part Type="punktas" Nr="2" Abbr="2 p." DocPartId="13974d8e1daa4bf5a59a5d0ae9dbe9f5" PartId="f95d77b1d9e74865950b6ea23b1a31b2"/>
    </Part>
    <Part Type="skyrius" Nr="2" Title="ASMENS TEISĖS Į PACIENTO PRIEMOKOS PADENGIMĄ NUSTATYMO TVARKA" DocPartId="ff958dc24b8b4ef09c312892fbb60135" PartId="b1e845f701064a619cf67e4f788ab91e">
      <Part Type="punktas" Nr="3" Abbr="3 p." DocPartId="7551446ccc4841d6b59d7524efefb9af" PartId="22122592298349b2a52ae3d7a76c1f2d">
        <Part Type="papunktis" Nr="3.1" Abbr="3.1 pp." DocPartId="e591ee32f75d4263898955271657e67b" PartId="337617071b484a5899fffb3cdaeb81b6"/>
        <Part Type="papunktis" Nr="3.2" Abbr="3.2 pp." DocPartId="2c0db7907391413e9345db01b6268dcc" PartId="e9740f0498f74db48391c4eb83228417"/>
        <Part Type="papunktis" Nr="3.3" Abbr="3.3 pp." DocPartId="117903d1f95f4b899ad2c9ead77bac2e" PartId="444ad9185ac743639f2ee146cb90a2b9"/>
        <Part Type="papunktis" Nr="3.4" Abbr="3.4 pp." DocPartId="1fd5eb94b2964513a13edd933f54e0b3" PartId="471a43bc3e3449d6a5f8ff96d7b40220"/>
      </Part>
      <Part Type="punktas" Nr="4" Abbr="4 p." DocPartId="6c78ed7b49024503898e5a1ffe20a9d3" PartId="ad296ea721034cf59d186a3ade58f4b2">
        <Part Type="papunktis" Nr="4.1" Abbr="4.1 pp." DocPartId="630b3bd9fa9847c6aa39d8dd33ef4901" PartId="0701429040f247998f57a9fee08e26da"/>
        <Part Type="papunktis" Nr="4.2" Abbr="4.2 pp." DocPartId="c2a55a1d18f248179f792a4ca3bf451a" PartId="17b44ed3cff140eb9d28ca642a46cd8c"/>
        <Part Type="papunktis" Nr="4.3" Abbr="4.3 pp." DocPartId="8ba25a92c5b346d6b28ef1887f782a9f" PartId="d8d4526e83c04bc79ed2aab4c5ad7f11"/>
        <Part Type="papunktis" Nr="4.4" Abbr="4.4 pp." DocPartId="ad0561b8471f49deb34569bffaf15ccb" PartId="13111dfa9089493cbcb291c09185a3b0"/>
      </Part>
      <Part Type="punktas" Nr="5" Abbr="5 p." DocPartId="114ad0fe105140329c00b284e3d28411" PartId="4ddc0e0d20cf497e99f7df4a2615b998"/>
      <Part Type="punktas" Nr="6" Abbr="6 p." DocPartId="4f90b39a5ec342c385bd1c79b753ee9d" PartId="cc9caf486b7a4b23907e0ffb27c2f809">
        <Part Type="papunktis" Nr="6.1" Abbr="6.1 pp." DocPartId="b80c53e4160a4bb581d923be6e0840e6" PartId="fa3d2ec687094a339f279737d353f9c0"/>
        <Part Type="papunktis" Nr="6.2" Abbr="6.2 pp." DocPartId="876816ca83d44aa7bb11cb7cf23e3634" PartId="37f1d223880a47efbc3b1c51d0ed70de"/>
        <Part Type="papunktis" Nr="6.3" Abbr="6.3 pp." DocPartId="6c98c62f545540dd8383ee4e6e68cf39" PartId="2f56fdd71b3548c3b0c07a2a9c56c27c"/>
      </Part>
      <Part Type="punktas" Nr="7" Abbr="7 p." DocPartId="27e1fd4e7b5f4ba0b66ad10980126581" PartId="16372e3583af43f9a36134007456511d"/>
      <Part Type="punktas" Nr="8" Abbr="8 p." DocPartId="37a7bb79e36146bc8b111a7012fcc4df" PartId="b04a3a98019f416d9abff7be4d784b83"/>
    </Part>
    <Part Type="skyrius" Nr="3" Title="APMOKĖJIMO UŽ PACIENTO PRIEMOKOS PADENGIMĄ TVARKA" DocPartId="51480c0267e2480ebf90189811aa3cca" PartId="21db79d0a16e448bbd79ddb0128cc08a">
      <Part Type="punktas" Nr="9" Abbr="9 p." DocPartId="70944d8057c34bbfa4186f85c160077e" PartId="6da8e2e89058482d82b3e26c4eb592b0">
        <Part Type="papunktis" Nr="9.1" Abbr="9.1 pp." DocPartId="302279a1c16841c98c917032414dd323" PartId="1048603ec7a14af4ab667f2f85e244ca"/>
        <Part Type="papunktis" Nr="9.2" Abbr="9.2 pp." DocPartId="5726dae7453a412c97647bd41c3cb66e" PartId="ce84ac29ea234c8891f78067c8e6e681"/>
      </Part>
      <Part Type="punktas" Nr="10" Abbr="10 p." DocPartId="cd1320c7555f48fa888de614f0c50bd1" PartId="45f70c8aa6e343f9972fb641e2bc8a50"/>
      <Part Type="punktas" Nr="11" Abbr="11 p." DocPartId="24a3eed2a15e490fb82bc9a89573d5bf" PartId="c4c6780930eb4e98a428152fe00287cd"/>
      <Part Type="punktas" Nr="12" Abbr="12 p." DocPartId="d576c96403fd4fc89270c22f43804aa1" PartId="381370409ea0462488ddd85b4ef3c443"/>
      <Part Type="punktas" Nr="13" Abbr="13 p." DocPartId="083778d71db84331aeced6f54c3a6749" PartId="93c5fbf849e74ab3a0ff07b52807d5a7"/>
      <Part Type="punktas" Nr="14" Abbr="14 p." DocPartId="9e935b52956042fa89827bb7c1c9e2d3" PartId="144be750db984c2084bafbe0c34c1d4d"/>
      <Part Type="punktas" Nr="15" Abbr="15 p." DocPartId="95861eb9319a4ce7beea9c3f2f729651" PartId="e425b0f701774cddad1d7f5698f525b3"/>
      <Part Type="punktas" Nr="15-1" Abbr="15-1 p." DocPartId="3866958c521743b4addff68e0639a0b1" PartId="2a62ef59786043debb4e9b32fa7ff206"/>
    </Part>
    <Part Type="skyrius" Nr="4" Title="BAIGIAMOSIOS NUOSTATOS" DocPartId="8412b62b11fd44eca124cd5a41191eb1" PartId="e3ae37af784f4797b5da5b7fbec97d21">
      <Part Type="punktas" Nr="16" Abbr="16 p." DocPartId="df0c2d0b38c344c9948d1deb31de2369" PartId="4c62d44c745d46268f3a4a1c164a5202"/>
      <Part Type="punktas" Nr="17" Abbr="17 p." DocPartId="59ff5183d2bd4f1c85ce46ab86ef5f5c" PartId="073a2d33c9194911ad764c9ee2715822"/>
      <Part Type="punktas" Nr="18" Abbr="18 p." DocPartId="cb9613fcc7c742beb2ff49d7f8130c34" PartId="81797522cfdf45eb989f2a6d90252dd4"/>
    </Part>
    <Part Type="pabaiga" DocPartId="469ac93daed344b88f851fd17d922053" PartId="c0b9eda849d747f981bd4e469f0cb6de"/>
  </Part>
</Parts>
</file>

<file path=customXml/itemProps1.xml><?xml version="1.0" encoding="utf-8"?>
<ds:datastoreItem xmlns:ds="http://schemas.openxmlformats.org/officeDocument/2006/customXml" ds:itemID="{1BEBEE1C-E714-4DAF-BD2F-6553AB6BD89F}">
  <ds:schemaRefs>
    <ds:schemaRef ds:uri="http://lrs.lt/TAIS/DocParts"/>
  </ds:schemaRefs>
</ds:datastoreItem>
</file>

<file path=docProps/app.xml><?xml version="1.0" encoding="utf-8"?>
<Properties xmlns="http://schemas.openxmlformats.org/officeDocument/2006/extended-properties">
  <Template>Normal.dotm</Template>
  <TotalTime>21</TotalTime>
  <Pages>6</Pages>
  <Words>2046</Words>
  <Characters>15048</Characters>
  <Application>Microsoft Office Word</Application>
  <DocSecurity>0</DocSecurity>
  <Lines>125</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17060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BODIN Aušra</lastModifiedBy>
  <lastPrinted>2017-06-01T05:28:00Z</lastPrinted>
  <dcterms:modified xsi:type="dcterms:W3CDTF">2021-07-10T07:53:00Z</dcterms:modified>
  <revision>10</revision>
</coreProperties>
</file>