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1592dc9e68f4d319bd3e0271526cc59"/>
        <w:lock w:val="sdtLocked"/>
        <w:richText/>
      </w:sdtPr>
      <w:sdtContent>
        <w:p>
          <w:pPr>
            <w:jc w:val="both"/>
            <w:rPr>
              <w:rFonts w:ascii="Times New Roman" w:hAnsi="Times New Roman"/>
            </w:rPr>
          </w:pPr>
          <w:r>
            <w:rPr>
              <w:rFonts w:ascii="Times New Roman" w:hAnsi="Times New Roman"/>
              <w:b/>
              <w:i/>
            </w:rPr>
            <w:t>Suvestinė redakcija nuo 2024-09-27 iki 2025-09-01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2018-04-04, i. k. 2018-05231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2024-09-27:</w:t>
          </w:r>
        </w:p>
        <w:p>
          <w:pPr>
            <w:rPr>
              <w:rFonts w:ascii="Times New Roman" w:hAnsi="Times New Roman"/>
              <w:sz w:val="20"/>
              <w:i/>
            </w:rPr>
          </w:pPr>
          <w:r>
            <w:rPr>
              <w:rFonts w:ascii="Times New Roman" w:hAnsi="Times New Roman"/>
              <w:sz w:val="20"/>
              <w:i/>
            </w:rPr>
            <w:t xml:space="preserve">Nr. </w:t>
          </w:r>
          <w:fldSimple w:instr="HYPERLINK https://www.e-tar.lt/portal/legalAct.html?documentId=639fe2e67c0811efabdbb4a1fc8b0b63">
            <w:r w:rsidRPr="00532B9F">
              <w:rPr>
                <w:rFonts w:ascii="Times New Roman" w:eastAsia="MS Mincho" w:hAnsi="Times New Roman"/>
                <w:sz w:val="20"/>
                <w:i/>
                <w:iCs/>
                <w:color w:val="0000FF" w:themeColor="hyperlink"/>
                <w:u w:val="single"/>
              </w:rPr>
              <w:t>T-177</w:t>
            </w:r>
          </w:fldSimple>
          <w:r>
            <w:rPr>
              <w:rFonts w:ascii="Times New Roman" w:eastAsia="MS Mincho" w:hAnsi="Times New Roman"/>
              <w:sz w:val="20"/>
              <w:i/>
              <w:iCs/>
            </w:rPr>
            <w:t>,
2024-09-26,
paskelbta TAR 2024-09-26, i. k. 2024-16783                </w:t>
          </w:r>
        </w:p>
        <w:p>
          <w:pPr>
            <w:rPr>
              <w:rFonts w:ascii="Times New Roman" w:hAnsi="Times New Roman"/>
              <w:sz w:val="22"/>
            </w:rPr>
          </w:pPr>
        </w:p>
        <w:p>
          <w:pPr>
            <w:suppressAutoHyphens/>
            <w:jc w:val="center"/>
            <w:rPr>
              <w:b/>
              <w:bCs/>
              <w:color w:val="000000"/>
              <w:szCs w:val="24"/>
              <w:lang w:eastAsia="lt-LT"/>
            </w:rPr>
          </w:pPr>
          <w:r>
            <w:rPr>
              <w:b/>
              <w:bCs/>
              <w:color w:val="000000"/>
              <w:szCs w:val="24"/>
              <w:lang w:eastAsia="lt-LT"/>
            </w:rPr>
            <w:t>JONIŠKIO RAJONO SAVIVALDYBĖS</w:t>
          </w:r>
        </w:p>
        <w:p>
          <w:pPr>
            <w:suppressAutoHyphens/>
            <w:jc w:val="center"/>
            <w:rPr>
              <w:b/>
              <w:bCs/>
              <w:color w:val="000000"/>
              <w:szCs w:val="24"/>
              <w:lang w:eastAsia="lt-LT"/>
            </w:rPr>
          </w:pPr>
          <w:r>
            <w:rPr>
              <w:b/>
              <w:bCs/>
              <w:color w:val="000000"/>
              <w:szCs w:val="24"/>
              <w:lang w:eastAsia="lt-LT"/>
            </w:rPr>
            <w:t>TARYBA</w:t>
          </w:r>
        </w:p>
        <w:p>
          <w:pPr>
            <w:suppressAutoHyphens/>
            <w:jc w:val="center"/>
            <w:rPr>
              <w:b/>
              <w:bCs/>
              <w:color w:val="000000"/>
              <w:szCs w:val="24"/>
              <w:lang w:eastAsia="lt-LT"/>
            </w:rPr>
          </w:pPr>
        </w:p>
        <w:p>
          <w:pPr>
            <w:suppressAutoHyphens/>
            <w:jc w:val="center"/>
            <w:rPr>
              <w:b/>
              <w:bCs/>
              <w:color w:val="000000"/>
              <w:szCs w:val="24"/>
              <w:lang w:eastAsia="lt-LT"/>
            </w:rPr>
          </w:pPr>
          <w:r>
            <w:rPr>
              <w:b/>
              <w:bCs/>
              <w:color w:val="000000"/>
              <w:szCs w:val="24"/>
              <w:lang w:eastAsia="lt-LT"/>
            </w:rPr>
            <w:t>SPRENDIMAS</w:t>
          </w:r>
        </w:p>
        <w:p>
          <w:pPr>
            <w:suppressAutoHyphens/>
            <w:jc w:val="center"/>
            <w:rPr>
              <w:b/>
              <w:color w:val="000000"/>
              <w:szCs w:val="24"/>
              <w:lang w:eastAsia="lt-LT"/>
            </w:rPr>
          </w:pPr>
          <w:r>
            <w:rPr>
              <w:b/>
              <w:color w:val="000000"/>
              <w:szCs w:val="24"/>
              <w:lang w:eastAsia="lt-LT"/>
            </w:rPr>
            <w:t>DĖL GLOBOS CENTRO, BUDINČIO GLOBOTOJO IR NUOLATINIO GLOBOTOJO VEIKLOS JONIŠKIO RAJONO SAVIVALDYBĖJE FINANSAVIMO TVARKOS APRAŠO PATVIRTINIMO</w:t>
          </w:r>
        </w:p>
        <w:p>
          <w:pPr>
            <w:suppressAutoHyphens/>
            <w:jc w:val="center"/>
            <w:rPr>
              <w:b/>
              <w:color w:val="000000"/>
              <w:szCs w:val="24"/>
              <w:lang w:eastAsia="lt-LT"/>
            </w:rPr>
          </w:pPr>
        </w:p>
        <w:p>
          <w:pPr>
            <w:suppressAutoHyphens/>
            <w:jc w:val="center"/>
            <w:rPr>
              <w:bCs/>
              <w:color w:val="000000"/>
              <w:szCs w:val="24"/>
              <w:lang w:eastAsia="lt-LT"/>
            </w:rPr>
          </w:pPr>
          <w:r>
            <w:rPr>
              <w:bCs/>
              <w:color w:val="000000"/>
              <w:szCs w:val="24"/>
              <w:lang w:eastAsia="lt-LT"/>
            </w:rPr>
            <w:t xml:space="preserve">2018 m. kovo 29 d.  Nr. T-56</w:t>
          </w:r>
        </w:p>
        <w:p>
          <w:pPr>
            <w:suppressAutoHyphens/>
            <w:jc w:val="center"/>
            <w:rPr>
              <w:bCs/>
              <w:color w:val="000000"/>
              <w:szCs w:val="24"/>
              <w:lang w:eastAsia="lt-LT"/>
            </w:rPr>
          </w:pPr>
          <w:r>
            <w:rPr>
              <w:bCs/>
              <w:color w:val="000000"/>
              <w:szCs w:val="24"/>
              <w:lang w:eastAsia="lt-LT"/>
            </w:rPr>
            <w:t>Joniškis</w:t>
          </w:r>
        </w:p>
        <w:p>
          <w:pPr>
            <w:suppressAutoHyphens/>
            <w:jc w:val="center"/>
            <w:rPr>
              <w:b/>
              <w:color w:val="000000"/>
              <w:szCs w:val="24"/>
              <w:lang w:eastAsia="lt-LT"/>
            </w:rPr>
          </w:pPr>
        </w:p>
        <w:p>
          <w:pPr>
            <w:suppressAutoHyphens/>
            <w:jc w:val="center"/>
            <w:rPr>
              <w:b/>
              <w:color w:val="000000"/>
              <w:szCs w:val="24"/>
              <w:lang w:eastAsia="lt-LT"/>
            </w:rPr>
          </w:pPr>
        </w:p>
        <w:sdt>
          <w:sdtPr>
            <w:alias w:val="preambule"/>
            <w:tag w:val="part_7c2174b6264647c7aa9a05559536fe76"/>
            <w:lock w:val="sdtLocked"/>
            <w:richText/>
          </w:sdtPr>
          <w:sdtContent>
            <w:p>
              <w:pPr>
                <w:suppressAutoHyphens/>
                <w:ind w:firstLine="709"/>
                <w:jc w:val="both"/>
                <w:rPr>
                  <w:color w:val="000000"/>
                  <w:spacing w:val="28"/>
                  <w:szCs w:val="24"/>
                  <w:shd w:val="clear" w:color="auto" w:fill="FFFFFF"/>
                  <w:lang w:eastAsia="lt-LT"/>
                </w:rPr>
              </w:pPr>
              <w:r>
                <w:rPr>
                  <w:color w:val="000000"/>
                  <w:szCs w:val="24"/>
                  <w:lang w:eastAsia="lt-LT"/>
                </w:rPr>
                <w:t>Vadovaudamasi Lietuvos Respublikos vietos savivaldos įstatymo 6 straipsnio 12 dalimi, Lietuvos Respublikos socialinių paslaugų įstatymo 14 straipsnio 1 dalimi ir 2 dalies 2 punktu, 23 ir 24 straipsniais,</w:t>
              </w:r>
              <w:r>
                <w:rPr>
                  <w:color w:val="000000"/>
                  <w:szCs w:val="24"/>
                  <w:shd w:val="clear" w:color="auto" w:fill="FFFFFF"/>
                  <w:lang w:eastAsia="lt-LT"/>
                </w:rPr>
                <w:t xml:space="preserve"> Joniškio rajono savivaldybės taryba  </w:t>
              </w:r>
              <w:r>
                <w:rPr>
                  <w:color w:val="000000"/>
                  <w:spacing w:val="28"/>
                  <w:szCs w:val="24"/>
                  <w:shd w:val="clear" w:color="auto" w:fill="FFFFFF"/>
                  <w:lang w:eastAsia="lt-LT"/>
                </w:rPr>
                <w:t>n</w:t>
              </w:r>
              <w:r>
                <w:rPr>
                  <w:color w:val="000000"/>
                  <w:spacing w:val="54"/>
                  <w:szCs w:val="24"/>
                  <w:shd w:val="clear" w:color="auto" w:fill="FFFFFF"/>
                  <w:lang w:eastAsia="lt-LT"/>
                </w:rPr>
                <w:t>usprendži</w:t>
              </w:r>
              <w:r>
                <w:rPr>
                  <w:color w:val="000000"/>
                  <w:szCs w:val="24"/>
                  <w:shd w:val="clear" w:color="auto" w:fill="FFFFFF"/>
                  <w:lang w:eastAsia="lt-LT"/>
                </w:rPr>
                <w:t>a:</w:t>
              </w:r>
            </w:p>
          </w:sdtContent>
        </w:sdt>
        <w:sdt>
          <w:sdtPr>
            <w:alias w:val="pastraipa"/>
            <w:tag w:val="part_785e23d055164e1783eb7d47df28c4d1"/>
            <w:lock w:val="sdtLocked"/>
            <w:richText/>
          </w:sdtPr>
          <w:sdtContent>
            <w:p>
              <w:pPr>
                <w:suppressAutoHyphens/>
                <w:ind w:firstLine="709"/>
                <w:jc w:val="both"/>
              </w:pPr>
              <w:r>
                <w:rPr>
                  <w:color w:val="000000"/>
                  <w:szCs w:val="24"/>
                  <w:lang w:eastAsia="lt-LT"/>
                </w:rPr>
                <w:t>Patvirtinti Globos centro, budinčio globotojo ir nuolatinio globotojo veiklos Joniškio rajono savivaldybėje finansavimo tvarkos aprašą (pridedama).</w:t>
              </w:r>
            </w:p>
          </w:sdtContent>
        </w:sdt>
        <w:sdt>
          <w:sdtPr>
            <w:alias w:val="signatura"/>
            <w:tag w:val="part_a53fd644287941a8b678b0d1d0faf794"/>
            <w:lock w:val="sdtLocked"/>
            <w:richText/>
          </w:sdtPr>
          <w:sdtContent>
            <w:p>
              <w:pPr/>
            </w:p>
            <w:p>
              <w:pPr/>
            </w:p>
            <w:p>
              <w:pPr/>
            </w:p>
            <w:p>
              <w:pPr/>
              <w:r>
                <w:rPr>
                  <w:szCs w:val="22"/>
                  <w:lang w:eastAsia="lt-LT"/>
                </w:rPr>
                <w:t>Savivaldybės meras</w:t>
                <w:tab/>
                <w:tab/>
                <w:tab/>
                <w:tab/>
                <w:tab/>
                <w:tab/>
                <w:tab/>
                <w:tab/>
                <w:t>Gediminas Čepulis</w:t>
              </w:r>
            </w:p>
          </w:sdtContent>
        </w:sdt>
        <w:p/>
      </w:sdtContent>
    </w:sdt>
    <w:sdt>
      <w:sdtPr>
        <w:alias w:val="patvirtinta"/>
        <w:tag w:val="part_75e66265ac0746348cef0c10315829db"/>
        <w:lock w:val="sdtLocked"/>
        <w:richText/>
      </w:sdtPr>
      <w:sdtContent>
        <w:p>
          <w:pPr>
            <w:ind w:left="4320" w:firstLine="720"/>
            <w:jc w:val="both"/>
            <w:sectPr>
              <w:headerReference w:type="even" r:id="rId22"/>
              <w:headerReference w:type="default" r:id="rId23"/>
              <w:footerReference w:type="even" r:id="rId24"/>
              <w:footerReference w:type="default" r:id="rId25"/>
              <w:headerReference w:type="first" r:id="rId26"/>
              <w:footerReference w:type="first" r:id="rId27"/>
              <w:pgSz w:w="11906" w:h="16838" w:code="9"/>
              <w:pgMar w:top="1134" w:right="567" w:bottom="1134" w:left="1701" w:header="709" w:footer="794" w:gutter="0"/>
              <w:cols w:space="1296"/>
              <w:titlePg/>
              <w:docGrid w:linePitch="360"/>
            </w:sectPr>
          </w:pPr>
        </w:p>
        <w:p>
          <w:pPr>
            <w:ind w:left="4320" w:firstLine="720"/>
            <w:jc w:val="both"/>
            <w:rPr>
              <w:bCs/>
              <w:szCs w:val="24"/>
              <w:lang w:eastAsia="lt-LT"/>
            </w:rPr>
          </w:pPr>
          <w:r>
            <w:rPr>
              <w:bCs/>
              <w:szCs w:val="24"/>
              <w:lang w:eastAsia="lt-LT"/>
            </w:rPr>
            <w:t>PATVIRTINTA</w:t>
          </w:r>
        </w:p>
        <w:p>
          <w:pPr>
            <w:ind w:left="4320" w:firstLine="720"/>
            <w:jc w:val="both"/>
            <w:rPr>
              <w:szCs w:val="24"/>
              <w:lang w:eastAsia="lt-LT"/>
            </w:rPr>
          </w:pPr>
          <w:r>
            <w:rPr>
              <w:szCs w:val="24"/>
              <w:lang w:eastAsia="lt-LT"/>
            </w:rPr>
            <w:t xml:space="preserve">Joniškio rajono savivaldybės tarybos </w:t>
          </w:r>
        </w:p>
        <w:p>
          <w:pPr>
            <w:ind w:left="4320" w:firstLine="720"/>
            <w:jc w:val="both"/>
            <w:rPr>
              <w:bCs/>
              <w:iCs/>
              <w:szCs w:val="24"/>
              <w:lang w:eastAsia="lt-LT"/>
            </w:rPr>
          </w:pPr>
          <w:r>
            <w:rPr>
              <w:bCs/>
              <w:iCs/>
              <w:szCs w:val="24"/>
              <w:lang w:eastAsia="lt-LT"/>
            </w:rPr>
            <w:t>2018 m. kovo 29 d. sprendimu Nr. T-56</w:t>
          </w:r>
        </w:p>
        <w:p>
          <w:pPr>
            <w:ind w:left="5103" w:hanging="63"/>
            <w:jc w:val="both"/>
            <w:rPr>
              <w:bCs/>
              <w:iCs/>
              <w:szCs w:val="24"/>
              <w:lang w:eastAsia="lt-LT"/>
            </w:rPr>
          </w:pPr>
          <w:r>
            <w:rPr>
              <w:bCs/>
              <w:iCs/>
              <w:szCs w:val="24"/>
              <w:lang w:eastAsia="lt-LT"/>
            </w:rPr>
            <w:t>(2024 m. rugsėjo 26 d. sprendimo Nr. T-177</w:t>
          </w:r>
        </w:p>
        <w:p>
          <w:pPr>
            <w:ind w:left="5103" w:hanging="63"/>
            <w:jc w:val="both"/>
            <w:rPr>
              <w:bCs/>
              <w:iCs/>
              <w:szCs w:val="24"/>
              <w:lang w:eastAsia="lt-LT"/>
            </w:rPr>
          </w:pPr>
          <w:r>
            <w:rPr>
              <w:bCs/>
              <w:iCs/>
              <w:szCs w:val="24"/>
              <w:lang w:eastAsia="lt-LT"/>
            </w:rPr>
            <w:t>redakcija)</w:t>
          </w:r>
        </w:p>
        <w:p>
          <w:pPr>
            <w:jc w:val="center"/>
            <w:rPr>
              <w:rFonts w:eastAsia="Calibri"/>
              <w:color w:val="000000"/>
              <w:szCs w:val="24"/>
            </w:rPr>
          </w:pPr>
        </w:p>
        <w:p>
          <w:pPr>
            <w:jc w:val="center"/>
            <w:rPr>
              <w:szCs w:val="24"/>
              <w:lang w:eastAsia="lt-LT"/>
            </w:rPr>
          </w:pPr>
          <w:sdt>
            <w:sdtPr>
              <w:alias w:val="Pavadinimas"/>
              <w:tag w:val="title_75e66265ac0746348cef0c10315829db"/>
              <w:lock w:val="sdtLocked"/>
              <w:richText/>
            </w:sdtPr>
            <w:sdtContent>
              <w:r>
                <w:rPr>
                  <w:b/>
                  <w:color w:val="000000"/>
                  <w:szCs w:val="24"/>
                  <w:lang w:eastAsia="lt-LT"/>
                </w:rPr>
                <w:t xml:space="preserve">GLOBOS CENTRO, BUDINČIO GLOBOTOJO IR NUOLATINIO GLOBOTOJO VEIKLOS JONIŠKIO RAJONO SAVIVALDYBĖJE FINANSAVIMO </w:t>
              </w:r>
              <w:r>
                <w:rPr>
                  <w:b/>
                  <w:bCs/>
                  <w:szCs w:val="24"/>
                  <w:lang w:eastAsia="lt-LT"/>
                </w:rPr>
                <w:t>TVARKOS APRAŠAS</w:t>
              </w:r>
            </w:sdtContent>
          </w:sdt>
        </w:p>
        <w:p>
          <w:pPr>
            <w:jc w:val="center"/>
            <w:rPr>
              <w:szCs w:val="24"/>
              <w:lang w:eastAsia="lt-LT"/>
            </w:rPr>
          </w:pPr>
        </w:p>
        <w:sdt>
          <w:sdtPr>
            <w:alias w:val="skyrius"/>
            <w:tag w:val="part_86f92f74a92a4ccb86b336c21b3496b1"/>
            <w:lock w:val="sdtLocked"/>
            <w:richText/>
          </w:sdtPr>
          <w:sdtContent>
            <w:p>
              <w:pPr>
                <w:jc w:val="center"/>
                <w:rPr>
                  <w:szCs w:val="24"/>
                  <w:lang w:eastAsia="lt-LT"/>
                </w:rPr>
              </w:pPr>
              <w:sdt>
                <w:sdtPr>
                  <w:alias w:val="Numeris"/>
                  <w:tag w:val="nr_86f92f74a92a4ccb86b336c21b3496b1"/>
                  <w:lock w:val="sdtLocked"/>
                  <w:richText/>
                </w:sdtPr>
                <w:sdtContent>
                  <w:r>
                    <w:rPr>
                      <w:b/>
                      <w:bCs/>
                      <w:szCs w:val="24"/>
                      <w:lang w:eastAsia="lt-LT"/>
                    </w:rPr>
                    <w:t>I</w:t>
                  </w:r>
                </w:sdtContent>
              </w:sdt>
              <w:r>
                <w:rPr>
                  <w:b/>
                  <w:bCs/>
                  <w:szCs w:val="24"/>
                  <w:lang w:eastAsia="lt-LT"/>
                </w:rPr>
                <w:t xml:space="preserve"> SKYRIUS</w:t>
              </w:r>
            </w:p>
            <w:p>
              <w:pPr>
                <w:jc w:val="center"/>
                <w:rPr>
                  <w:color w:val="000000"/>
                  <w:szCs w:val="24"/>
                  <w:lang w:eastAsia="lt-LT"/>
                </w:rPr>
              </w:pPr>
              <w:sdt>
                <w:sdtPr>
                  <w:alias w:val="Pavadinimas"/>
                  <w:tag w:val="title_86f92f74a92a4ccb86b336c21b3496b1"/>
                  <w:lock w:val="sdtLocked"/>
                  <w:richText/>
                </w:sdtPr>
                <w:sdtContent>
                  <w:r>
                    <w:rPr>
                      <w:b/>
                      <w:bCs/>
                      <w:color w:val="000000"/>
                      <w:szCs w:val="24"/>
                      <w:lang w:eastAsia="lt-LT"/>
                    </w:rPr>
                    <w:t>BENDROSIOS NUOSTATOS</w:t>
                  </w:r>
                </w:sdtContent>
              </w:sdt>
            </w:p>
            <w:p>
              <w:pPr>
                <w:ind w:firstLine="62"/>
                <w:rPr>
                  <w:color w:val="000000"/>
                  <w:szCs w:val="24"/>
                  <w:lang w:eastAsia="lt-LT"/>
                </w:rPr>
              </w:pPr>
            </w:p>
            <w:sdt>
              <w:sdtPr>
                <w:alias w:val="1 p."/>
                <w:tag w:val="part_a59d2fd867f241988e65f7307189ac37"/>
                <w:lock w:val="sdtLocked"/>
                <w:richText/>
              </w:sdtPr>
              <w:sdtContent>
                <w:p>
                  <w:pPr>
                    <w:spacing w:line="253" w:lineRule="atLeast"/>
                    <w:ind w:firstLine="1134"/>
                    <w:jc w:val="both"/>
                    <w:rPr>
                      <w:color w:val="000000"/>
                      <w:szCs w:val="24"/>
                      <w:lang w:eastAsia="lt-LT"/>
                    </w:rPr>
                  </w:pPr>
                  <w:sdt>
                    <w:sdtPr>
                      <w:alias w:val="Numeris"/>
                      <w:tag w:val="nr_a59d2fd867f241988e65f7307189ac37"/>
                      <w:lock w:val="sdtLocked"/>
                      <w:richText/>
                    </w:sdtPr>
                    <w:sdtContent>
                      <w:r>
                        <w:rPr>
                          <w:color w:val="000000"/>
                          <w:szCs w:val="24"/>
                          <w:lang w:eastAsia="lt-LT"/>
                        </w:rPr>
                        <w:t>1</w:t>
                      </w:r>
                    </w:sdtContent>
                  </w:sdt>
                  <w:r>
                    <w:rPr>
                      <w:color w:val="000000"/>
                      <w:szCs w:val="24"/>
                      <w:lang w:eastAsia="lt-LT"/>
                    </w:rPr>
                    <w:t>. Globos centro, budinčio globotojo ir nuolatinio globotojo veiklos finansavimo Joniškio rajono savivaldybėje tvarkos aprašas (toliau – Aprašas) nustato globos centro, budinčio globotojo ir nuolatinio globotojo veiklos finansavimo tvarką.</w:t>
                  </w:r>
                </w:p>
              </w:sdtContent>
            </w:sdt>
            <w:sdt>
              <w:sdtPr>
                <w:alias w:val="2 p."/>
                <w:tag w:val="part_c0970c30000c47f3951d963677795066"/>
                <w:lock w:val="sdtLocked"/>
                <w:richText/>
              </w:sdtPr>
              <w:sdtContent>
                <w:p>
                  <w:pPr>
                    <w:spacing w:line="253" w:lineRule="atLeast"/>
                    <w:ind w:firstLine="1134"/>
                    <w:jc w:val="both"/>
                    <w:rPr>
                      <w:color w:val="000000"/>
                      <w:szCs w:val="24"/>
                    </w:rPr>
                  </w:pPr>
                  <w:sdt>
                    <w:sdtPr>
                      <w:alias w:val="Numeris"/>
                      <w:tag w:val="nr_c0970c30000c47f3951d963677795066"/>
                      <w:lock w:val="sdtLocked"/>
                      <w:richText/>
                    </w:sdtPr>
                    <w:sdtContent>
                      <w:r>
                        <w:rPr>
                          <w:color w:val="000000"/>
                          <w:szCs w:val="24"/>
                          <w:lang w:eastAsia="lt-LT"/>
                        </w:rPr>
                        <w:t>2</w:t>
                      </w:r>
                    </w:sdtContent>
                  </w:sdt>
                  <w:r>
                    <w:rPr>
                      <w:color w:val="000000"/>
                      <w:szCs w:val="24"/>
                      <w:lang w:eastAsia="lt-LT"/>
                    </w:rPr>
                    <w:t xml:space="preserve">. </w:t>
                  </w:r>
                  <w:r>
                    <w:rPr>
                      <w:color w:val="000000"/>
                      <w:szCs w:val="24"/>
                    </w:rPr>
                    <w:t>Globos centro funkcijas vykdo Joniškio rajono vaiko ir šeimos gerovės centras, vadovaudamasis nuostatomis, kurios išdėstytos Globos centro veiklos tvarkos apraše, patvirtintame Lietuvos Respublikos socialinės apsaugos ir darbo ministro 2018 m. sausio 19 d. įsakymu Nr. A1-421 „Dėl Globos centro veiklos aprašo patvirtinimo“ (toliau – Globos centro veiklos aprašas), kitais veiklą reglamentuojančiais teisės aktais ir šiuo Aprašu.</w:t>
                  </w:r>
                </w:p>
              </w:sdtContent>
            </w:sdt>
            <w:sdt>
              <w:sdtPr>
                <w:alias w:val="3 p."/>
                <w:tag w:val="part_89391abfe6f944ec888aaec8ba695a85"/>
                <w:lock w:val="sdtLocked"/>
                <w:richText/>
              </w:sdtPr>
              <w:sdtContent>
                <w:p>
                  <w:pPr>
                    <w:spacing w:line="253" w:lineRule="atLeast"/>
                    <w:ind w:firstLine="1134"/>
                    <w:jc w:val="both"/>
                    <w:rPr>
                      <w:color w:val="000000"/>
                      <w:szCs w:val="24"/>
                      <w:lang w:eastAsia="lt-LT"/>
                    </w:rPr>
                  </w:pPr>
                  <w:sdt>
                    <w:sdtPr>
                      <w:alias w:val="Numeris"/>
                      <w:tag w:val="nr_89391abfe6f944ec888aaec8ba695a85"/>
                      <w:lock w:val="sdtLocked"/>
                      <w:richText/>
                    </w:sdtPr>
                    <w:sdtContent>
                      <w:r>
                        <w:rPr>
                          <w:color w:val="000000"/>
                          <w:szCs w:val="24"/>
                          <w:lang w:eastAsia="lt-LT"/>
                        </w:rPr>
                        <w:t>3</w:t>
                      </w:r>
                    </w:sdtContent>
                  </w:sdt>
                  <w:r>
                    <w:rPr>
                      <w:color w:val="000000"/>
                      <w:szCs w:val="24"/>
                      <w:lang w:eastAsia="lt-LT"/>
                    </w:rPr>
                    <w:t xml:space="preserve">. Kitos šiame Apraše sąvokos vartojamos taip, kaip jos apibrėžiamos Lietuvos Respublikos civiliniame kodekse, Lietuvos Respublikos socialinių paslaugų įstatyme ir kituose teisės aktuose apibrėžtas sąvokas. </w:t>
                  </w:r>
                </w:p>
              </w:sdtContent>
            </w:sdt>
          </w:sdtContent>
        </w:sdt>
        <w:sdt>
          <w:sdtPr>
            <w:alias w:val="skyrius"/>
            <w:tag w:val="part_d7f50d188bb04059a87d7bc823df15a0"/>
            <w:lock w:val="sdtLocked"/>
            <w:richText/>
          </w:sdtPr>
          <w:sdtContent>
            <w:p>
              <w:pPr>
                <w:jc w:val="center"/>
                <w:rPr>
                  <w:color w:val="000000"/>
                  <w:szCs w:val="24"/>
                  <w:lang w:eastAsia="lt-LT"/>
                </w:rPr>
              </w:pPr>
              <w:sdt>
                <w:sdtPr>
                  <w:alias w:val="Numeris"/>
                  <w:tag w:val="nr_d7f50d188bb04059a87d7bc823df15a0"/>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rPr>
                  <w:color w:val="000000"/>
                  <w:szCs w:val="24"/>
                  <w:lang w:eastAsia="lt-LT"/>
                </w:rPr>
              </w:pPr>
              <w:sdt>
                <w:sdtPr>
                  <w:alias w:val="Pavadinimas"/>
                  <w:tag w:val="title_d7f50d188bb04059a87d7bc823df15a0"/>
                  <w:lock w:val="sdtLocked"/>
                  <w:richText/>
                </w:sdtPr>
                <w:sdtContent>
                  <w:r>
                    <w:rPr>
                      <w:b/>
                      <w:bCs/>
                      <w:color w:val="000000"/>
                      <w:szCs w:val="24"/>
                      <w:lang w:eastAsia="lt-LT"/>
                    </w:rPr>
                    <w:t xml:space="preserve">GLOBOS CENTRO IR BUDINČIO GLOBOTOJO AR NUOLATINIO GLOBOTOJO VEIKLOS FINANSAVIMAS </w:t>
                  </w:r>
                </w:sdtContent>
              </w:sdt>
            </w:p>
            <w:p>
              <w:pPr>
                <w:tabs>
                  <w:tab w:val="left" w:pos="567"/>
                  <w:tab w:val="left" w:pos="1276"/>
                </w:tabs>
                <w:ind w:firstLine="426"/>
                <w:jc w:val="both"/>
                <w:rPr>
                  <w:b/>
                  <w:color w:val="000000"/>
                  <w:szCs w:val="24"/>
                  <w:lang w:eastAsia="lt-LT"/>
                </w:rPr>
              </w:pPr>
            </w:p>
            <w:sdt>
              <w:sdtPr>
                <w:alias w:val="4 p."/>
                <w:tag w:val="part_476699c9f7d942688adf60589f42965a"/>
                <w:lock w:val="sdtLocked"/>
                <w:richText/>
              </w:sdtPr>
              <w:sdtContent>
                <w:p>
                  <w:pPr>
                    <w:spacing w:line="253" w:lineRule="atLeast"/>
                    <w:ind w:firstLine="1134"/>
                    <w:jc w:val="both"/>
                    <w:rPr>
                      <w:color w:val="000000"/>
                      <w:szCs w:val="24"/>
                      <w:lang w:eastAsia="lt-LT"/>
                    </w:rPr>
                  </w:pPr>
                  <w:sdt>
                    <w:sdtPr>
                      <w:alias w:val="Numeris"/>
                      <w:tag w:val="nr_476699c9f7d942688adf60589f42965a"/>
                      <w:lock w:val="sdtLocked"/>
                      <w:richText/>
                    </w:sdtPr>
                    <w:sdtContent>
                      <w:r>
                        <w:rPr>
                          <w:color w:val="000000"/>
                          <w:szCs w:val="24"/>
                        </w:rPr>
                        <w:t>4</w:t>
                      </w:r>
                    </w:sdtContent>
                  </w:sdt>
                  <w:r>
                    <w:rPr>
                      <w:color w:val="000000"/>
                      <w:szCs w:val="24"/>
                    </w:rPr>
                    <w:t xml:space="preserve">. </w:t>
                  </w:r>
                  <w:r>
                    <w:rPr>
                      <w:rFonts w:eastAsia="Calibri"/>
                      <w:color w:val="000000"/>
                      <w:szCs w:val="24"/>
                      <w:lang w:eastAsia="lt-LT"/>
                    </w:rPr>
                    <w:t xml:space="preserve">Globos centro </w:t>
                  </w:r>
                  <w:r>
                    <w:rPr>
                      <w:color w:val="000000"/>
                      <w:szCs w:val="24"/>
                      <w:lang w:eastAsia="lt-LT"/>
                    </w:rPr>
                    <w:t>budintiems globotojams, nuolatiniams globotojams, globėjams (rūpintojams), šeimynos dalyviams, šeiminių vaikų globos namų darbuotojams ir įtėviams teikiamos paslaugos finansuojamos iš Joniškio rajono savivaldybės biudžeto lėšų, Lietuvos Respublikos valstybės biudžeto lėšų, skirtų vaikų globos (rūpybos) išmokoms, globos (rūpybos) išlaidų tiksliniam priedui ir vaiko išmokoms pagal Lietuvos Respublikos išmokų vaikams įstatymą (toliau – Išmokų vaikams įstatymas) mokėti ir kitų teisėtai įgytų lėšų.</w:t>
                  </w:r>
                </w:p>
              </w:sdtContent>
            </w:sdt>
            <w:sdt>
              <w:sdtPr>
                <w:alias w:val="5 p."/>
                <w:tag w:val="part_0094b254b154441eb5ee6fb08646999c"/>
                <w:lock w:val="sdtLocked"/>
                <w:richText/>
              </w:sdtPr>
              <w:sdtContent>
                <w:p>
                  <w:pPr>
                    <w:spacing w:line="253" w:lineRule="atLeast"/>
                    <w:ind w:firstLine="1134"/>
                    <w:jc w:val="both"/>
                    <w:rPr>
                      <w:color w:val="000000"/>
                      <w:szCs w:val="24"/>
                      <w:lang w:eastAsia="lt-LT"/>
                    </w:rPr>
                  </w:pPr>
                  <w:sdt>
                    <w:sdtPr>
                      <w:alias w:val="Numeris"/>
                      <w:tag w:val="nr_0094b254b154441eb5ee6fb08646999c"/>
                      <w:lock w:val="sdtLocked"/>
                      <w:richText/>
                    </w:sdtPr>
                    <w:sdtContent>
                      <w:r>
                        <w:rPr>
                          <w:color w:val="000000"/>
                          <w:szCs w:val="24"/>
                          <w:lang w:eastAsia="lt-LT"/>
                        </w:rPr>
                        <w:t>5</w:t>
                      </w:r>
                    </w:sdtContent>
                  </w:sdt>
                  <w:r>
                    <w:rPr>
                      <w:color w:val="000000"/>
                      <w:szCs w:val="24"/>
                      <w:lang w:eastAsia="lt-LT"/>
                    </w:rPr>
                    <w:t>. Globos centras teikia informaciją Joniškio rajono savivaldybės (toliau – Savivaldybė) administracijai dėl lėšų poreikio ir planuojamų paslaugų teikimo Savivaldybės mero nustatyta tvarka.</w:t>
                  </w:r>
                </w:p>
              </w:sdtContent>
            </w:sdt>
            <w:sdt>
              <w:sdtPr>
                <w:alias w:val="6 p."/>
                <w:tag w:val="part_758acc55f1464a9482f1a2092b369b68"/>
                <w:lock w:val="sdtLocked"/>
                <w:richText/>
              </w:sdtPr>
              <w:sdtContent>
                <w:p>
                  <w:pPr>
                    <w:ind w:firstLine="1099"/>
                    <w:jc w:val="both"/>
                    <w:rPr>
                      <w:color w:val="000000"/>
                      <w:szCs w:val="24"/>
                      <w:lang w:eastAsia="lt-LT"/>
                    </w:rPr>
                  </w:pPr>
                  <w:sdt>
                    <w:sdtPr>
                      <w:alias w:val="Numeris"/>
                      <w:tag w:val="nr_758acc55f1464a9482f1a2092b369b68"/>
                      <w:lock w:val="sdtLocked"/>
                      <w:richText/>
                    </w:sdtPr>
                    <w:sdtContent>
                      <w:r>
                        <w:rPr>
                          <w:color w:val="000000"/>
                          <w:szCs w:val="24"/>
                          <w:lang w:eastAsia="lt-LT"/>
                        </w:rPr>
                        <w:t>6</w:t>
                      </w:r>
                    </w:sdtContent>
                  </w:sdt>
                  <w:r>
                    <w:rPr>
                      <w:color w:val="000000"/>
                      <w:szCs w:val="24"/>
                      <w:lang w:eastAsia="lt-LT"/>
                    </w:rPr>
                    <w:t>. Savivaldybės administracija finansuoja budinčio globotojo ir nuolatinio globotojo veiklą, kai vaikui nustatytas laikinas apgyvendinimas globos centre.</w:t>
                  </w:r>
                </w:p>
              </w:sdtContent>
            </w:sdt>
            <w:sdt>
              <w:sdtPr>
                <w:alias w:val="7 p."/>
                <w:tag w:val="part_e0e262596d654613becdf4ca67d4baa5"/>
                <w:lock w:val="sdtLocked"/>
                <w:richText/>
              </w:sdtPr>
              <w:sdtContent>
                <w:p>
                  <w:pPr>
                    <w:ind w:firstLine="1099"/>
                    <w:jc w:val="both"/>
                    <w:rPr>
                      <w:szCs w:val="24"/>
                    </w:rPr>
                  </w:pPr>
                  <w:sdt>
                    <w:sdtPr>
                      <w:alias w:val="Numeris"/>
                      <w:tag w:val="nr_e0e262596d654613becdf4ca67d4baa5"/>
                      <w:lock w:val="sdtLocked"/>
                      <w:richText/>
                    </w:sdtPr>
                    <w:sdtContent>
                      <w:r>
                        <w:rPr>
                          <w:color w:val="000000"/>
                          <w:szCs w:val="24"/>
                        </w:rPr>
                        <w:t>7</w:t>
                      </w:r>
                    </w:sdtContent>
                  </w:sdt>
                  <w:r>
                    <w:rPr>
                      <w:color w:val="000000"/>
                      <w:szCs w:val="24"/>
                    </w:rPr>
                    <w:t xml:space="preserve">. Savivaldybės administracija skiria ir moka atlygį ir išmokas vaiko globėjo (rūpintojo) teises ir pareigas įgyvendinančiam globos centrui už budinčio globotojo, nuolatinio globotojo, kurie yra sudarę tarpusavio bendradarbiavimo ir paslaugų teikimo sutartį su globos centru (toliau – Sutartis), prižiūrimą vaiką. </w:t>
                  </w:r>
                  <w:r>
                    <w:rPr>
                      <w:color w:val="000000"/>
                    </w:rPr>
                    <w:t>Atlygio dydis apskaičiuojamas proporcingai to mėnesio kalendorinių dienų, už kuriuos mokamas atlygis, skaičiui.</w:t>
                  </w:r>
                  <w:r>
                    <w:rPr>
                      <w:color w:val="000000"/>
                      <w:szCs w:val="24"/>
                    </w:rPr>
                    <w:t xml:space="preserve"> </w:t>
                  </w:r>
                </w:p>
              </w:sdtContent>
            </w:sdt>
            <w:sdt>
              <w:sdtPr>
                <w:alias w:val="8 p."/>
                <w:tag w:val="part_216bf27873db4d10b8bca47e033ad6f0"/>
                <w:lock w:val="sdtLocked"/>
                <w:richText/>
              </w:sdtPr>
              <w:sdtContent>
                <w:p>
                  <w:pPr>
                    <w:tabs>
                      <w:tab w:val="left" w:pos="1134"/>
                    </w:tabs>
                    <w:spacing w:line="253" w:lineRule="atLeast"/>
                    <w:ind w:firstLine="1108"/>
                    <w:jc w:val="both"/>
                    <w:rPr>
                      <w:rFonts w:eastAsia="Calibri"/>
                      <w:szCs w:val="24"/>
                    </w:rPr>
                  </w:pPr>
                  <w:sdt>
                    <w:sdtPr>
                      <w:alias w:val="Numeris"/>
                      <w:tag w:val="nr_216bf27873db4d10b8bca47e033ad6f0"/>
                      <w:lock w:val="sdtLocked"/>
                      <w:richText/>
                    </w:sdtPr>
                    <w:sdtContent>
                      <w:r>
                        <w:rPr>
                          <w:szCs w:val="24"/>
                        </w:rPr>
                        <w:t>8</w:t>
                      </w:r>
                    </w:sdtContent>
                  </w:sdt>
                  <w:r>
                    <w:rPr>
                      <w:szCs w:val="24"/>
                    </w:rPr>
                    <w:t>. Globos centras raštu informuoja Savivaldybės administraciją apie bendradarbiavimo ir paslaugų teikimo sutarčių su budinčiais ar nuolatiniais globotojais sudarymą ar nutraukimą.</w:t>
                  </w:r>
                </w:p>
              </w:sdtContent>
            </w:sdt>
            <w:sdt>
              <w:sdtPr>
                <w:alias w:val="9 p."/>
                <w:tag w:val="part_4e08543156624308a90aaf53a8b0c1fa"/>
                <w:lock w:val="sdtLocked"/>
                <w:richText/>
              </w:sdtPr>
              <w:sdtContent>
                <w:p>
                  <w:pPr>
                    <w:widowControl w:val="0"/>
                    <w:tabs>
                      <w:tab w:val="left" w:pos="709"/>
                    </w:tabs>
                    <w:ind w:firstLine="1134"/>
                    <w:jc w:val="both"/>
                    <w:rPr>
                      <w:szCs w:val="24"/>
                    </w:rPr>
                  </w:pPr>
                  <w:sdt>
                    <w:sdtPr>
                      <w:alias w:val="Numeris"/>
                      <w:tag w:val="nr_4e08543156624308a90aaf53a8b0c1fa"/>
                      <w:lock w:val="sdtLocked"/>
                      <w:richText/>
                    </w:sdtPr>
                    <w:sdtContent>
                      <w:r>
                        <w:rPr>
                          <w:szCs w:val="24"/>
                        </w:rPr>
                        <w:t>9</w:t>
                      </w:r>
                    </w:sdtContent>
                  </w:sdt>
                  <w:r>
                    <w:rPr>
                      <w:szCs w:val="24"/>
                    </w:rPr>
                    <w:t xml:space="preserve">. </w:t>
                  </w:r>
                  <w:r>
                    <w:rPr>
                      <w:color w:val="000000"/>
                    </w:rPr>
                    <w:t xml:space="preserve">Globos centras budinčiam globotojui moka: </w:t>
                  </w:r>
                </w:p>
                <w:sdt>
                  <w:sdtPr>
                    <w:alias w:val="9.1 pp."/>
                    <w:tag w:val="part_2bfa3bbfb0e4490ab5e8ecdf5a234580"/>
                    <w:lock w:val="sdtLocked"/>
                    <w:richText/>
                  </w:sdtPr>
                  <w:sdtContent>
                    <w:p>
                      <w:pPr>
                        <w:spacing w:line="253" w:lineRule="atLeast"/>
                        <w:ind w:firstLine="1134"/>
                        <w:jc w:val="both"/>
                        <w:rPr>
                          <w:color w:val="000000"/>
                          <w:szCs w:val="24"/>
                          <w:lang w:eastAsia="lt-LT"/>
                        </w:rPr>
                      </w:pPr>
                      <w:sdt>
                        <w:sdtPr>
                          <w:alias w:val="Numeris"/>
                          <w:tag w:val="nr_2bfa3bbfb0e4490ab5e8ecdf5a234580"/>
                          <w:lock w:val="sdtLocked"/>
                          <w:richText/>
                        </w:sdtPr>
                        <w:sdtContent>
                          <w:r>
                            <w:rPr>
                              <w:szCs w:val="24"/>
                              <w:lang w:eastAsia="lt-LT"/>
                            </w:rPr>
                            <w:t>9.1</w:t>
                          </w:r>
                        </w:sdtContent>
                      </w:sdt>
                      <w:r>
                        <w:rPr>
                          <w:szCs w:val="24"/>
                          <w:lang w:eastAsia="lt-LT"/>
                        </w:rPr>
                        <w:t>. 1 Lietuvos Respublikos Vyriausybės nutarimu nustatytos minimalios mėnesinės algos (toliau – MMA) dydžio atlygį</w:t>
                      </w:r>
                      <w:r>
                        <w:rPr>
                          <w:color w:val="000000"/>
                          <w:szCs w:val="24"/>
                          <w:lang w:eastAsia="lt-LT"/>
                        </w:rPr>
                        <w:t xml:space="preserve">. Atlygis didinamas: </w:t>
                      </w:r>
                    </w:p>
                    <w:sdt>
                      <w:sdtPr>
                        <w:alias w:val="9.1.1 pp."/>
                        <w:tag w:val="part_1980987bda724da4a73f483ed39295fa"/>
                        <w:lock w:val="sdtLocked"/>
                        <w:richText/>
                      </w:sdtPr>
                      <w:sdtContent>
                        <w:p>
                          <w:pPr>
                            <w:spacing w:line="253" w:lineRule="atLeast"/>
                            <w:ind w:firstLine="1134"/>
                            <w:jc w:val="both"/>
                            <w:rPr>
                              <w:color w:val="000000"/>
                              <w:szCs w:val="24"/>
                              <w:lang w:eastAsia="lt-LT"/>
                            </w:rPr>
                          </w:pPr>
                          <w:sdt>
                            <w:sdtPr>
                              <w:alias w:val="Numeris"/>
                              <w:tag w:val="nr_1980987bda724da4a73f483ed39295fa"/>
                              <w:lock w:val="sdtLocked"/>
                              <w:richText/>
                            </w:sdtPr>
                            <w:sdtContent>
                              <w:r>
                                <w:rPr>
                                  <w:color w:val="000000"/>
                                  <w:szCs w:val="24"/>
                                  <w:lang w:eastAsia="lt-LT"/>
                                </w:rPr>
                                <w:t>9.1.1</w:t>
                              </w:r>
                            </w:sdtContent>
                          </w:sdt>
                          <w:r>
                            <w:rPr>
                              <w:color w:val="000000"/>
                              <w:szCs w:val="24"/>
                              <w:lang w:eastAsia="lt-LT"/>
                            </w:rPr>
                            <w:t>. 0,5 MMA dydžio išmoka už kiekvieną faktiškai prižiūrimą vaiką ar vaiko priežiūrą kriziniais atvejais;</w:t>
                          </w:r>
                        </w:p>
                      </w:sdtContent>
                    </w:sdt>
                    <w:sdt>
                      <w:sdtPr>
                        <w:alias w:val="9.1.2 pp."/>
                        <w:tag w:val="part_2a76869803e346fdb029d16b782b9855"/>
                        <w:lock w:val="sdtLocked"/>
                        <w:richText/>
                      </w:sdtPr>
                      <w:sdtContent>
                        <w:p>
                          <w:pPr>
                            <w:spacing w:line="253" w:lineRule="atLeast"/>
                            <w:ind w:firstLine="1134"/>
                            <w:jc w:val="both"/>
                            <w:rPr>
                              <w:color w:val="000000"/>
                              <w:szCs w:val="24"/>
                              <w:lang w:eastAsia="lt-LT"/>
                            </w:rPr>
                          </w:pPr>
                          <w:sdt>
                            <w:sdtPr>
                              <w:alias w:val="Numeris"/>
                              <w:tag w:val="nr_2a76869803e346fdb029d16b782b9855"/>
                              <w:lock w:val="sdtLocked"/>
                              <w:richText/>
                            </w:sdtPr>
                            <w:sdtContent>
                              <w:r>
                                <w:rPr>
                                  <w:color w:val="000000"/>
                                  <w:szCs w:val="24"/>
                                  <w:lang w:eastAsia="lt-LT"/>
                                </w:rPr>
                                <w:t>9.1.2</w:t>
                              </w:r>
                            </w:sdtContent>
                          </w:sdt>
                          <w:r>
                            <w:rPr>
                              <w:color w:val="000000"/>
                              <w:szCs w:val="24"/>
                              <w:lang w:eastAsia="lt-LT"/>
                            </w:rPr>
                            <w:t xml:space="preserve">. 0,75 MMA dydžio išmoka per mėnesį už vaiką iki 3 metų ar paauglį nuo 12 metų, ar vaiką su negalia;   </w:t>
                          </w:r>
                        </w:p>
                      </w:sdtContent>
                    </w:sdt>
                    <w:sdt>
                      <w:sdtPr>
                        <w:alias w:val="9.1.3 pp."/>
                        <w:tag w:val="part_211f35a588ae45d0b2a22d73ff56a30b"/>
                        <w:lock w:val="sdtLocked"/>
                        <w:richText/>
                      </w:sdtPr>
                      <w:sdtContent>
                        <w:p>
                          <w:pPr>
                            <w:spacing w:line="253" w:lineRule="atLeast"/>
                            <w:ind w:firstLine="1134"/>
                            <w:jc w:val="both"/>
                            <w:rPr>
                              <w:b/>
                              <w:color w:val="000000"/>
                              <w:szCs w:val="24"/>
                              <w:lang w:eastAsia="lt-LT"/>
                            </w:rPr>
                          </w:pPr>
                          <w:sdt>
                            <w:sdtPr>
                              <w:alias w:val="Numeris"/>
                              <w:tag w:val="nr_211f35a588ae45d0b2a22d73ff56a30b"/>
                              <w:lock w:val="sdtLocked"/>
                              <w:richText/>
                            </w:sdtPr>
                            <w:sdtContent>
                              <w:r>
                                <w:rPr>
                                  <w:color w:val="000000"/>
                                  <w:szCs w:val="24"/>
                                  <w:lang w:eastAsia="lt-LT"/>
                                </w:rPr>
                                <w:t>9.1.3</w:t>
                              </w:r>
                            </w:sdtContent>
                          </w:sdt>
                          <w:r>
                            <w:rPr>
                              <w:color w:val="000000"/>
                              <w:szCs w:val="24"/>
                              <w:lang w:eastAsia="lt-LT"/>
                            </w:rPr>
                            <w:t xml:space="preserve">. </w:t>
                          </w:r>
                          <w:r>
                            <w:rPr>
                              <w:color w:val="000000"/>
                            </w:rPr>
                            <w:t xml:space="preserve">1 MMA dydžio atlygį, kai teikiama atokvėpio kriziniu atveju, darbingumo atkūrimo ar trumpo atokvėpio paslauga. </w:t>
                          </w:r>
                        </w:p>
                      </w:sdtContent>
                    </w:sdt>
                  </w:sdtContent>
                </w:sdt>
              </w:sdtContent>
            </w:sdt>
            <w:sdt>
              <w:sdtPr>
                <w:alias w:val="10 p."/>
                <w:tag w:val="part_f024dd4499554a2687cfbba3707a346f"/>
                <w:lock w:val="sdtLocked"/>
                <w:richText/>
              </w:sdtPr>
              <w:sdtContent>
                <w:p>
                  <w:pPr>
                    <w:tabs>
                      <w:tab w:val="left" w:pos="1276"/>
                    </w:tabs>
                    <w:ind w:firstLine="1161"/>
                    <w:jc w:val="both"/>
                    <w:rPr>
                      <w:color w:val="000000"/>
                      <w:szCs w:val="24"/>
                      <w:lang w:eastAsia="lt-LT"/>
                    </w:rPr>
                  </w:pPr>
                  <w:sdt>
                    <w:sdtPr>
                      <w:alias w:val="Numeris"/>
                      <w:tag w:val="nr_f024dd4499554a2687cfbba3707a346f"/>
                      <w:lock w:val="sdtLocked"/>
                      <w:richText/>
                    </w:sdtPr>
                    <w:sdtContent>
                      <w:r>
                        <w:rPr>
                          <w:color w:val="000000"/>
                          <w:szCs w:val="24"/>
                          <w:lang w:eastAsia="lt-LT"/>
                        </w:rPr>
                        <w:t>10</w:t>
                      </w:r>
                    </w:sdtContent>
                  </w:sdt>
                  <w:r>
                    <w:rPr>
                      <w:color w:val="000000"/>
                      <w:szCs w:val="24"/>
                      <w:lang w:eastAsia="lt-LT"/>
                    </w:rPr>
                    <w:t xml:space="preserve">. </w:t>
                  </w:r>
                  <w:r>
                    <w:t>Globos centras nuolatiniam globotojui moka:</w:t>
                  </w:r>
                </w:p>
                <w:sdt>
                  <w:sdtPr>
                    <w:alias w:val="10.1 pp."/>
                    <w:tag w:val="part_20057f0a8f2d41fea4ccd3d51a0e68c8"/>
                    <w:lock w:val="sdtLocked"/>
                    <w:richText/>
                  </w:sdtPr>
                  <w:sdtContent>
                    <w:p>
                      <w:pPr>
                        <w:spacing w:line="276" w:lineRule="auto"/>
                        <w:ind w:firstLine="1134"/>
                        <w:jc w:val="both"/>
                        <w:rPr>
                          <w:rFonts w:eastAsia="Batang"/>
                          <w:color w:val="000000"/>
                          <w:szCs w:val="24"/>
                          <w:lang w:eastAsia="lt-LT"/>
                        </w:rPr>
                      </w:pPr>
                      <w:sdt>
                        <w:sdtPr>
                          <w:alias w:val="Numeris"/>
                          <w:tag w:val="nr_20057f0a8f2d41fea4ccd3d51a0e68c8"/>
                          <w:lock w:val="sdtLocked"/>
                          <w:richText/>
                        </w:sdtPr>
                        <w:sdtContent>
                          <w:r>
                            <w:rPr>
                              <w:color w:val="000000"/>
                              <w:szCs w:val="24"/>
                              <w:lang w:eastAsia="lt-LT"/>
                            </w:rPr>
                            <w:t>10.1</w:t>
                          </w:r>
                        </w:sdtContent>
                      </w:sdt>
                      <w:r>
                        <w:rPr>
                          <w:color w:val="000000"/>
                          <w:szCs w:val="24"/>
                          <w:lang w:eastAsia="lt-LT"/>
                        </w:rPr>
                        <w:t xml:space="preserve">. </w:t>
                      </w:r>
                      <w:r>
                        <w:rPr>
                          <w:rFonts w:eastAsia="Batang"/>
                          <w:color w:val="000000"/>
                          <w:szCs w:val="24"/>
                          <w:lang w:eastAsia="lt-LT"/>
                        </w:rPr>
                        <w:t>2 MMA dydžio atlygį per mėnesį už faktiškai prižiūrimą vaiką;</w:t>
                      </w:r>
                    </w:p>
                  </w:sdtContent>
                </w:sdt>
                <w:sdt>
                  <w:sdtPr>
                    <w:alias w:val="10.2 pp."/>
                    <w:tag w:val="part_eb716232d66b4b15acf002a18ba68520"/>
                    <w:lock w:val="sdtLocked"/>
                    <w:richText/>
                  </w:sdtPr>
                  <w:sdtContent>
                    <w:p>
                      <w:pPr>
                        <w:spacing w:line="276" w:lineRule="auto"/>
                        <w:ind w:firstLine="1134"/>
                        <w:jc w:val="both"/>
                        <w:rPr>
                          <w:rFonts w:eastAsia="Batang"/>
                          <w:color w:val="000000"/>
                          <w:szCs w:val="24"/>
                          <w:lang w:eastAsia="lt-LT"/>
                        </w:rPr>
                      </w:pPr>
                      <w:sdt>
                        <w:sdtPr>
                          <w:alias w:val="Numeris"/>
                          <w:tag w:val="nr_eb716232d66b4b15acf002a18ba68520"/>
                          <w:lock w:val="sdtLocked"/>
                          <w:richText/>
                        </w:sdtPr>
                        <w:sdtContent>
                          <w:r>
                            <w:rPr>
                              <w:rFonts w:eastAsia="Batang"/>
                              <w:color w:val="000000"/>
                              <w:szCs w:val="24"/>
                              <w:lang w:eastAsia="lt-LT"/>
                            </w:rPr>
                            <w:t>10.2</w:t>
                          </w:r>
                        </w:sdtContent>
                      </w:sdt>
                      <w:r>
                        <w:rPr>
                          <w:rFonts w:eastAsia="Batang"/>
                          <w:color w:val="000000"/>
                          <w:szCs w:val="24"/>
                          <w:lang w:eastAsia="lt-LT"/>
                        </w:rPr>
                        <w:t>. atlygis didinamas už kiekvieną kitą vaiką po 0,75 MMA, jeigu nuolatinis globotojas prižiūri daugiau kaip vieną vaiką.</w:t>
                      </w:r>
                    </w:p>
                  </w:sdtContent>
                </w:sdt>
              </w:sdtContent>
            </w:sdt>
            <w:sdt>
              <w:sdtPr>
                <w:alias w:val="11 p."/>
                <w:tag w:val="part_d0a236664c9e449785c5dc707d551d16"/>
                <w:lock w:val="sdtLocked"/>
                <w:richText/>
              </w:sdtPr>
              <w:sdtContent>
                <w:p>
                  <w:pPr>
                    <w:tabs>
                      <w:tab w:val="left" w:pos="1276"/>
                    </w:tabs>
                    <w:spacing w:line="276" w:lineRule="auto"/>
                    <w:ind w:firstLine="1161"/>
                    <w:jc w:val="both"/>
                    <w:rPr>
                      <w:rFonts w:eastAsia="Batang"/>
                      <w:color w:val="000000"/>
                      <w:szCs w:val="24"/>
                      <w:lang w:eastAsia="lt-LT"/>
                    </w:rPr>
                  </w:pPr>
                  <w:sdt>
                    <w:sdtPr>
                      <w:alias w:val="Numeris"/>
                      <w:tag w:val="nr_d0a236664c9e449785c5dc707d551d16"/>
                      <w:lock w:val="sdtLocked"/>
                      <w:richText/>
                    </w:sdtPr>
                    <w:sdtContent>
                      <w:r>
                        <w:rPr>
                          <w:rFonts w:eastAsia="Batang"/>
                          <w:color w:val="000000"/>
                          <w:szCs w:val="24"/>
                          <w:lang w:eastAsia="lt-LT"/>
                        </w:rPr>
                        <w:t>11</w:t>
                      </w:r>
                    </w:sdtContent>
                  </w:sdt>
                  <w:r>
                    <w:rPr>
                      <w:rFonts w:eastAsia="Batang"/>
                      <w:color w:val="000000"/>
                      <w:szCs w:val="24"/>
                      <w:lang w:eastAsia="lt-LT"/>
                    </w:rPr>
                    <w:t>. Jeigu pasibaigus vaiko globai (rūpybai) dėl pilnametystės, asmuo ir toliau yra prižiūrimas budinčio ar nuolatinio globotojo ir mokosi pagal bendrojo ugdymo programą, pagal formaliojo profesinio mokymo programą ar studijuoja aukštojoje mokykloje pagal nuolatinės studijų formos programą, šio asmens mokymosi laikotarpiu budinčiam, nuolatiniam globotojui mokamas atlygis, bet ne ilgiau iki asmeniui sukaks 24 metai.</w:t>
                  </w:r>
                </w:p>
              </w:sdtContent>
            </w:sdt>
            <w:sdt>
              <w:sdtPr>
                <w:alias w:val="12 p."/>
                <w:tag w:val="part_78b7b9a4efab41bf9a17812738af558a"/>
                <w:lock w:val="sdtLocked"/>
                <w:richText/>
              </w:sdtPr>
              <w:sdtContent>
                <w:p>
                  <w:pPr>
                    <w:tabs>
                      <w:tab w:val="left" w:pos="1276"/>
                    </w:tabs>
                    <w:spacing w:line="276" w:lineRule="auto"/>
                    <w:ind w:firstLine="1161"/>
                    <w:jc w:val="both"/>
                    <w:rPr>
                      <w:color w:val="000000"/>
                      <w:szCs w:val="24"/>
                      <w:lang w:eastAsia="lt-LT"/>
                    </w:rPr>
                  </w:pPr>
                  <w:sdt>
                    <w:sdtPr>
                      <w:alias w:val="Numeris"/>
                      <w:tag w:val="nr_78b7b9a4efab41bf9a17812738af558a"/>
                      <w:lock w:val="sdtLocked"/>
                      <w:richText/>
                    </w:sdtPr>
                    <w:sdtContent>
                      <w:r>
                        <w:rPr>
                          <w:rFonts w:eastAsia="Batang"/>
                          <w:color w:val="000000"/>
                          <w:szCs w:val="24"/>
                          <w:lang w:eastAsia="lt-LT"/>
                        </w:rPr>
                        <w:t>12</w:t>
                      </w:r>
                    </w:sdtContent>
                  </w:sdt>
                  <w:r>
                    <w:rPr>
                      <w:rFonts w:eastAsia="Batang"/>
                      <w:color w:val="000000"/>
                      <w:szCs w:val="24"/>
                      <w:lang w:eastAsia="lt-LT"/>
                    </w:rPr>
                    <w:t xml:space="preserve">. </w:t>
                  </w:r>
                  <w:r>
                    <w:rPr>
                      <w:szCs w:val="24"/>
                    </w:rPr>
                    <w:t>Savivaldybės administracija budinčiam globotojui ir nuolatiniam globotojui moka:</w:t>
                  </w:r>
                </w:p>
                <w:sdt>
                  <w:sdtPr>
                    <w:alias w:val="12.1 pp."/>
                    <w:tag w:val="part_2e843ebab90942aeb2533b331509a2e1"/>
                    <w:lock w:val="sdtLocked"/>
                    <w:richText/>
                  </w:sdtPr>
                  <w:sdtContent>
                    <w:p>
                      <w:pPr>
                        <w:tabs>
                          <w:tab w:val="left" w:pos="567"/>
                          <w:tab w:val="left" w:pos="1276"/>
                        </w:tabs>
                        <w:ind w:firstLine="1134"/>
                        <w:jc w:val="both"/>
                        <w:rPr>
                          <w:color w:val="000000"/>
                          <w:szCs w:val="24"/>
                          <w:lang w:eastAsia="lt-LT"/>
                        </w:rPr>
                      </w:pPr>
                      <w:sdt>
                        <w:sdtPr>
                          <w:alias w:val="Numeris"/>
                          <w:tag w:val="nr_2e843ebab90942aeb2533b331509a2e1"/>
                          <w:lock w:val="sdtLocked"/>
                          <w:richText/>
                        </w:sdtPr>
                        <w:sdtContent>
                          <w:r>
                            <w:rPr>
                              <w:color w:val="000000"/>
                              <w:szCs w:val="24"/>
                              <w:lang w:eastAsia="lt-LT"/>
                            </w:rPr>
                            <w:t>12.1</w:t>
                          </w:r>
                        </w:sdtContent>
                      </w:sdt>
                      <w:r>
                        <w:rPr>
                          <w:color w:val="000000"/>
                          <w:szCs w:val="24"/>
                          <w:lang w:eastAsia="lt-LT"/>
                        </w:rPr>
                        <w:t>. vaiko globos (rūpybos) išmokas, mokamas Išmokų vaikams įstatymo nustatyta tvarka;</w:t>
                      </w:r>
                    </w:p>
                  </w:sdtContent>
                </w:sdt>
                <w:sdt>
                  <w:sdtPr>
                    <w:alias w:val="12.2 pp."/>
                    <w:tag w:val="part_09fc239b6a054e68b307758172174f1a"/>
                    <w:lock w:val="sdtLocked"/>
                    <w:richText/>
                  </w:sdtPr>
                  <w:sdtContent>
                    <w:p>
                      <w:pPr>
                        <w:spacing w:line="253" w:lineRule="atLeast"/>
                        <w:ind w:firstLine="1134"/>
                        <w:jc w:val="both"/>
                        <w:rPr>
                          <w:color w:val="000000"/>
                          <w:szCs w:val="24"/>
                          <w:lang w:eastAsia="lt-LT"/>
                        </w:rPr>
                      </w:pPr>
                      <w:sdt>
                        <w:sdtPr>
                          <w:alias w:val="Numeris"/>
                          <w:tag w:val="nr_09fc239b6a054e68b307758172174f1a"/>
                          <w:lock w:val="sdtLocked"/>
                          <w:richText/>
                        </w:sdtPr>
                        <w:sdtContent>
                          <w:r>
                            <w:rPr>
                              <w:color w:val="000000"/>
                              <w:szCs w:val="24"/>
                              <w:lang w:eastAsia="lt-LT"/>
                            </w:rPr>
                            <w:t>12.2</w:t>
                          </w:r>
                        </w:sdtContent>
                      </w:sdt>
                      <w:r>
                        <w:rPr>
                          <w:color w:val="000000"/>
                          <w:szCs w:val="24"/>
                          <w:lang w:eastAsia="lt-LT"/>
                        </w:rPr>
                        <w:t>. globos (rūpybos) išmokų tikslinius priedus, mokamus Išmokų vaikams įstatymo nustatyta tvarka;</w:t>
                      </w:r>
                    </w:p>
                  </w:sdtContent>
                </w:sdt>
                <w:sdt>
                  <w:sdtPr>
                    <w:alias w:val="12.3 pp."/>
                    <w:tag w:val="part_0c1a599abe114dfd84276813a12f1673"/>
                    <w:lock w:val="sdtLocked"/>
                    <w:richText/>
                  </w:sdtPr>
                  <w:sdtContent>
                    <w:p>
                      <w:pPr>
                        <w:widowControl w:val="0"/>
                        <w:tabs>
                          <w:tab w:val="left" w:pos="709"/>
                        </w:tabs>
                        <w:ind w:firstLine="1134"/>
                        <w:jc w:val="both"/>
                        <w:rPr>
                          <w:color w:val="000000"/>
                          <w:szCs w:val="24"/>
                          <w:lang w:eastAsia="lt-LT"/>
                        </w:rPr>
                      </w:pPr>
                      <w:sdt>
                        <w:sdtPr>
                          <w:alias w:val="Numeris"/>
                          <w:tag w:val="nr_0c1a599abe114dfd84276813a12f1673"/>
                          <w:lock w:val="sdtLocked"/>
                          <w:richText/>
                        </w:sdtPr>
                        <w:sdtContent>
                          <w:r>
                            <w:rPr>
                              <w:color w:val="000000"/>
                              <w:szCs w:val="24"/>
                              <w:lang w:eastAsia="lt-LT"/>
                            </w:rPr>
                            <w:t>12.3</w:t>
                          </w:r>
                        </w:sdtContent>
                      </w:sdt>
                      <w:r>
                        <w:rPr>
                          <w:color w:val="000000"/>
                          <w:szCs w:val="24"/>
                          <w:lang w:eastAsia="lt-LT"/>
                        </w:rPr>
                        <w:t>. išmokas vaikui, mokamas Išmokų vaikams įstatymo nustatyta tvarka, vaikui skirtą slaugos ir priežiūros (pagalbos) išlaidų tikslinę kompensaciją, mokamą pagal Lietuvos Respublikos tikslinių kompensacijų įstatymą, ir kitas išmokas, jei teisė gauti šias išmokas vaikui ir globėjui (rūpintojui) numatyta įstatymuose;</w:t>
                      </w:r>
                    </w:p>
                  </w:sdtContent>
                </w:sdt>
                <w:sdt>
                  <w:sdtPr>
                    <w:alias w:val="12.4 pp."/>
                    <w:tag w:val="part_c229e2da8a7a40de907659a7e5957078"/>
                    <w:lock w:val="sdtLocked"/>
                    <w:richText/>
                  </w:sdtPr>
                  <w:sdtContent>
                    <w:p>
                      <w:pPr>
                        <w:tabs>
                          <w:tab w:val="left" w:pos="1276"/>
                        </w:tabs>
                        <w:ind w:firstLine="1161"/>
                        <w:jc w:val="both"/>
                        <w:rPr>
                          <w:color w:val="000000"/>
                          <w:szCs w:val="24"/>
                          <w:lang w:eastAsia="lt-LT"/>
                        </w:rPr>
                      </w:pPr>
                      <w:sdt>
                        <w:sdtPr>
                          <w:alias w:val="Numeris"/>
                          <w:tag w:val="nr_c229e2da8a7a40de907659a7e5957078"/>
                          <w:lock w:val="sdtLocked"/>
                          <w:richText/>
                        </w:sdtPr>
                        <w:sdtContent>
                          <w:r>
                            <w:rPr>
                              <w:color w:val="000000"/>
                              <w:szCs w:val="24"/>
                              <w:lang w:eastAsia="lt-LT"/>
                            </w:rPr>
                            <w:t>12.4</w:t>
                          </w:r>
                        </w:sdtContent>
                      </w:sdt>
                      <w:r>
                        <w:rPr>
                          <w:color w:val="000000"/>
                          <w:szCs w:val="24"/>
                          <w:lang w:eastAsia="lt-LT"/>
                        </w:rPr>
                        <w:t>. pagalbos pinigus Savivaldybės tarybos nustatyta tvarka.</w:t>
                      </w:r>
                    </w:p>
                  </w:sdtContent>
                </w:sdt>
              </w:sdtContent>
            </w:sdt>
            <w:sdt>
              <w:sdtPr>
                <w:alias w:val="13 p."/>
                <w:tag w:val="part_f99c06bab6dd4ed4a6ce359f9c281e59"/>
                <w:lock w:val="sdtLocked"/>
                <w:richText/>
              </w:sdtPr>
              <w:sdtContent>
                <w:p>
                  <w:pPr>
                    <w:widowControl w:val="0"/>
                    <w:tabs>
                      <w:tab w:val="left" w:pos="709"/>
                    </w:tabs>
                    <w:ind w:firstLine="1134"/>
                    <w:jc w:val="both"/>
                    <w:rPr>
                      <w:rFonts w:eastAsia="Calibri"/>
                      <w:color w:val="000000"/>
                      <w:szCs w:val="24"/>
                    </w:rPr>
                  </w:pPr>
                  <w:sdt>
                    <w:sdtPr>
                      <w:alias w:val="Numeris"/>
                      <w:tag w:val="nr_f99c06bab6dd4ed4a6ce359f9c281e59"/>
                      <w:lock w:val="sdtLocked"/>
                      <w:richText/>
                    </w:sdtPr>
                    <w:sdtContent>
                      <w:r>
                        <w:rPr>
                          <w:color w:val="000000"/>
                          <w:szCs w:val="24"/>
                        </w:rPr>
                        <w:t>13</w:t>
                      </w:r>
                    </w:sdtContent>
                  </w:sdt>
                  <w:r>
                    <w:rPr>
                      <w:color w:val="000000"/>
                      <w:szCs w:val="24"/>
                    </w:rPr>
                    <w:t xml:space="preserve">. </w:t>
                  </w:r>
                  <w:r>
                    <w:rPr>
                      <w:color w:val="000000"/>
                      <w:szCs w:val="24"/>
                      <w:lang w:eastAsia="lt-LT"/>
                    </w:rPr>
                    <w:t>Globos centras kas mėnesį perveda šiame Apraše numatytas ir iš Savivaldybės gautas lėšas budinčiam globotojui ar nuolatiniam globotojui Sutartyje nustatytomis sąlygomis ir tvarka.</w:t>
                  </w:r>
                </w:p>
              </w:sdtContent>
            </w:sdt>
            <w:sdt>
              <w:sdtPr>
                <w:alias w:val="14 p."/>
                <w:tag w:val="part_d8290dbd9ff14c8fa8931746ed21031a"/>
                <w:lock w:val="sdtLocked"/>
                <w:richText/>
              </w:sdtPr>
              <w:sdtContent>
                <w:p>
                  <w:pPr>
                    <w:tabs>
                      <w:tab w:val="left" w:pos="567"/>
                      <w:tab w:val="left" w:pos="1134"/>
                    </w:tabs>
                    <w:ind w:firstLine="1134"/>
                    <w:jc w:val="both"/>
                    <w:rPr>
                      <w:color w:val="000000"/>
                      <w:szCs w:val="24"/>
                      <w:lang w:eastAsia="lt-LT"/>
                    </w:rPr>
                  </w:pPr>
                  <w:sdt>
                    <w:sdtPr>
                      <w:alias w:val="Numeris"/>
                      <w:tag w:val="nr_d8290dbd9ff14c8fa8931746ed21031a"/>
                      <w:lock w:val="sdtLocked"/>
                      <w:richText/>
                    </w:sdtPr>
                    <w:sdtContent>
                      <w:r>
                        <w:rPr>
                          <w:color w:val="000000"/>
                          <w:szCs w:val="24"/>
                          <w:lang w:eastAsia="lt-LT"/>
                        </w:rPr>
                        <w:t>14</w:t>
                      </w:r>
                    </w:sdtContent>
                  </w:sdt>
                  <w:r>
                    <w:rPr>
                      <w:color w:val="000000"/>
                      <w:szCs w:val="24"/>
                      <w:lang w:eastAsia="lt-LT"/>
                    </w:rPr>
                    <w:t xml:space="preserve">. Atlygis ir išmokos mokamas tam budinčiam globotojui ar nuolatiniam globotojui, kuris Sutartyje nurodomas kaip atsakingas už tinkamą lėšų, skirtų vaiko globai ar priežiūrai, panaudojimą.  </w:t>
                    <w:tab/>
                    <w:tab/>
                  </w:r>
                </w:p>
              </w:sdtContent>
            </w:sdt>
            <w:sdt>
              <w:sdtPr>
                <w:alias w:val="15 p."/>
                <w:tag w:val="part_fba0ec98fd2d4e81b8d0eb6258368c21"/>
                <w:lock w:val="sdtLocked"/>
                <w:richText/>
              </w:sdtPr>
              <w:sdtContent>
                <w:p>
                  <w:pPr>
                    <w:tabs>
                      <w:tab w:val="left" w:pos="567"/>
                      <w:tab w:val="left" w:pos="1134"/>
                    </w:tabs>
                    <w:ind w:firstLine="1134"/>
                    <w:jc w:val="both"/>
                    <w:rPr>
                      <w:color w:val="000000"/>
                      <w:szCs w:val="24"/>
                      <w:lang w:eastAsia="lt-LT"/>
                    </w:rPr>
                  </w:pPr>
                  <w:sdt>
                    <w:sdtPr>
                      <w:alias w:val="Numeris"/>
                      <w:tag w:val="nr_fba0ec98fd2d4e81b8d0eb6258368c21"/>
                      <w:lock w:val="sdtLocked"/>
                      <w:richText/>
                    </w:sdtPr>
                    <w:sdtContent>
                      <w:r>
                        <w:rPr>
                          <w:color w:val="000000"/>
                          <w:szCs w:val="24"/>
                          <w:lang w:eastAsia="lt-LT"/>
                        </w:rPr>
                        <w:t>15</w:t>
                      </w:r>
                    </w:sdtContent>
                  </w:sdt>
                  <w:r>
                    <w:rPr>
                      <w:color w:val="000000"/>
                      <w:szCs w:val="24"/>
                      <w:lang w:eastAsia="lt-LT"/>
                    </w:rPr>
                    <w:t xml:space="preserve">. </w:t>
                  </w:r>
                  <w:r>
                    <w:rPr>
                      <w:color w:val="000000"/>
                      <w:szCs w:val="24"/>
                    </w:rPr>
                    <w:t>Globos (rūpybos) išmokos tikslinį priedą g</w:t>
                  </w:r>
                  <w:r>
                    <w:rPr>
                      <w:color w:val="000000"/>
                      <w:szCs w:val="24"/>
                      <w:lang w:eastAsia="lt-LT"/>
                    </w:rPr>
                    <w:t xml:space="preserve">lobos centras gali naudoti papildomai pagalbai vaikui (pvz.: logopedo, psichiatro, vaiko neformaliojo ugdymo ar užimtumo paslaugoms finansuoti) ir (ar) pagalbai budinčiam globotojui (pvz.: psichoterapijai, supervizijai, profesinės kompetencijos ugdymui) teikti, kai bendradarbiavimo ir paslaugų teikimo sutartyje su budinčiu globotoju ar nuolatiniu globotoju numatyta, kad už </w:t>
                  </w:r>
                  <w:r>
                    <w:rPr>
                      <w:color w:val="000000"/>
                      <w:szCs w:val="24"/>
                    </w:rPr>
                    <w:t>globos (rūpybos) išmokos tikslinio priedo panaudojimą bus atsakingas globos centras.</w:t>
                  </w:r>
                </w:p>
              </w:sdtContent>
            </w:sdt>
            <w:sdt>
              <w:sdtPr>
                <w:alias w:val="16 p."/>
                <w:tag w:val="part_632b79e991ad41b088e12b0e7edb418d"/>
                <w:lock w:val="sdtLocked"/>
                <w:richText/>
              </w:sdtPr>
              <w:sdtContent>
                <w:p>
                  <w:pPr>
                    <w:tabs>
                      <w:tab w:val="left" w:pos="1134"/>
                    </w:tabs>
                    <w:spacing w:line="253" w:lineRule="atLeast"/>
                    <w:ind w:firstLine="1116"/>
                    <w:jc w:val="both"/>
                    <w:rPr>
                      <w:i/>
                      <w:color w:val="000000"/>
                      <w:szCs w:val="24"/>
                      <w:lang w:eastAsia="lt-LT"/>
                    </w:rPr>
                  </w:pPr>
                  <w:sdt>
                    <w:sdtPr>
                      <w:alias w:val="Numeris"/>
                      <w:tag w:val="nr_632b79e991ad41b088e12b0e7edb418d"/>
                      <w:lock w:val="sdtLocked"/>
                      <w:richText/>
                    </w:sdtPr>
                    <w:sdtContent>
                      <w:r>
                        <w:rPr>
                          <w:color w:val="000000"/>
                          <w:szCs w:val="24"/>
                          <w:lang w:eastAsia="lt-LT"/>
                        </w:rPr>
                        <w:t>16</w:t>
                      </w:r>
                    </w:sdtContent>
                  </w:sdt>
                  <w:r>
                    <w:rPr>
                      <w:color w:val="000000"/>
                      <w:szCs w:val="24"/>
                      <w:lang w:eastAsia="lt-LT"/>
                    </w:rPr>
                    <w:t xml:space="preserve">. Budintis globotojas ir nuolatinis globotojas, siekdamas patenkinti vaiko pagrindinius ir saviraiškos poreikius, turi šio Aprašo 12.1 ir 12.3 papunktyje numatytas gaunamas išmokas skirti vaikui išlaikyti (pvz.: maistui, drabužiams, kanceliarinėms prekėms, higienos prekėms, laisvalaikiui ir ugdymui, kišenpinigiams, medikamentams ir pan.). Globos centras turi teisę prašyti budinčių globotojų ir nuolatinių globotojų pateikti išlaidas pagrindžiančius dokumentus Sutartyje nustatyta tvarka. </w:t>
                  </w:r>
                </w:p>
              </w:sdtContent>
            </w:sdt>
            <w:sdt>
              <w:sdtPr>
                <w:alias w:val="17 p."/>
                <w:tag w:val="part_8df8235f8882496a82cef7ed2105d44b"/>
                <w:lock w:val="sdtLocked"/>
                <w:richText/>
              </w:sdtPr>
              <w:sdtContent>
                <w:p>
                  <w:pPr>
                    <w:widowControl w:val="0"/>
                    <w:tabs>
                      <w:tab w:val="left" w:pos="709"/>
                      <w:tab w:val="left" w:pos="1134"/>
                    </w:tabs>
                    <w:ind w:firstLine="1099"/>
                    <w:jc w:val="both"/>
                    <w:rPr>
                      <w:rFonts w:eastAsia="Calibri"/>
                      <w:color w:val="000000"/>
                      <w:szCs w:val="24"/>
                      <w:lang w:eastAsia="lt-LT"/>
                    </w:rPr>
                  </w:pPr>
                  <w:sdt>
                    <w:sdtPr>
                      <w:alias w:val="Numeris"/>
                      <w:tag w:val="nr_8df8235f8882496a82cef7ed2105d44b"/>
                      <w:lock w:val="sdtLocked"/>
                      <w:richText/>
                    </w:sdtPr>
                    <w:sdtContent>
                      <w:r>
                        <w:rPr>
                          <w:color w:val="000000"/>
                          <w:szCs w:val="24"/>
                        </w:rPr>
                        <w:t>17</w:t>
                      </w:r>
                    </w:sdtContent>
                  </w:sdt>
                  <w:r>
                    <w:rPr>
                      <w:color w:val="000000"/>
                      <w:szCs w:val="24"/>
                    </w:rPr>
                    <w:t>. Globos centras, esant aplinkybėms, dėl kurių budintis globotojas ir nuolatinis globotojas neturi finansinių galimybių savo lėšomis įrengti vaiko priežiūros vietos, turi teisę pagal budinčio globotojo, nuolatinio globotojo pateiktą argumentuotą prašymą išmokėti vienkartinę 15 bazinių socialinių išmokų dydžio išmoką vaiko apgyvendinimo vietai įkurti. Ši išmoka turi būti naudojama vaiko gyvenimo sąlygoms pritaikyti, įsigyti būtiniausiems daiktams, namų apyvokos reikmenims, taip pat kitoms išlaidoms, susijusioms su prižiūrimo vaiko poreikių tenkinimu.</w:t>
                  </w:r>
                </w:p>
                <w:p>
                  <w:pPr>
                    <w:rPr>
                      <w:b/>
                      <w:bCs/>
                      <w:color w:val="000000"/>
                      <w:szCs w:val="24"/>
                      <w:lang w:eastAsia="lt-LT"/>
                    </w:rPr>
                  </w:pPr>
                </w:p>
              </w:sdtContent>
            </w:sdt>
          </w:sdtContent>
        </w:sdt>
        <w:sdt>
          <w:sdtPr>
            <w:alias w:val="skyrius"/>
            <w:tag w:val="part_446785333eca44d59f4e78819e655195"/>
            <w:lock w:val="sdtLocked"/>
            <w:richText/>
          </w:sdtPr>
          <w:sdtContent>
            <w:p>
              <w:pPr>
                <w:jc w:val="center"/>
                <w:rPr>
                  <w:b/>
                  <w:bCs/>
                  <w:color w:val="000000"/>
                  <w:szCs w:val="24"/>
                  <w:lang w:eastAsia="lt-LT"/>
                </w:rPr>
              </w:pPr>
              <w:sdt>
                <w:sdtPr>
                  <w:alias w:val="Numeris"/>
                  <w:tag w:val="nr_446785333eca44d59f4e78819e655195"/>
                  <w:lock w:val="sdtLocked"/>
                  <w:richText/>
                </w:sdtPr>
                <w:sdtContent>
                  <w:r>
                    <w:rPr>
                      <w:b/>
                      <w:bCs/>
                      <w:color w:val="000000"/>
                      <w:szCs w:val="24"/>
                      <w:lang w:eastAsia="lt-LT"/>
                    </w:rPr>
                    <w:t>III</w:t>
                  </w:r>
                </w:sdtContent>
              </w:sdt>
              <w:r>
                <w:rPr>
                  <w:b/>
                  <w:bCs/>
                  <w:color w:val="000000"/>
                  <w:szCs w:val="24"/>
                  <w:lang w:eastAsia="lt-LT"/>
                </w:rPr>
                <w:t xml:space="preserve"> SKYRIUS</w:t>
              </w:r>
            </w:p>
            <w:p>
              <w:pPr>
                <w:jc w:val="center"/>
                <w:rPr>
                  <w:b/>
                  <w:bCs/>
                  <w:color w:val="000000"/>
                  <w:szCs w:val="24"/>
                  <w:lang w:eastAsia="lt-LT"/>
                </w:rPr>
              </w:pPr>
              <w:sdt>
                <w:sdtPr>
                  <w:alias w:val="Pavadinimas"/>
                  <w:tag w:val="title_446785333eca44d59f4e78819e655195"/>
                  <w:lock w:val="sdtLocked"/>
                  <w:richText/>
                </w:sdtPr>
                <w:sdtContent>
                  <w:r>
                    <w:rPr>
                      <w:b/>
                      <w:bCs/>
                      <w:color w:val="000000"/>
                      <w:szCs w:val="24"/>
                      <w:lang w:eastAsia="lt-LT"/>
                    </w:rPr>
                    <w:t>BAIGIAMOSIOS NUOSTATOS</w:t>
                  </w:r>
                </w:sdtContent>
              </w:sdt>
            </w:p>
            <w:p>
              <w:pPr>
                <w:jc w:val="center"/>
                <w:rPr>
                  <w:color w:val="000000"/>
                  <w:szCs w:val="24"/>
                  <w:lang w:eastAsia="lt-LT"/>
                </w:rPr>
              </w:pPr>
            </w:p>
            <w:sdt>
              <w:sdtPr>
                <w:alias w:val="18 p."/>
                <w:tag w:val="part_eb18877b326a461faa194e1339c8884a"/>
                <w:lock w:val="sdtLocked"/>
                <w:richText/>
              </w:sdtPr>
              <w:sdtContent>
                <w:p>
                  <w:pPr>
                    <w:tabs>
                      <w:tab w:val="left" w:pos="1134"/>
                    </w:tabs>
                    <w:spacing w:line="253" w:lineRule="atLeast"/>
                    <w:ind w:firstLine="1108"/>
                    <w:jc w:val="both"/>
                    <w:rPr>
                      <w:rFonts w:eastAsia="Calibri"/>
                      <w:color w:val="000000"/>
                      <w:szCs w:val="24"/>
                    </w:rPr>
                  </w:pPr>
                  <w:sdt>
                    <w:sdtPr>
                      <w:alias w:val="Numeris"/>
                      <w:tag w:val="nr_eb18877b326a461faa194e1339c8884a"/>
                      <w:lock w:val="sdtLocked"/>
                      <w:richText/>
                    </w:sdtPr>
                    <w:sdtContent>
                      <w:r>
                        <w:rPr>
                          <w:color w:val="000000"/>
                          <w:szCs w:val="24"/>
                        </w:rPr>
                        <w:t>18</w:t>
                      </w:r>
                    </w:sdtContent>
                  </w:sdt>
                  <w:r>
                    <w:rPr>
                      <w:color w:val="000000"/>
                      <w:szCs w:val="24"/>
                    </w:rPr>
                    <w:t>. Globos centras atsako už lėšų, skirtų budinčio globotojo ir nuolatinio globotojo veiklos finansavimui, tinkamą ir tikslingą panaudojimą.</w:t>
                  </w:r>
                </w:p>
              </w:sdtContent>
            </w:sdt>
            <w:sdt>
              <w:sdtPr>
                <w:alias w:val="19 p."/>
                <w:tag w:val="part_eea728fc598643068468ad116b53b6e5"/>
                <w:lock w:val="sdtLocked"/>
                <w:richText/>
              </w:sdtPr>
              <w:sdtContent>
                <w:p>
                  <w:pPr>
                    <w:tabs>
                      <w:tab w:val="left" w:pos="1134"/>
                    </w:tabs>
                    <w:spacing w:line="253" w:lineRule="atLeast"/>
                    <w:ind w:firstLine="1108"/>
                    <w:jc w:val="both"/>
                    <w:rPr>
                      <w:rFonts w:eastAsia="Calibri"/>
                      <w:color w:val="000000"/>
                      <w:szCs w:val="24"/>
                    </w:rPr>
                  </w:pPr>
                  <w:sdt>
                    <w:sdtPr>
                      <w:alias w:val="Numeris"/>
                      <w:tag w:val="nr_eea728fc598643068468ad116b53b6e5"/>
                      <w:lock w:val="sdtLocked"/>
                      <w:richText/>
                    </w:sdtPr>
                    <w:sdtContent>
                      <w:r>
                        <w:rPr>
                          <w:color w:val="000000"/>
                          <w:szCs w:val="24"/>
                        </w:rPr>
                        <w:t>19</w:t>
                      </w:r>
                    </w:sdtContent>
                  </w:sdt>
                  <w:r>
                    <w:rPr>
                      <w:color w:val="000000"/>
                      <w:szCs w:val="24"/>
                    </w:rPr>
                    <w:t xml:space="preserve">. </w:t>
                  </w:r>
                  <w:r>
                    <w:rPr>
                      <w:color w:val="000000"/>
                      <w:szCs w:val="24"/>
                      <w:lang w:eastAsia="lt-LT"/>
                    </w:rPr>
                    <w:t>Įgyvendindami Aprašo nuostatas, duomenų valdytojai užtikrina, kad jų atliekamas asmens duomenų tvarkymas 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Lietuvos Respublikos asmens duomenų teisinės apsaugos įstatymo nuostatas. Duomenų subjektų teisės įgyvendinamos Reglamento ir duomenų valdytojo, į kurį kreipiamasi dėl duomenų subjekto teisių įgyvendinimo, nustatyta tvarka.</w:t>
                  </w:r>
                </w:p>
              </w:sdtContent>
            </w:sdt>
            <w:sdt>
              <w:sdtPr>
                <w:alias w:val="20 p."/>
                <w:tag w:val="part_8fa01eaaf37042cf967b55a5b9c8e5b2"/>
                <w:lock w:val="sdtLocked"/>
                <w:richText/>
              </w:sdtPr>
              <w:sdtContent>
                <w:p>
                  <w:pPr>
                    <w:tabs>
                      <w:tab w:val="left" w:pos="1134"/>
                    </w:tabs>
                    <w:spacing w:line="253" w:lineRule="atLeast"/>
                    <w:ind w:firstLine="1108"/>
                    <w:jc w:val="both"/>
                    <w:rPr>
                      <w:rFonts w:eastAsia="Calibri"/>
                      <w:color w:val="000000"/>
                      <w:szCs w:val="24"/>
                    </w:rPr>
                  </w:pPr>
                  <w:sdt>
                    <w:sdtPr>
                      <w:alias w:val="Numeris"/>
                      <w:tag w:val="nr_8fa01eaaf37042cf967b55a5b9c8e5b2"/>
                      <w:lock w:val="sdtLocked"/>
                      <w:richText/>
                    </w:sdtPr>
                    <w:sdtContent>
                      <w:r>
                        <w:rPr>
                          <w:color w:val="000000"/>
                          <w:szCs w:val="24"/>
                          <w:lang w:eastAsia="lt-LT"/>
                        </w:rPr>
                        <w:t>20</w:t>
                      </w:r>
                    </w:sdtContent>
                  </w:sdt>
                  <w:r>
                    <w:rPr>
                      <w:color w:val="000000"/>
                      <w:szCs w:val="24"/>
                      <w:lang w:eastAsia="lt-LT"/>
                    </w:rPr>
                    <w:t>. Šis Aprašas gali būti keičiamas ir papildomas Savivaldybės tarybos sprendimu.</w:t>
                  </w:r>
                </w:p>
              </w:sdtContent>
            </w:sdt>
            <w:sdt>
              <w:sdtPr>
                <w:alias w:val="21 p."/>
                <w:tag w:val="part_d8087b6e1b5a45cbae58793f22c04145"/>
                <w:lock w:val="sdtLocked"/>
                <w:richText/>
              </w:sdtPr>
              <w:sdtContent>
                <w:p>
                  <w:pPr>
                    <w:tabs>
                      <w:tab w:val="left" w:pos="851"/>
                      <w:tab w:val="left" w:pos="1134"/>
                      <w:tab w:val="left" w:pos="1560"/>
                    </w:tabs>
                    <w:ind w:firstLine="1099"/>
                    <w:jc w:val="both"/>
                    <w:rPr>
                      <w:kern w:val="3"/>
                      <w:szCs w:val="24"/>
                      <w:lang w:eastAsia="lt-LT"/>
                    </w:rPr>
                  </w:pPr>
                  <w:sdt>
                    <w:sdtPr>
                      <w:alias w:val="Numeris"/>
                      <w:tag w:val="nr_d8087b6e1b5a45cbae58793f22c04145"/>
                      <w:lock w:val="sdtLocked"/>
                      <w:richText/>
                    </w:sdtPr>
                    <w:sdtContent>
                      <w:r>
                        <w:rPr>
                          <w:color w:val="000000"/>
                          <w:szCs w:val="24"/>
                          <w:lang w:eastAsia="lt-LT"/>
                        </w:rPr>
                        <w:t>21</w:t>
                      </w:r>
                    </w:sdtContent>
                  </w:sdt>
                  <w:r>
                    <w:rPr>
                      <w:color w:val="000000"/>
                      <w:szCs w:val="24"/>
                      <w:lang w:eastAsia="lt-LT"/>
                    </w:rPr>
                    <w:t xml:space="preserve">. </w:t>
                  </w:r>
                  <w:r>
                    <w:rPr>
                      <w:kern w:val="3"/>
                      <w:szCs w:val="24"/>
                      <w:lang w:eastAsia="lt-LT"/>
                    </w:rPr>
                    <w:t>Ginčai dėl</w:t>
                  </w:r>
                  <w:r>
                    <w:rPr>
                      <w:szCs w:val="24"/>
                    </w:rPr>
                    <w:t xml:space="preserve"> Savivaldybės</w:t>
                  </w:r>
                  <w:r>
                    <w:rPr>
                      <w:kern w:val="3"/>
                      <w:szCs w:val="24"/>
                      <w:lang w:eastAsia="lt-LT"/>
                    </w:rPr>
                    <w:t xml:space="preserve"> administracijos ar globos centro priimtų sprendimų nagrinėjami teisės aktų nustatyta tvarka.</w:t>
                  </w:r>
                </w:p>
                <w:p>
                  <w:pPr>
                    <w:tabs>
                      <w:tab w:val="left" w:pos="851"/>
                      <w:tab w:val="left" w:pos="1134"/>
                      <w:tab w:val="left" w:pos="1560"/>
                    </w:tabs>
                    <w:jc w:val="both"/>
                    <w:rPr>
                      <w:color w:val="000000"/>
                      <w:szCs w:val="24"/>
                      <w:lang w:eastAsia="lt-LT"/>
                    </w:rPr>
                  </w:pPr>
                </w:p>
              </w:sdtContent>
            </w:sdt>
          </w:sdtContent>
        </w:sdt>
        <w:sdt>
          <w:sdtPr>
            <w:alias w:val="pabaiga"/>
            <w:tag w:val="part_ccedda6b79004a2786a17e69df0be4a8"/>
            <w:lock w:val="sdtLocked"/>
            <w:richText/>
          </w:sdtPr>
          <w:sdtContent>
            <w:p>
              <w:pPr>
                <w:tabs>
                  <w:tab w:val="left" w:pos="1134"/>
                </w:tabs>
                <w:spacing w:line="253" w:lineRule="atLeast"/>
                <w:jc w:val="center"/>
                <w:rPr>
                  <w:color w:val="000000"/>
                  <w:szCs w:val="24"/>
                  <w:lang w:eastAsia="zh-CN"/>
                </w:rPr>
              </w:pPr>
              <w:r>
                <w:rPr>
                  <w:bCs/>
                  <w:color w:val="000000"/>
                  <w:szCs w:val="24"/>
                  <w:lang w:eastAsia="lt-LT"/>
                </w:rPr>
                <w:t>__________________</w:t>
              </w:r>
            </w:p>
            <w:p>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54c3370839811eab005936df725feed">
            <w:r w:rsidRPr="00532B9F">
              <w:rPr>
                <w:rFonts w:ascii="Times New Roman" w:eastAsia="MS Mincho" w:hAnsi="Times New Roman"/>
                <w:sz w:val="20"/>
                <w:iCs/>
                <w:color w:val="0000FF" w:themeColor="hyperlink"/>
                <w:u w:val="single"/>
              </w:rPr>
              <w:t>T-53</w:t>
            </w:r>
          </w:fldSimple>
          <w:r>
            <w:rPr>
              <w:rFonts w:ascii="Times New Roman" w:eastAsia="MS Mincho" w:hAnsi="Times New Roman"/>
              <w:sz w:val="20"/>
              <w:iCs/>
            </w:rPr>
            <w:t>,
2020-04-16,
paskelbta TAR 2020-04-21, i. k. 2020-08252                </w:t>
          </w:r>
        </w:p>
        <w:p>
          <w:pPr>
            <w:jc w:val="both"/>
            <w:rPr>
              <w:rFonts w:ascii="Times New Roman" w:hAnsi="Times New Roman"/>
            </w:rPr>
          </w:pPr>
          <w:r>
            <w:rPr>
              <w:rFonts w:ascii="Times New Roman" w:hAnsi="Times New Roman"/>
              <w:sz w:val="20"/>
            </w:rPr>
            <w:t>Dėl Joniškio rajono savivaldybės tarybos 2018 m. kovo 29 d. sprendimo Nr. T-56 „Dėl Budinčio globotojo veiklos organizavimo Joniškio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17576f00bc211ec9f09e7df20500045">
            <w:r w:rsidRPr="00532B9F">
              <w:rPr>
                <w:rFonts w:ascii="Times New Roman" w:eastAsia="MS Mincho" w:hAnsi="Times New Roman"/>
                <w:sz w:val="20"/>
                <w:iCs/>
                <w:color w:val="0000FF" w:themeColor="hyperlink"/>
                <w:u w:val="single"/>
              </w:rPr>
              <w:t>T-163</w:t>
            </w:r>
          </w:fldSimple>
          <w:r>
            <w:rPr>
              <w:rFonts w:ascii="Times New Roman" w:eastAsia="MS Mincho" w:hAnsi="Times New Roman"/>
              <w:sz w:val="20"/>
              <w:iCs/>
            </w:rPr>
            <w:t>,
2021-08-31,
paskelbta TAR 2021-09-02, i. k. 2021-18654                </w:t>
          </w:r>
        </w:p>
        <w:p>
          <w:pPr>
            <w:jc w:val="both"/>
            <w:rPr>
              <w:rFonts w:ascii="Times New Roman" w:hAnsi="Times New Roman"/>
            </w:rPr>
          </w:pPr>
          <w:r>
            <w:rPr>
              <w:rFonts w:ascii="Times New Roman" w:hAnsi="Times New Roman"/>
              <w:sz w:val="20"/>
            </w:rPr>
            <w:t>Dėl Joniškio rajono savivaldybės tarybos 2018 m. kovo 29 d. sprendimo Nr. T-56 „Dėl Globos centro veiklos organizavimo Joniškio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39fe2e67c0811efabdbb4a1fc8b0b63">
            <w:r w:rsidRPr="00532B9F">
              <w:rPr>
                <w:rFonts w:ascii="Times New Roman" w:eastAsia="MS Mincho" w:hAnsi="Times New Roman"/>
                <w:sz w:val="20"/>
                <w:iCs/>
                <w:color w:val="0000FF" w:themeColor="hyperlink"/>
                <w:u w:val="single"/>
              </w:rPr>
              <w:t>T-177</w:t>
            </w:r>
          </w:fldSimple>
          <w:r>
            <w:rPr>
              <w:rFonts w:ascii="Times New Roman" w:eastAsia="MS Mincho" w:hAnsi="Times New Roman"/>
              <w:sz w:val="20"/>
              <w:iCs/>
            </w:rPr>
            <w:t>,
2024-09-26,
paskelbta TAR 2024-09-26, i. k. 2024-16783                </w:t>
          </w:r>
        </w:p>
        <w:p>
          <w:pPr>
            <w:jc w:val="both"/>
            <w:rPr>
              <w:rFonts w:ascii="Times New Roman" w:hAnsi="Times New Roman"/>
            </w:rPr>
          </w:pPr>
          <w:r>
            <w:rPr>
              <w:rFonts w:ascii="Times New Roman" w:hAnsi="Times New Roman"/>
              <w:sz w:val="20"/>
            </w:rPr>
            <w:t>Dėl Joniškio rajono savivaldybės tarybos 2018 m. kovo 29 d. sprendimo Nr. T-56 „Dėl Globos centro veiklos organizavimo Joniškio rajono savivaldybėje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92" w:footer="79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val="en-AU" w:eastAsia="lt-LT"/>
        </w:rPr>
      </w:pPr>
      <w:r>
        <w:rPr>
          <w:lang w:val="en-AU" w:eastAsia="lt-LT"/>
        </w:rPr>
        <w:separator/>
      </w:r>
    </w:p>
  </w:endnote>
  <w:endnote w:type="continuationSeparator" w:id="0">
    <w:p>
      <w:pPr>
        <w:rPr>
          <w:lang w:val="en-AU" w:eastAsia="lt-LT"/>
        </w:rPr>
      </w:pPr>
      <w:r>
        <w:rPr>
          <w:lang w:val="en-AU"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val="en-AU" w:eastAsia="lt-LT"/>
        </w:rPr>
      </w:pPr>
      <w:r>
        <w:rPr>
          <w:lang w:val="en-AU" w:eastAsia="lt-LT"/>
        </w:rPr>
        <w:separator/>
      </w:r>
    </w:p>
  </w:footnote>
  <w:footnote w:type="continuationSeparator" w:id="0">
    <w:p>
      <w:pPr>
        <w:rPr>
          <w:lang w:val="en-AU" w:eastAsia="lt-LT"/>
        </w:rPr>
      </w:pPr>
      <w:r>
        <w:rPr>
          <w:lang w:val="en-AU"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 w:val="20"/>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4</w:t>
    </w:r>
    <w:r>
      <w:rPr>
        <w:sz w:val="20"/>
        <w:lang w:eastAsia="lt-LT"/>
      </w:rPr>
      <w:fldChar w:fldCharType="end"/>
    </w:r>
  </w:p>
  <w:p>
    <w:pPr>
      <w:tabs>
        <w:tab w:val="center" w:pos="4153"/>
        <w:tab w:val="right" w:pos="8306"/>
      </w:tabs>
      <w:rPr>
        <w:sz w:val="20"/>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 w:val="20"/>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C35FCBA"/>
  <w15:docId w15:val="{2E6C9671-4F80-40AA-94C4-17200D4BB65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58157232">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411776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48862307">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0202318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footer" Target="footer3.xml"/>
  <Relationship Id="rId13" Type="http://schemas.openxmlformats.org/officeDocument/2006/relationships/footnotes" Target="footnotes.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header" Target="header3.xml"/>
  <Relationship Id="rId17" Type="http://schemas.openxmlformats.org/officeDocument/2006/relationships/image" Target="media/image1.jpeg"/>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header" Target="header11.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header" Target="header25.xml"/>
  <Relationship Id="rId23" Type="http://schemas.openxmlformats.org/officeDocument/2006/relationships/header" Target="header26.xml"/>
  <Relationship Id="rId24" Type="http://schemas.openxmlformats.org/officeDocument/2006/relationships/footer" Target="footer25.xml"/>
  <Relationship Id="rId25" Type="http://schemas.openxmlformats.org/officeDocument/2006/relationships/footer" Target="footer26.xml"/>
  <Relationship Id="rId26" Type="http://schemas.openxmlformats.org/officeDocument/2006/relationships/header" Target="header27.xml"/>
  <Relationship Id="rId27" Type="http://schemas.openxmlformats.org/officeDocument/2006/relationships/footer" Target="footer27.xml"/>
  <Relationship Id="rId28" Type="http://schemas.openxmlformats.org/officeDocument/2006/relationships/customXml" Target="../customXml/item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0fcb671018844bab20b03e5291d2be4" PartId="d1592dc9e68f4d319bd3e0271526cc59">
    <Part Type="preambule" DocPartId="7155014f6a1b46618dd7456f9d71637b" PartId="7c2174b6264647c7aa9a05559536fe76"/>
    <Part Type="pastraipa" DocPartId="f4209602e08e4db6879c3db679b2f6a2" PartId="785e23d055164e1783eb7d47df28c4d1"/>
    <Part Type="signatura" DocPartId="ce7e1b0a314b4bcd8db2dc4d0e3dd2cf" PartId="a53fd644287941a8b678b0d1d0faf794"/>
  </Part>
  <Part Type="patvirtinta" Title="GLOBOS CENTRO, BUDINČIO GLOBOTOJO IR NUOLATINIO GLOBOTOJO VEIKLOS JONIŠKIO RAJONO SAVIVALDYBĖJE FINANSAVIMO TVARKOS APRAŠAS" DocPartId="609a7f7eb19e4f8d81bdcc163cdeb6b4" PartId="75e66265ac0746348cef0c10315829db">
    <Part Type="skyrius" Nr="1" Title="BENDROSIOS NUOSTATOS" DocPartId="c752ef0f077e41ec89df2d4c9d9be738" PartId="86f92f74a92a4ccb86b336c21b3496b1">
      <Part Type="punktas" Nr="1" Abbr="1 p." DocPartId="012c2b116b9b46bf832f08ecfcd3d978" PartId="a59d2fd867f241988e65f7307189ac37"/>
      <Part Type="punktas" Nr="2" Abbr="2 p." DocPartId="2fb7fc687c22405eacb32b3a9d78f024" PartId="c0970c30000c47f3951d963677795066"/>
      <Part Type="punktas" Nr="3" Abbr="3 p." DocPartId="b768697c2cb64cff9d682eeb126b6371" PartId="89391abfe6f944ec888aaec8ba695a85"/>
    </Part>
    <Part Type="skyrius" Nr="2" Title="GLOBOS CENTRO IR BUDINČIO GLOBOTOJO AR NUOLATINIO GLOBOTOJO VEIKLOS FINANSAVIMAS" DocPartId="5ae2c8a4b3454ec08bf1fb1fdeb65428" PartId="d7f50d188bb04059a87d7bc823df15a0">
      <Part Type="punktas" Nr="4" Abbr="4 p." DocPartId="89b382c383bb4155833965c8a4442061" PartId="476699c9f7d942688adf60589f42965a"/>
      <Part Type="punktas" Nr="5" Abbr="5 p." DocPartId="174a7b8d878e40759f98a7bbf680491b" PartId="0094b254b154441eb5ee6fb08646999c"/>
      <Part Type="punktas" Nr="6" Abbr="6 p." DocPartId="f65e52d618ec4c2ea552967fb1cfaa07" PartId="758acc55f1464a9482f1a2092b369b68"/>
      <Part Type="punktas" Nr="7" Abbr="7 p." DocPartId="a02c6e17ca204e728e538e5339ec8f7b" PartId="e0e262596d654613becdf4ca67d4baa5"/>
      <Part Type="punktas" Nr="8" Abbr="8 p." DocPartId="9a0bf5bb6fa943b5a6fc941bc3a85cf9" PartId="216bf27873db4d10b8bca47e033ad6f0"/>
      <Part Type="punktas" Nr="9" Abbr="9 p." DocPartId="62fe51192bb4424a8f76569d78c992d2" PartId="4e08543156624308a90aaf53a8b0c1fa">
        <Part Type="papunktis" Nr="9.1" Abbr="9.1 pp." DocPartId="f29d0b0badce4f4e973b2e34d2fbf942" PartId="2bfa3bbfb0e4490ab5e8ecdf5a234580">
          <Part Type="papunktis" Nr="9.1.1" Abbr="9.1.1 pp." DocPartId="4e59fe0312e141fda00b35ee7d264a20" PartId="1980987bda724da4a73f483ed39295fa"/>
          <Part Type="papunktis" Nr="9.1.2" Abbr="9.1.2 pp." DocPartId="f31f7a8f54ea48eda377fbb0332bfe6e" PartId="2a76869803e346fdb029d16b782b9855"/>
          <Part Type="papunktis" Nr="9.1.3" Abbr="9.1.3 pp." DocPartId="86558121bbd148dea91e7f5187b19eed" PartId="211f35a588ae45d0b2a22d73ff56a30b"/>
        </Part>
      </Part>
      <Part Type="punktas" Nr="10" Abbr="10 p." DocPartId="7f7f481ab3784fe79b44b2a355bfce04" PartId="f024dd4499554a2687cfbba3707a346f">
        <Part Type="papunktis" Nr="10.1" Abbr="10.1 pp." DocPartId="c5434cc259c14c72bdfcd4b36378ce7d" PartId="20057f0a8f2d41fea4ccd3d51a0e68c8"/>
        <Part Type="papunktis" Nr="10.2" Abbr="10.2 pp." DocPartId="d9855fd0085d4c078c0d1ee1020c3c10" PartId="eb716232d66b4b15acf002a18ba68520"/>
      </Part>
      <Part Type="punktas" Nr="11" Abbr="11 p." DocPartId="1ca4b3c5ea3f4277995d0d04c14bea1f" PartId="d0a236664c9e449785c5dc707d551d16"/>
      <Part Type="punktas" Nr="12" Abbr="12 p." DocPartId="bd5078e3de5848cc8568b1a231acd73a" PartId="78b7b9a4efab41bf9a17812738af558a">
        <Part Type="papunktis" Nr="12.1" Abbr="12.1 pp." DocPartId="e7c1ec376bdc4afdbace793a6cc734fe" PartId="2e843ebab90942aeb2533b331509a2e1"/>
        <Part Type="papunktis" Nr="12.2" Abbr="12.2 pp." DocPartId="bc66d0f550e74948901c7053546e0517" PartId="09fc239b6a054e68b307758172174f1a"/>
        <Part Type="papunktis" Nr="12.3" Abbr="12.3 pp." DocPartId="de2ed90c807942829fa8bb068b72c9e6" PartId="0c1a599abe114dfd84276813a12f1673"/>
        <Part Type="papunktis" Nr="12.4" Abbr="12.4 pp." DocPartId="8200e2af95154c5091b4c27a56ea89c7" PartId="c229e2da8a7a40de907659a7e5957078"/>
      </Part>
      <Part Type="punktas" Nr="13" Abbr="13 p." DocPartId="7b75425e2a404da8950a66d8b8cd0373" PartId="f99c06bab6dd4ed4a6ce359f9c281e59"/>
      <Part Type="punktas" Nr="14" Abbr="14 p." DocPartId="67e2a1578f20428181e7957a2c36869e" PartId="d8290dbd9ff14c8fa8931746ed21031a"/>
      <Part Type="punktas" Nr="15" Abbr="15 p." DocPartId="c94d4c8601f64a89bb2930b644aa6569" PartId="fba0ec98fd2d4e81b8d0eb6258368c21"/>
      <Part Type="punktas" Nr="16" Abbr="16 p." DocPartId="8e8129f5d7844560bc575979ee8490a1" PartId="632b79e991ad41b088e12b0e7edb418d"/>
      <Part Type="punktas" Nr="17" Abbr="17 p." DocPartId="b8dc0927ee4344a5999a53d0ffe81777" PartId="8df8235f8882496a82cef7ed2105d44b"/>
    </Part>
    <Part Type="skyrius" Nr="3" Title="BAIGIAMOSIOS NUOSTATOS" DocPartId="81c08e3b7ff14ce2a7fc65c149184857" PartId="446785333eca44d59f4e78819e655195">
      <Part Type="punktas" Nr="18" Abbr="18 p." DocPartId="c099f2ef1e2440a58b7fa48589ecbdab" PartId="eb18877b326a461faa194e1339c8884a"/>
      <Part Type="punktas" Nr="19" Abbr="19 p." DocPartId="36479a5adf9a4fc0bc7d0aead17c44e3" PartId="eea728fc598643068468ad116b53b6e5"/>
      <Part Type="punktas" Nr="20" Abbr="20 p." DocPartId="e607853d9aad4599bea2cba30876eaba" PartId="8fa01eaaf37042cf967b55a5b9c8e5b2"/>
      <Part Type="punktas" Nr="21" Abbr="21 p." DocPartId="0d18666b17874f589528b87523ee2b0b" PartId="d8087b6e1b5a45cbae58793f22c04145"/>
    </Part>
    <Part Type="pabaiga" DocPartId="ab7bcab903804441a94160c8803c59f4" PartId="ccedda6b79004a2786a17e69df0be4a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83BBF08-3479-400F-AC1B-6195780D959E}">
  <ds:schemaRefs>
    <ds:schemaRef ds:uri="http://lrs.lt/TAIS/DocParts"/>
  </ds:schemaRefs>
</ds:datastoreItem>
</file>

<file path=customXml/itemProps3.xml><?xml version="1.0" encoding="utf-8"?>
<ds:datastoreItem xmlns:ds="http://schemas.openxmlformats.org/officeDocument/2006/customXml" ds:itemID="{DB5B3DE5-0222-4583-8908-A144D0DC8DA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7</Pages>
  <Words>2370</Words>
  <Characters>16951</Characters>
  <Application>Microsoft Office Word</Application>
  <DocSecurity>0</DocSecurity>
  <Lines>141</Lines>
  <Paragraphs>38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JONIŠKIO RAJONO SAVIVALDYBĖS ADMINISTRACIJOS</vt:lpstr>
      <vt:lpstr>DĖL JONIŠKIO RAJONO SAVIVALDYBĖS ADMINISTRACIJOS</vt:lpstr>
    </vt:vector>
  </TitlesOfParts>
  <Company>Joniskio r. savivaldybe</Company>
  <LinksUpToDate>false</LinksUpToDate>
  <CharactersWithSpaces>19283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2018-04-04T08:43:00Z</dcterms:created>
  <dc:creator>Laimute Vasiliauskiene</dc:creator>
  <lastModifiedBy>DINDIENĖ Laura</lastModifiedBy>
  <lastPrinted>2014-03-04T09:11:00Z</lastPrinted>
  <dcterms:modified xsi:type="dcterms:W3CDTF">2024-10-02T05:53:00Z</dcterms:modified>
  <revision>14</revision>
  <dc:title>DĖL JONIŠKIO RAJONO SAVIVALDYBĖS ADMINISTRACIJOS</dc:title>
</coreProperties>
</file>