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0c3f5650f54181acb4ac2dce0d59d5"/>
        <w:lock w:val="sdtLocked"/>
        <w:richText/>
      </w:sdtPr>
      <w:sdtContent>
        <w:p>
          <w:pPr>
            <w:jc w:val="both"/>
            <w:rPr>
              <w:rFonts w:ascii="Times New Roman" w:hAnsi="Times New Roman"/>
            </w:rPr>
          </w:pPr>
          <w:r>
            <w:rPr>
              <w:rFonts w:ascii="Times New Roman" w:hAnsi="Times New Roman"/>
              <w:b/>
              <w:i/>
            </w:rPr>
            <w:t>Suvestinė redakcija nuo 2022-12-24 iki 2026-05-10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2015-06-22, i. k. 2015-10022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2022-12-24:</w:t>
          </w:r>
        </w:p>
        <w:p>
          <w:pPr>
            <w:rPr>
              <w:rFonts w:ascii="Times New Roman" w:hAnsi="Times New Roman"/>
              <w:sz w:val="20"/>
              <w:i/>
            </w:rPr>
          </w:pPr>
          <w:r>
            <w:rPr>
              <w:rFonts w:ascii="Times New Roman" w:hAnsi="Times New Roman"/>
              <w:sz w:val="20"/>
              <w:i/>
            </w:rPr>
            <w:t xml:space="preserve">Nr. </w:t>
          </w:r>
          <w:fldSimple w:instr="HYPERLINK https://www.e-tar.lt/portal/legalAct.html?documentId=4d0f8b10828c11ed8df094f359a60216">
            <w:r w:rsidRPr="00532B9F">
              <w:rPr>
                <w:rFonts w:ascii="Times New Roman" w:eastAsia="MS Mincho" w:hAnsi="Times New Roman"/>
                <w:sz w:val="20"/>
                <w:i/>
                <w:iCs/>
                <w:color w:val="0000FF" w:themeColor="hyperlink"/>
                <w:u w:val="single"/>
              </w:rPr>
              <w:t>1-466</w:t>
            </w:r>
          </w:fldSimple>
          <w:r>
            <w:rPr>
              <w:rFonts w:ascii="Times New Roman" w:eastAsia="MS Mincho" w:hAnsi="Times New Roman"/>
              <w:sz w:val="20"/>
              <w:i/>
              <w:iCs/>
            </w:rPr>
            <w:t>,
2022-12-19,
paskelbta TAR 2022-12-23, i. k. 2022-26614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ENERGETIKOS MINISTRAS</w:t>
          </w:r>
        </w:p>
        <w:p>
          <w:pPr>
            <w:jc w:val="center"/>
            <w:rPr>
              <w:b/>
              <w:color w:val="000000"/>
              <w:szCs w:val="24"/>
              <w:lang w:eastAsia="lt-LT"/>
            </w:rPr>
          </w:pPr>
        </w:p>
        <w:p>
          <w:pPr>
            <w:jc w:val="center"/>
            <w:rPr>
              <w:color w:val="000000"/>
              <w:szCs w:val="24"/>
              <w:lang w:eastAsia="lt-LT"/>
            </w:rPr>
          </w:pPr>
          <w:r>
            <w:rPr>
              <w:b/>
              <w:color w:val="000000"/>
              <w:szCs w:val="24"/>
              <w:lang w:eastAsia="lt-LT"/>
            </w:rPr>
            <w:t>ĮSAKYMAS</w:t>
          </w:r>
          <w:r>
            <w:rPr>
              <w:color w:val="000000"/>
              <w:szCs w:val="24"/>
              <w:lang w:eastAsia="lt-LT"/>
            </w:rPr>
            <w:t> </w:t>
          </w:r>
        </w:p>
        <w:p>
          <w:pPr>
            <w:jc w:val="center"/>
            <w:rPr>
              <w:color w:val="000000"/>
              <w:szCs w:val="24"/>
              <w:lang w:eastAsia="lt-LT"/>
            </w:rPr>
          </w:pPr>
          <w:r>
            <w:rPr>
              <w:b/>
              <w:bCs/>
              <w:color w:val="000000"/>
              <w:szCs w:val="24"/>
              <w:lang w:eastAsia="lt-LT"/>
            </w:rPr>
            <w:t>DĖL PREKIŲ, IŠSKYRUS KELIŲ TRANSPORTO PRIEMONES, KURIOMS VIEŠŲJŲ PIRKIMŲ IR PERKANČIŲJŲ SUBJEKTŲ ATLIEKAMŲ PIRKIMŲ METU TAIKOMI ENERGIJOS VARTOJIMO EFEKTYVUMO REIKALAVIMAI, SĄRAŠO PATVIRTINIMO</w:t>
          </w:r>
        </w:p>
        <w:p>
          <w:pPr>
            <w:ind w:firstLine="62"/>
            <w:jc w:val="center"/>
            <w:rPr>
              <w:color w:val="000000"/>
              <w:szCs w:val="24"/>
              <w:lang w:eastAsia="lt-LT"/>
            </w:rPr>
          </w:pPr>
        </w:p>
        <w:p>
          <w:pPr>
            <w:ind w:firstLine="62"/>
            <w:jc w:val="center"/>
            <w:rPr>
              <w:color w:val="000000"/>
              <w:szCs w:val="24"/>
              <w:lang w:eastAsia="lt-LT"/>
            </w:rPr>
          </w:pPr>
          <w:r>
            <w:rPr>
              <w:color w:val="000000"/>
              <w:szCs w:val="24"/>
              <w:lang w:eastAsia="lt-LT"/>
            </w:rPr>
            <w:t>2015 m. birželio 18 d. Nr. 1-154</w:t>
          </w:r>
        </w:p>
        <w:p>
          <w:pPr>
            <w:ind w:firstLine="62"/>
            <w:jc w:val="center"/>
            <w:rPr>
              <w:color w:val="000000"/>
              <w:szCs w:val="24"/>
              <w:lang w:eastAsia="lt-LT"/>
            </w:rPr>
          </w:pPr>
          <w:r>
            <w:rPr>
              <w:color w:val="000000"/>
              <w:szCs w:val="24"/>
              <w:lang w:eastAsia="lt-LT"/>
            </w:rPr>
            <w:t>Vilnius</w:t>
          </w:r>
        </w:p>
        <w:p>
          <w:pPr>
            <w:ind w:firstLine="62"/>
            <w:jc w:val="both"/>
            <w:rPr>
              <w:color w:val="000000"/>
              <w:szCs w:val="24"/>
              <w:lang w:eastAsia="lt-LT"/>
            </w:rPr>
          </w:pPr>
        </w:p>
        <w:sdt>
          <w:sdtPr>
            <w:alias w:val="preambule"/>
            <w:tag w:val="part_c5267451b3ff4f1ba7e5c5394955edd7"/>
            <w:lock w:val="sdtLocked"/>
            <w:richText/>
          </w:sdtPr>
          <w:sdtContent>
            <w:p>
              <w:pPr>
                <w:ind w:firstLine="720"/>
                <w:jc w:val="both"/>
                <w:rPr>
                  <w:color w:val="000000"/>
                  <w:szCs w:val="24"/>
                  <w:lang w:eastAsia="lt-LT"/>
                </w:rPr>
              </w:pPr>
              <w:r>
                <w:rPr>
                  <w:rFonts w:eastAsia="Calibri"/>
                  <w:szCs w:val="24"/>
                </w:rPr>
                <w:t>Įgyvendindamas 2012 m. spalio 25 d. Europos Parlamento ir Tarybos direktyvos Nr. 2012/27/ES dėl energijos vartojimo efektyvumo, kuria iš dalies keičiamos direktyvos 2009/125/EB ir 2010/30/ES bei kuria panaikinamos direktyvos 2004/8/EB ir 2006/32/EB, 6 straipsnio ir III priedo bei 2019 m. birželio 5 d. Europos Parlamento ir Tarybos direktyvos (ES) 2019/944 dėl elektros energijos vidaus rinkos bendrųjų taisyklių, kuria iš dalies keičiama Direktyva 2012/27/ES reikalavimus ir vadovaudamasis Lietuvos Respublikos Vyriausybės 2006 m. sausio 30 d. nutarimo Nr. 92 „</w:t>
              </w:r>
              <w:r>
                <w:rPr>
                  <w:rFonts w:eastAsia="Calibri"/>
                  <w:color w:val="000000"/>
                  <w:szCs w:val="24"/>
                </w:rPr>
                <w:t>Dėl Lietuvos Respublikos viešųjų pirkimų įstatymo ir Lietuvos Respublikos pirkimų, atliekamų vandentvarkos, energetikos, transporto ar pašto paslaugų srities perkančiųjų subjektų, įstatymo įgyvendinimo</w:t>
              </w:r>
              <w:r>
                <w:rPr>
                  <w:rFonts w:eastAsia="Calibri"/>
                  <w:szCs w:val="24"/>
                </w:rPr>
                <w:t>“ 7 punktu:</w:t>
              </w:r>
            </w:p>
          </w:sdtContent>
        </w:sdt>
        <w:sdt>
          <w:sdtPr>
            <w:alias w:val="1 p."/>
            <w:tag w:val="part_f177d40260624bfdb14072cd05e9c1b1"/>
            <w:lock w:val="sdtLocked"/>
            <w:richText/>
          </w:sdtPr>
          <w:sdtContent>
            <w:p>
              <w:pPr>
                <w:ind w:firstLine="720"/>
                <w:jc w:val="both"/>
                <w:rPr>
                  <w:color w:val="000000"/>
                  <w:szCs w:val="24"/>
                  <w:lang w:eastAsia="lt-LT"/>
                </w:rPr>
              </w:pPr>
              <w:sdt>
                <w:sdtPr>
                  <w:alias w:val="Numeris"/>
                  <w:tag w:val="nr_f177d40260624bfdb14072cd05e9c1b1"/>
                  <w:lock w:val="sdtLocked"/>
                  <w:richText/>
                </w:sdtPr>
                <w:sdtContent>
                  <w:r>
                    <w:rPr>
                      <w:color w:val="000000"/>
                      <w:szCs w:val="24"/>
                      <w:lang w:eastAsia="lt-LT"/>
                    </w:rPr>
                    <w:t>1</w:t>
                  </w:r>
                </w:sdtContent>
              </w:sdt>
              <w:r>
                <w:rPr>
                  <w:color w:val="000000"/>
                  <w:szCs w:val="24"/>
                  <w:lang w:eastAsia="lt-LT"/>
                </w:rPr>
                <w:t xml:space="preserve">. </w:t>
              </w:r>
              <w:r>
                <w:rPr>
                  <w:rFonts w:eastAsia="Calibri"/>
                  <w:spacing w:val="56"/>
                  <w:szCs w:val="24"/>
                </w:rPr>
                <w:t>Tvirtinu</w:t>
              </w:r>
              <w:r>
                <w:rPr>
                  <w:color w:val="000000"/>
                  <w:szCs w:val="24"/>
                  <w:lang w:eastAsia="lt-LT"/>
                </w:rPr>
                <w:t xml:space="preserve"> Prekių, išskyrus kelių transporto priemones, kurioms viešųjų pirkimų ir perkančiųjų subjektų atliekamų pirkimų metu taikomi energijos vartojimo efektyvumo reikalavimai, sąrašą (pridedama).</w:t>
              </w:r>
            </w:p>
          </w:sdtContent>
        </w:sdt>
        <w:sdt>
          <w:sdtPr>
            <w:alias w:val="2 p."/>
            <w:tag w:val="part_89a9c0afe2ea480d9f16a826b36f5459"/>
            <w:lock w:val="sdtLocked"/>
            <w:richText/>
          </w:sdtPr>
          <w:sdtContent>
            <w:p>
              <w:pPr>
                <w:ind w:firstLine="720"/>
                <w:jc w:val="both"/>
              </w:pPr>
              <w:sdt>
                <w:sdtPr>
                  <w:alias w:val="Numeris"/>
                  <w:tag w:val="nr_89a9c0afe2ea480d9f16a826b36f5459"/>
                  <w:lock w:val="sdtLocked"/>
                  <w:richText/>
                </w:sdtPr>
                <w:sdtContent>
                  <w:r>
                    <w:rPr>
                      <w:color w:val="000000"/>
                      <w:szCs w:val="24"/>
                      <w:lang w:eastAsia="lt-LT"/>
                    </w:rPr>
                    <w:t>2</w:t>
                  </w:r>
                </w:sdtContent>
              </w:sdt>
              <w:r>
                <w:rPr>
                  <w:color w:val="000000"/>
                  <w:szCs w:val="24"/>
                  <w:lang w:eastAsia="lt-LT"/>
                </w:rPr>
                <w:t>. R e k o m e n d u o j u, kad perkant prekes, pirmenybė būtų teikiama didžiausiam prekės energijos efektyvumui, o perkant prekių rinkinį, kuriam kaip visumai taikomi energijos vartojimo efektyvumo reikalavimai, pirmenybė būtų teikiama didžiausiam bendram rinkinio energijos vartojimo efektyvumui, o ne atskirų, tokį rinkinį sudarančių prekių energijos vartojimo efektyvumui.</w:t>
              </w:r>
            </w:p>
          </w:sdtContent>
        </w:sdt>
        <w:sdt>
          <w:sdtPr>
            <w:alias w:val="signatura"/>
            <w:tag w:val="part_68dd76206236419fba8c47a76e400c21"/>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r>
                <w:rPr>
                  <w:color w:val="000000"/>
                  <w:szCs w:val="24"/>
                </w:rPr>
                <w:t>Energetikos ministras</w:t>
                <w:tab/>
                <w:t>Rokas Masiulis</w:t>
              </w:r>
            </w:p>
          </w:sdtContent>
        </w:sdt>
        <w:p/>
      </w:sdtContent>
    </w:sdt>
    <w:sdt>
      <w:sdtPr>
        <w:alias w:val="patvirtinta"/>
        <w:tag w:val="part_dd28888f116140d38ae73b2afcbc4718"/>
        <w:lock w:val="sdtLocked"/>
        <w:richText/>
      </w:sdtPr>
      <w:sdtContent>
        <w:p>
          <w:pPr>
            <w:keepLines/>
            <w:tabs>
              <w:tab w:val="left" w:pos="1304"/>
              <w:tab w:val="left" w:pos="1457"/>
              <w:tab w:val="left" w:pos="1604"/>
              <w:tab w:val="left" w:pos="1757"/>
            </w:tabs>
            <w:suppressAutoHyphens/>
            <w:ind w:left="5387"/>
            <w:textAlignment w:val="cente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br/>
            <w:t>Lietuvos Respublikos energetikos ministro 2015 m. birželio 18 d. įsakymu Nr. 1-154</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 xml:space="preserve">(Lietuvos Respublikos energetikos ministro </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2022 m. gruodžio 19 d. įsakymo Nr. 1-466</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redakcija)</w:t>
          </w:r>
        </w:p>
        <w:p>
          <w:pPr>
            <w:suppressAutoHyphens/>
            <w:ind w:left="4962"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dd28888f116140d38ae73b2afcbc4718"/>
              <w:lock w:val="sdtLocked"/>
              <w:richText/>
            </w:sdtPr>
            <w:sdtContent>
              <w:r>
                <w:rPr>
                  <w:b/>
                  <w:bCs/>
                  <w:caps/>
                  <w:color w:val="000000"/>
                  <w:szCs w:val="24"/>
                </w:rPr>
                <w:t>Prekių, išskyrus kelių transporto priemones, kurioms viešųjų pirkimų ir perkančiųjų subjektų atliekamų pirkimų metu taikomi energijos vartojimo efektyvumo reikalavimai, sąrašAS</w:t>
              </w:r>
            </w:sdtContent>
          </w:sdt>
        </w:p>
        <w:p>
          <w:pPr>
            <w:suppressAutoHyphens/>
            <w:ind w:firstLine="312"/>
            <w:jc w:val="both"/>
            <w:textAlignment w:val="center"/>
            <w:rPr>
              <w:color w:val="000000"/>
              <w:szCs w:val="24"/>
            </w:rPr>
          </w:pPr>
        </w:p>
        <w:tbl>
          <w:tblPr>
            <w:tblW w:w="5000" w:type="pct"/>
            <w:jc w:val="center"/>
            <w:tblLayout w:type="fixed"/>
            <w:tblCellMar>
              <w:left w:w="0" w:type="dxa"/>
              <w:right w:w="0" w:type="dxa"/>
            </w:tblCellMar>
            <w:tblLook w:val="0000" w:firstRow="0" w:lastRow="0" w:firstColumn="0" w:lastColumn="0" w:noHBand="0" w:noVBand="0"/>
          </w:tblPr>
          <w:tblGrid>
            <w:gridCol w:w="596"/>
            <w:gridCol w:w="2330"/>
            <w:gridCol w:w="6826"/>
          </w:tblGrid>
          <w:tr>
            <w:trPr>
              <w:trHeight w:val="60"/>
              <w:tblHeader/>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Eil. Nr.</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Prekės pavadinimas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Teisės aktas, nustatantis energijos vartojimo efektyvumo reikalavimus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szCs w:val="24"/>
                  </w:rPr>
                  <w:t>Buitinės skalbyklės ir skalbyklės - džiovyklės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szCs w:val="24"/>
                  </w:rPr>
                </w:pPr>
                <w:r>
                  <w:rPr>
                    <w:rFonts w:eastAsia="Calibri"/>
                    <w:szCs w:val="24"/>
                  </w:rPr>
                  <w:t xml:space="preserve">2019 m. kovo 11 d. </w:t>
                </w:r>
                <w:r>
                  <w:rPr>
                    <w:rFonts w:eastAsia="Calibri"/>
                    <w:color w:val="000000"/>
                    <w:szCs w:val="24"/>
                  </w:rPr>
                  <w:t xml:space="preserve">Komisijos deleguotasis reglamentas </w:t>
                </w:r>
                <w:r>
                  <w:rPr>
                    <w:rFonts w:eastAsia="Calibri"/>
                    <w:szCs w:val="24"/>
                  </w:rPr>
                  <w:t>(ES) 2019/2014, kuriuo Europos Parlamento ir Tarybos reglamentas (ES) 2017/1369 papildomas buitinių skalbyklių ir skalbyklių-džiovyklių energijos vartojimo efektyvumo ženklinimo nuostatomis ir panaikinamas Komisijos deleguotasis reglamentas (ES) Nr. 1061/2010 ir Komisijos direktyva 96/60/EB su visais pakeitimais, ir</w:t>
                </w:r>
              </w:p>
              <w:p>
                <w:pPr>
                  <w:suppressAutoHyphens/>
                  <w:jc w:val="both"/>
                  <w:textAlignment w:val="center"/>
                  <w:rPr>
                    <w:color w:val="000000"/>
                    <w:szCs w:val="24"/>
                    <w:shd w:val="clear" w:color="auto" w:fill="FFFFFF"/>
                  </w:rPr>
                </w:pPr>
                <w:r>
                  <w:rPr>
                    <w:color w:val="000000"/>
                    <w:szCs w:val="24"/>
                    <w:shd w:val="clear" w:color="auto" w:fill="FFFFFF"/>
                  </w:rPr>
                  <w:t xml:space="preserve">2020 m. gruodžio 17 d. </w:t>
                </w:r>
                <w:r>
                  <w:rPr>
                    <w:color w:val="333333"/>
                    <w:szCs w:val="24"/>
                    <w:shd w:val="clear" w:color="auto" w:fill="FFFFFF"/>
                  </w:rPr>
                  <w:t xml:space="preserve">Komisijos deleguotasis reglamentas (ES) 2021/340, </w:t>
                </w:r>
                <w:r>
                  <w:rPr>
                    <w:color w:val="000000"/>
                    <w:szCs w:val="24"/>
                    <w:shd w:val="clear" w:color="auto" w:fill="FFFFFF"/>
                  </w:rPr>
                  <w:t>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 ir</w:t>
                </w:r>
              </w:p>
              <w:p>
                <w:pPr>
                  <w:suppressAutoHyphens/>
                  <w:jc w:val="both"/>
                  <w:textAlignment w:val="center"/>
                  <w:rPr>
                    <w:color w:val="000000"/>
                    <w:szCs w:val="24"/>
                  </w:rPr>
                </w:pPr>
                <w:r>
                  <w:rPr>
                    <w:color w:val="000000"/>
                    <w:szCs w:val="24"/>
                    <w:shd w:val="clear" w:color="auto" w:fill="FFFFFF"/>
                  </w:rPr>
                  <w:t>2019 m. spalio 1 d. Komisijos reglamentas (ES) 2019/2023 kuriuo pagal Europos Parlamento ir Tarybos direktyvą 2009/125/EB nustatomi buitinių skalbyklių ir skalbyklių-džiovyklių ekologinio projektavimo reikalavimai, iš dalies keičiamas Komisijos reglamentas (EB) Nr. 1275/2008 ir panaikinamas Komisijos reglamentas (ES) Nr. 1015/2010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Buitinės būgninės džiovyklės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2012 m. kovo 1 d. Komisijos deleguotasis reglamentas (ES) Nr. 392/2012, kuriuo papildoma Europos Parlamento ir Tarybos direktyva 2010/30/ES nustatant buitinių būgninių džiovyklių energijos vartojimo efektyvumo ženklinimo reikalavimus su visais pakeitimais</w:t>
                </w:r>
              </w:p>
              <w:p>
                <w:pPr>
                  <w:keepNext/>
                  <w:suppressAutoHyphens/>
                  <w:jc w:val="both"/>
                  <w:textAlignment w:val="center"/>
                  <w:rPr>
                    <w:color w:val="000000"/>
                    <w:szCs w:val="24"/>
                  </w:rPr>
                </w:pPr>
                <w:r>
                  <w:rPr>
                    <w:color w:val="000000"/>
                    <w:szCs w:val="24"/>
                    <w:shd w:val="clear" w:color="auto" w:fill="FFFFFF"/>
                  </w:rPr>
                  <w:t>2012 m. spalio 3 d. Komisijos reglamentas (ES) Nr. 932/2012 kuriuo įgyvendinant Europos Parlamento ir Tarybos direktyvą 2009/125/EB nustatomi buitinių būgninių džiovyklių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Šaldymo aparatai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color w:val="000000"/>
                    <w:szCs w:val="24"/>
                    <w:shd w:val="clear" w:color="auto" w:fill="FFFFFF"/>
                  </w:rPr>
                </w:pPr>
                <w:r>
                  <w:rPr>
                    <w:rFonts w:eastAsia="Calibri"/>
                    <w:color w:val="000000"/>
                    <w:szCs w:val="24"/>
                    <w:shd w:val="clear" w:color="auto" w:fill="FFFFFF"/>
                  </w:rPr>
                  <w:t xml:space="preserve">2019 m. kovo 11 d. </w:t>
                </w:r>
                <w:r>
                  <w:rPr>
                    <w:rFonts w:eastAsia="Calibri"/>
                    <w:color w:val="333333"/>
                    <w:szCs w:val="24"/>
                    <w:shd w:val="clear" w:color="auto" w:fill="FFFFFF"/>
                  </w:rPr>
                  <w:t xml:space="preserve">Komisijos deleguotasis reglamentas </w:t>
                </w:r>
                <w:r>
                  <w:rPr>
                    <w:rFonts w:eastAsia="Calibri"/>
                    <w:color w:val="000000"/>
                    <w:szCs w:val="24"/>
                    <w:shd w:val="clear" w:color="auto" w:fill="FFFFFF"/>
                  </w:rPr>
                  <w:t xml:space="preserve">(ES) 2019/2016, kuriuo papildomos Europos Parlamento ir Tarybos reglamento (ES) 2017/1369 nuostatos dėl šaldymo aparatų ženklinimo energijos vartojimo efektyvumo etikete ir panaikinamas Komisijos deleguotasis reglamentas (ES) Nr. 1060/2010 su visais pakeitimais, </w:t>
                </w:r>
              </w:p>
              <w:p>
                <w:pPr>
                  <w:suppressAutoHyphens/>
                  <w:jc w:val="both"/>
                  <w:textAlignment w:val="center"/>
                  <w:rPr>
                    <w:rFonts w:eastAsia="Calibri"/>
                    <w:color w:val="000000"/>
                    <w:szCs w:val="24"/>
                    <w:shd w:val="clear" w:color="auto" w:fill="FFFFFF"/>
                  </w:rPr>
                </w:pPr>
                <w:r>
                  <w:rPr>
                    <w:rFonts w:eastAsia="Calibri"/>
                    <w:szCs w:val="24"/>
                    <w:shd w:val="clear" w:color="auto" w:fill="FFFFFF"/>
                  </w:rPr>
                  <w:t>2019 m. kovo 11 d. Komisijos deleguotasis reglamentas (ES) 2019/2018, kuriuo papildomos Europos Parlamento ir Tarybos reglamento (ES) 2017/1369 nuostatos dėl prekėms tiesiogiai parduoti skirtų šaldymo aparatų ženklinimo energijos vartojimo efektyvumo etikete su visais pakeitimais, ir</w:t>
                </w:r>
              </w:p>
              <w:p>
                <w:pPr>
                  <w:suppressAutoHyphens/>
                  <w:jc w:val="both"/>
                  <w:textAlignment w:val="center"/>
                  <w:rPr>
                    <w:color w:val="000000"/>
                    <w:szCs w:val="24"/>
                    <w:shd w:val="clear" w:color="auto" w:fill="FFFFFF"/>
                  </w:rPr>
                </w:pPr>
                <w:r>
                  <w:rPr>
                    <w:color w:val="000000"/>
                    <w:szCs w:val="24"/>
                    <w:shd w:val="clear" w:color="auto" w:fill="FFFFFF"/>
                  </w:rPr>
                  <w:t xml:space="preserve">2020 m. gruodžio 17 d. </w:t>
                </w:r>
                <w:r>
                  <w:rPr>
                    <w:color w:val="333333"/>
                    <w:szCs w:val="24"/>
                    <w:shd w:val="clear" w:color="auto" w:fill="FFFFFF"/>
                  </w:rPr>
                  <w:t xml:space="preserve">Komisijos deleguotasis reglamentas (ES) 2021/340, </w:t>
                </w:r>
                <w:r>
                  <w:rPr>
                    <w:color w:val="000000"/>
                    <w:szCs w:val="24"/>
                    <w:shd w:val="clear" w:color="auto" w:fill="FFFFFF"/>
                  </w:rPr>
                  <w:t>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 ir</w:t>
                </w:r>
              </w:p>
              <w:p>
                <w:pPr>
                  <w:suppressAutoHyphens/>
                  <w:jc w:val="both"/>
                  <w:textAlignment w:val="center"/>
                  <w:rPr>
                    <w:color w:val="000000"/>
                    <w:szCs w:val="24"/>
                  </w:rPr>
                </w:pPr>
                <w:r>
                  <w:rPr>
                    <w:color w:val="000000"/>
                    <w:szCs w:val="24"/>
                  </w:rPr>
                  <w:t>2019 m. spalio 1 d. Komisijos reglamentas (ES) 2019/2019 kuriuo pagal Europos Parlamento ir Tarybos direktyvą 2009/125/EB nustatomi šaldymo aparatų ekologinio projektavimo reikalavimai ir panaikinamas Komisijos reglamentas (EB) Nr. 643/2009 su visais pakeitimais, ir</w:t>
                </w:r>
              </w:p>
              <w:p>
                <w:pPr>
                  <w:suppressAutoHyphens/>
                  <w:jc w:val="both"/>
                  <w:textAlignment w:val="center"/>
                  <w:rPr>
                    <w:color w:val="000000"/>
                    <w:szCs w:val="24"/>
                  </w:rPr>
                </w:pPr>
                <w:r>
                  <w:rPr>
                    <w:color w:val="000000"/>
                    <w:szCs w:val="24"/>
                  </w:rPr>
                  <w:t>2021 m. vasario 23 d. Komisijos reglamentas (ES) 2021/341 kuriuo iš dalies keičiamos reglamentų (ES) 2019/424, (ES) 2019/1781, (ES) 2019/2019, (ES) 2019/2020, (ES) 2019/2021, (ES) 2019/2022, (ES) 2019/2023 ir (ES) 2019/2024 nuostatos dėl serverių ir duomenų saugojimo gaminių, elektros variklių ir tolydžiojo reguliavimo pavarų, šaldymo aparatų, šviesos šaltinių ir atskirų valdymo įtaisų, elektroninių vaizduoklių, buitinių indaplovių, buitinių skalbyklių bei buitinių skalbyklių-džiovyklių ir prekėms tiesiogiai parduoti skirtų šaldymo aparatų ekologinio projektavimo reikalavimų, ir</w:t>
                </w:r>
              </w:p>
              <w:p>
                <w:pPr>
                  <w:suppressAutoHyphens/>
                  <w:jc w:val="both"/>
                  <w:textAlignment w:val="center"/>
                  <w:rPr>
                    <w:color w:val="000000"/>
                    <w:szCs w:val="24"/>
                  </w:rPr>
                </w:pPr>
                <w:r>
                  <w:rPr>
                    <w:color w:val="000000"/>
                    <w:szCs w:val="24"/>
                  </w:rPr>
                  <w:t>2020 m. gruodžio 17 d. Komisijos deleguotasis reglamentas (ES) 2021/340 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 ir</w:t>
                </w:r>
              </w:p>
              <w:p>
                <w:pPr>
                  <w:suppressAutoHyphens/>
                  <w:jc w:val="both"/>
                  <w:textAlignment w:val="center"/>
                  <w:rPr>
                    <w:color w:val="000000"/>
                    <w:szCs w:val="24"/>
                  </w:rPr>
                </w:pPr>
                <w:r>
                  <w:rPr>
                    <w:color w:val="000000"/>
                    <w:szCs w:val="24"/>
                  </w:rPr>
                  <w:t>2019 m. spalio 1 d. Komisijos reglamentas (ES) 2019/2024 kuriuo pagal Europos Parlamento ir Tarybos direktyvą 2009/125/EB nustatomi prekėms tiesiogiai parduoti skirtų šaldymo aparatų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4.</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Pramoninės šaldymo spintos, jungiamos į elektros tinklą</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2015 m. gegužės 5 d. Komisijos deleguotasis reglamentas (ES) 2015/1094, kuriuo papildoma Europos Parlamento ir Tarybos direktyva 2010/30/ES nustatant pramoninių šaldymo spintų ženklinimo energijos vartojimo efektyvumo etikete reikalavimus su visais pakeitimais, ir</w:t>
                </w:r>
              </w:p>
              <w:p>
                <w:pPr>
                  <w:suppressAutoHyphens/>
                  <w:jc w:val="both"/>
                  <w:textAlignment w:val="center"/>
                  <w:rPr>
                    <w:color w:val="000000"/>
                    <w:szCs w:val="24"/>
                  </w:rPr>
                </w:pPr>
                <w:r>
                  <w:rPr>
                    <w:color w:val="000000"/>
                    <w:szCs w:val="24"/>
                  </w:rPr>
                  <w:t xml:space="preserve">2015 m. gegužės 5 d.  Komisijos reglamentas (ES) 2015/1095 kuriuo dėl ekologinio projektavimo reikalavimų, taikomų pramoninėms šaldymo spintoms, staigaus šaldymo spintoms, kondensavimo agregatams ir procesiniams aušintuvams, įgyvendinama Europos Parlamento ir Tarybos direktyva 2009/125/EB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5.</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Buitinės indaplovės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rFonts w:eastAsia="Calibri"/>
                    <w:color w:val="333333"/>
                    <w:szCs w:val="24"/>
                    <w:shd w:val="clear" w:color="auto" w:fill="FFFFFF"/>
                  </w:rPr>
                </w:pPr>
                <w:r>
                  <w:rPr>
                    <w:rFonts w:eastAsia="Calibri"/>
                    <w:szCs w:val="24"/>
                    <w:shd w:val="clear" w:color="auto" w:fill="FFFFFF"/>
                  </w:rPr>
                  <w:t>2019 m. kovo 11 d. Komisijos deleguotasis reglamentas (ES) 2019/2017, kuriuo Europos Parlamento ir Tarybos reglamentas (ES) 2017/1369 papildomas buitinių indaplovių energijos vartojimo efektyvumo ženklinimo nuostatomis ir panaikinamas Komisijos deleguotasis reglamentas (ES) Nr. 1059/2010 su visais pakeitimais, ir</w:t>
                </w:r>
              </w:p>
              <w:p>
                <w:pPr>
                  <w:keepNext/>
                  <w:suppressAutoHyphens/>
                  <w:jc w:val="both"/>
                  <w:textAlignment w:val="center"/>
                  <w:rPr>
                    <w:color w:val="000000"/>
                    <w:szCs w:val="24"/>
                    <w:shd w:val="clear" w:color="auto" w:fill="FFFFFF"/>
                  </w:rPr>
                </w:pPr>
                <w:r>
                  <w:rPr>
                    <w:color w:val="000000"/>
                    <w:szCs w:val="24"/>
                    <w:shd w:val="clear" w:color="auto" w:fill="FFFFFF"/>
                  </w:rPr>
                  <w:t xml:space="preserve">2020 m. gruodžio 17 d. </w:t>
                </w:r>
                <w:r>
                  <w:rPr>
                    <w:color w:val="333333"/>
                    <w:szCs w:val="24"/>
                    <w:shd w:val="clear" w:color="auto" w:fill="FFFFFF"/>
                  </w:rPr>
                  <w:t xml:space="preserve">Komisijos deleguotasis reglamentas (ES) 2021/340, </w:t>
                </w:r>
                <w:r>
                  <w:rPr>
                    <w:color w:val="000000"/>
                    <w:szCs w:val="24"/>
                    <w:shd w:val="clear" w:color="auto" w:fill="FFFFFF"/>
                  </w:rPr>
                  <w:t>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 ir</w:t>
                </w:r>
              </w:p>
              <w:p>
                <w:pPr>
                  <w:keepNext/>
                  <w:suppressAutoHyphens/>
                  <w:jc w:val="both"/>
                  <w:textAlignment w:val="center"/>
                  <w:rPr>
                    <w:color w:val="000000"/>
                    <w:szCs w:val="24"/>
                    <w:shd w:val="clear" w:color="auto" w:fill="FFFFFF"/>
                  </w:rPr>
                </w:pPr>
                <w:r>
                  <w:rPr>
                    <w:color w:val="000000"/>
                    <w:szCs w:val="24"/>
                    <w:shd w:val="clear" w:color="auto" w:fill="FFFFFF"/>
                  </w:rPr>
                  <w:t>2019 m. spalio 1 d. Komisijos reglamentas (ES) 2019/2022 kuriuo pagal Europos Parlamento ir Tarybos direktyvą 2009/125/EB nustatomi buitinių indaplovių ekologinio projektavimo reikalavimai, iš dalies keičiamas Komisijos reglamentas (EB) Nr. 1275/2008 ir panaikinamas Komisijos reglamentas (ES) Nr. 1016/2010 su visais pakeitimais, ir</w:t>
                </w:r>
              </w:p>
              <w:p>
                <w:pPr>
                  <w:keepNext/>
                  <w:suppressAutoHyphens/>
                  <w:jc w:val="both"/>
                  <w:textAlignment w:val="center"/>
                  <w:rPr>
                    <w:color w:val="000000"/>
                    <w:szCs w:val="24"/>
                  </w:rPr>
                </w:pPr>
                <w:r>
                  <w:rPr>
                    <w:color w:val="000000"/>
                    <w:szCs w:val="24"/>
                  </w:rPr>
                  <w:t>2021 m. vasario 23 d. Komisijos reglamentas (ES) 2021/341 kuriuo iš dalies keičiamos reglamentų (ES) 2019/424, (ES) 2019/1781, (ES) 2019/2019, (ES) 2019/2020, (ES) 2019/2021, (ES) 2019/2022, (ES) 2019/2023 ir (ES) 2019/2024 nuostatos dėl serverių ir duomenų saugojimo gaminių, elektros variklių ir tolydžiojo reguliavimo pavarų, šaldymo aparatų, šviesos šaltinių ir atskirų valdymo įtaisų, elektroninių vaizduoklių, buitinių indaplovių, buitinių skalbyklių bei buitinių skalbyklių-džiovyklių ir prekėms tiesiogiai parduoti skirtų šaldymo aparatų ekologinio projektavimo reikalavimų</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6.</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bCs/>
                    <w:color w:val="000000"/>
                    <w:szCs w:val="24"/>
                  </w:rPr>
                  <w:t>Buitinės elektrinės ir dujinės orkaitės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spalio 1 d. Komisijos deleguotasis reglamentas (ES) Nr. 65/2014, kuriuo papildoma Europos Parlamento ir Tarybos direktyva 2010/30/ES nustatant buitinių orkaičių ir gartraukių ženklinimo energijos vartojimo efektyvumo etikete reikalavimus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7.</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Buitinės orkaitės, kaitvietės ir gartraukiai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bCs/>
                    <w:color w:val="000000"/>
                    <w:szCs w:val="24"/>
                  </w:rPr>
                </w:pPr>
                <w:r>
                  <w:rPr>
                    <w:rFonts w:eastAsia="Calibri"/>
                    <w:bCs/>
                    <w:color w:val="000000"/>
                    <w:szCs w:val="24"/>
                  </w:rPr>
                  <w:t>2014 m. sausio 14 d. Komisijos reglamentas (ES) Nr. 66/2014, kuriuo įgyvendinant Europos Parlamento ir Tarybos direktyvą 2009/125/EB nustatomi buitinių orkaičių, kaitviečių ir gartraukių ekologinio projektavimo reikalavimai su visais pakeitimais, ir</w:t>
                </w:r>
              </w:p>
              <w:p>
                <w:pPr>
                  <w:tabs>
                    <w:tab w:val="left" w:pos="321"/>
                  </w:tabs>
                  <w:suppressAutoHyphens/>
                  <w:jc w:val="both"/>
                  <w:textAlignment w:val="center"/>
                  <w:rPr>
                    <w:color w:val="000000"/>
                    <w:szCs w:val="24"/>
                  </w:rPr>
                </w:pPr>
                <w:r>
                  <w:rPr>
                    <w:bCs/>
                    <w:color w:val="000000"/>
                    <w:szCs w:val="24"/>
                  </w:rPr>
                  <w:t>2013 m. spalio 1 d. Komisijos deleguotasis reglamentas (ES) Nr. 65/2014, kuriuo papildoma Europos Parlamento ir Tarybos direktyva 2010/30/ES nustatant buitinių orkaičių ir gartraukių ženklinimo energijos vartojimo efektyvumo etikete reikalavimus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8.</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Elektroniniai vaizduokliai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szCs w:val="24"/>
                    <w:shd w:val="clear" w:color="auto" w:fill="FFFFFF"/>
                  </w:rPr>
                </w:pPr>
                <w:r>
                  <w:rPr>
                    <w:rFonts w:eastAsia="Calibri"/>
                    <w:szCs w:val="24"/>
                    <w:shd w:val="clear" w:color="auto" w:fill="FFFFFF"/>
                  </w:rPr>
                  <w:t>2019 m. kovo 11 d. Komisijos deleguotasis reglamentas (ES) 2019/2013, kuriuo Europos Parlamento ir Tarybos reglamentas (ES) 2017/1369 papildomas elektroninių vaizduoklių energijos vartojimo efektyvumo ženklinimo nuostatomis ir panaikinamas Komisijos deleguotasis reglamentas (ES) Nr. 1062/2010 su visais pakeitimais, ir</w:t>
                </w:r>
              </w:p>
              <w:p>
                <w:pPr>
                  <w:suppressAutoHyphens/>
                  <w:jc w:val="both"/>
                  <w:textAlignment w:val="center"/>
                  <w:rPr>
                    <w:color w:val="000000"/>
                    <w:szCs w:val="24"/>
                  </w:rPr>
                </w:pPr>
                <w:r>
                  <w:rPr>
                    <w:color w:val="000000"/>
                    <w:szCs w:val="24"/>
                    <w:shd w:val="clear" w:color="auto" w:fill="FFFFFF"/>
                  </w:rPr>
                  <w:t xml:space="preserve">2020 m. gruodžio 17 d. </w:t>
                </w:r>
                <w:r>
                  <w:rPr>
                    <w:color w:val="333333"/>
                    <w:szCs w:val="24"/>
                    <w:shd w:val="clear" w:color="auto" w:fill="FFFFFF"/>
                  </w:rPr>
                  <w:t xml:space="preserve">Komisijos deleguotasis reglamentas (ES) 2021/340, </w:t>
                </w:r>
                <w:r>
                  <w:rPr>
                    <w:color w:val="000000"/>
                    <w:szCs w:val="24"/>
                    <w:shd w:val="clear" w:color="auto" w:fill="FFFFFF"/>
                  </w:rPr>
                  <w:t>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9.</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Šviesos šaltiniai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rFonts w:eastAsia="Calibri"/>
                    <w:szCs w:val="24"/>
                    <w:shd w:val="clear" w:color="auto" w:fill="FFFFFF"/>
                  </w:rPr>
                </w:pPr>
                <w:r>
                  <w:rPr>
                    <w:rFonts w:eastAsia="Calibri"/>
                    <w:szCs w:val="24"/>
                    <w:shd w:val="clear" w:color="auto" w:fill="FFFFFF"/>
                  </w:rPr>
                  <w:t>2019 m. kovo 11 d. Komisijos deleguotasis reglamentas (ES) 2019/2015, kuriuo Europos Parlamento ir Tarybos reglamentas (ES) 2017/1369 papildomas šviesos šaltinių energijos vartojimo efektyvumo ženklinimo nuostatomis ir panaikinamas Komisijos deleguotasis reglamentas (ES) Nr. 874/2012 su visais pakeitimais, ir</w:t>
                </w:r>
              </w:p>
              <w:p>
                <w:pPr>
                  <w:keepNext/>
                  <w:suppressAutoHyphens/>
                  <w:jc w:val="both"/>
                  <w:textAlignment w:val="center"/>
                  <w:rPr>
                    <w:rFonts w:eastAsia="Calibri"/>
                    <w:szCs w:val="24"/>
                    <w:shd w:val="clear" w:color="auto" w:fill="FFFFFF"/>
                  </w:rPr>
                </w:pPr>
                <w:r>
                  <w:rPr>
                    <w:rFonts w:eastAsia="Calibri"/>
                    <w:szCs w:val="24"/>
                  </w:rPr>
                  <w:t>2019 m. spalio 1 d. Komisijos reglamentas (ES) 2019/2020 kuriuo pagal Europos Parlamento ir Tarybos direktyvą 2009/125/EB nustatomi šviesos šaltinių ir atskirų valdymo įtaisų ekologinio projektavimo reikalavimai ir panaikinami Komisijos reglamentai (EB) Nr. 244/2009, (EB) Nr. 245/2009 ir (ES) Nr. 1194/2012, ir</w:t>
                </w:r>
              </w:p>
              <w:p>
                <w:pPr>
                  <w:keepNext/>
                  <w:suppressAutoHyphens/>
                  <w:jc w:val="both"/>
                  <w:textAlignment w:val="center"/>
                  <w:rPr>
                    <w:color w:val="000000"/>
                    <w:szCs w:val="24"/>
                  </w:rPr>
                </w:pPr>
                <w:r>
                  <w:rPr>
                    <w:color w:val="000000"/>
                    <w:szCs w:val="24"/>
                    <w:shd w:val="clear" w:color="auto" w:fill="FFFFFF"/>
                  </w:rPr>
                  <w:t xml:space="preserve">2020 m. gruodžio 17 d. </w:t>
                </w:r>
                <w:r>
                  <w:rPr>
                    <w:color w:val="333333"/>
                    <w:szCs w:val="24"/>
                    <w:shd w:val="clear" w:color="auto" w:fill="FFFFFF"/>
                  </w:rPr>
                  <w:t xml:space="preserve">Komisijos deleguotasis reglamentas (ES) 2021/340, </w:t>
                </w:r>
                <w:r>
                  <w:rPr>
                    <w:color w:val="000000"/>
                    <w:szCs w:val="24"/>
                    <w:shd w:val="clear" w:color="auto" w:fill="FFFFFF"/>
                  </w:rPr>
                  <w:t>kuriuo iš dalies keičiamos deleguotųjų reglamentų (ES) 2019/2013, (ES) 2019/2014, (ES) 2019/2015, (ES) 2019/2016, (ES) 2019/2017 ir (ES) 2019/2018 nuostatos dėl elektroninių vaizduoklių, buitinių skalbyklių bei buitinių skalbyklių-džiovyklių, šviesos šaltinių, šaldymo aparatų, buitinių indaplovių ir prekėms tiesiogiai parduoti skirtų šaldymo aparatų energijos vartojimo efektyvumo ženklinimo reikalavimų</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10.</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szCs w:val="24"/>
                    <w:lang w:eastAsia="lt-LT"/>
                  </w:rPr>
                  <w:t xml:space="preserve">Elektriniai oro kondicionieriai, kurių šildymo arba šaldymo vardinis pajėgumas ≤ 12 kW, ir </w:t>
                </w:r>
                <w:r>
                  <w:rPr>
                    <w:rFonts w:eastAsia="Calibri"/>
                    <w:color w:val="000000"/>
                    <w:szCs w:val="24"/>
                    <w:shd w:val="clear" w:color="auto" w:fill="FFFFFF"/>
                    <w:lang w:eastAsia="lt-LT"/>
                  </w:rPr>
                  <w:t>patogumo ventiliatoriai, kurių elektrinė vartojamoji galia ≤ 125 W</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2011 m. gegužės 4 d. Komisijos deleguotasis reglamentas (ES) Nr. 626/2011, kuriuo papildoma Europos Parlamento ir Tarybos direktyva 2010/30/ES nustatant oro kondicionierių energijos vartojimo efektyvumo ženklinimo reikalavimus su visais pakeitimais,  ir</w:t>
                </w:r>
              </w:p>
              <w:p>
                <w:pPr>
                  <w:keepNext/>
                  <w:suppressAutoHyphens/>
                  <w:jc w:val="both"/>
                  <w:textAlignment w:val="center"/>
                  <w:rPr>
                    <w:bCs/>
                    <w:color w:val="000000"/>
                    <w:szCs w:val="24"/>
                  </w:rPr>
                </w:pPr>
                <w:r>
                  <w:rPr>
                    <w:rFonts w:eastAsia="Calibri"/>
                    <w:bCs/>
                    <w:color w:val="000000"/>
                    <w:szCs w:val="24"/>
                    <w:lang w:eastAsia="lt-LT"/>
                  </w:rPr>
                  <w:t>2012 m. kovo 6 d. Komisijos reglamentas (ES) Nr. 206/2012, kuriuo įgyvendinant Europos Parlamento ir Tarybos direktyvą 2009/125/EB nustatomi oro kondicionierių ir patogumo ventiliatorių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11.</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Gyvenamųjų patalpų vėdinimo įrenginiai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2014 m. liepos 11 d. Komisijos deleguotasis reglamentas (ES) Nr. 1254/2014, kuriuo Europos Parlamento ir Tarybos direktyva 2010/30/ES papildoma gyvenamųjų patalpų vėdinimo įrenginių energijos vartojimo efektyvumo ženklinimo reikalavimais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12.</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rFonts w:eastAsia="Calibri"/>
                    <w:bCs/>
                    <w:color w:val="000000"/>
                    <w:szCs w:val="24"/>
                  </w:rPr>
                </w:pPr>
                <w:r>
                  <w:rPr>
                    <w:rFonts w:eastAsia="Calibri"/>
                    <w:bCs/>
                    <w:color w:val="000000"/>
                    <w:szCs w:val="24"/>
                  </w:rPr>
                  <w:t xml:space="preserve">Patalpų šildytuvai, kombinuotieji šildytuvai, kurių vardinis šilumos atidavimas ≤ 70 kW, patalpų šildytuvai (≤70 kW), temperatūros reguliatoriaus ir saulės energijos įrenginio komplektai </w:t>
                </w:r>
              </w:p>
              <w:p>
                <w:pPr>
                  <w:keepNext/>
                  <w:suppressAutoHyphens/>
                  <w:jc w:val="both"/>
                  <w:textAlignment w:val="center"/>
                  <w:rPr>
                    <w:color w:val="000000"/>
                    <w:szCs w:val="24"/>
                  </w:rPr>
                </w:pPr>
                <w:r>
                  <w:rPr>
                    <w:bCs/>
                    <w:color w:val="000000"/>
                    <w:szCs w:val="24"/>
                  </w:rPr>
                  <w:t>ir kombinuotojo šildytuvo (≤ 70 kW), temperatūros reguliatoriaus ir saulės energijos įrenginio komplektai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vasario 18 d. Komisijos deleguotasis reglamentas (ES) Nr. 811/2013, kuriuo papildomos Europos Parlamento ir Tarybos direktyvos 2010/30/ES nuostatos</w:t>
                </w:r>
                <w:r>
                  <w:rPr>
                    <w:bCs/>
                    <w:color w:val="000000"/>
                    <w:szCs w:val="24"/>
                  </w:rPr>
                  <w:t xml:space="preserve"> dėl patalpų šildytuvų, kombinuotųjų šildytuvų, patalpų šildytuvo, temperatūros reguliatoriaus ir saulės energijos įrenginio komplektų, taip pat kombinuotojo šildytuvo, temperatūros reguliatoriaus ir saulės energijos įrenginio komplektų energijos vartojimo efektyvumo ženklinimo</w:t>
                </w:r>
                <w:r>
                  <w:rPr>
                    <w:color w:val="000000"/>
                    <w:szCs w:val="24"/>
                  </w:rPr>
                  <w:t xml:space="preserve">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13.</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color w:val="000000"/>
                    <w:szCs w:val="24"/>
                  </w:rPr>
                  <w:t>Vietiniai patalpų šildytuvai, kurių vardinė šiluminė galia ≤50 kW</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2015 m. balandžio 24 d. Komisijos deleguotasis reglamentas (ES) Nr. 2015/1186, kuriuo dėl vietinių patalpų šildytuvų energijos vartojimo efektyvumo ženklinimo reikalavimų nustatymo papildoma Europos Parlamento ir Tarybos direktyva 2010/30/ES su visais pakeitimais, ir</w:t>
                </w:r>
              </w:p>
              <w:p>
                <w:pPr>
                  <w:keepNext/>
                  <w:suppressAutoHyphens/>
                  <w:jc w:val="both"/>
                  <w:textAlignment w:val="center"/>
                  <w:rPr>
                    <w:color w:val="000000"/>
                    <w:szCs w:val="24"/>
                  </w:rPr>
                </w:pPr>
                <w:r>
                  <w:rPr>
                    <w:color w:val="000000"/>
                    <w:szCs w:val="24"/>
                  </w:rPr>
                  <w:t>2015 m. balandžio 24 d. Komisijos reglamentas (ES) 2015/1185 kuriuo įgyvendinant Europos Parlamento ir Tarybos direktyvą 2009/125/EB nustatomi kietojo kuro vietinių patalpų šildytuvų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14.</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Vandens šildytuvai, kurių vardinis šilumos atidavimas ≤ 70 kW, karšto vandens talpyklos (talpa ≤500 litrų) bei vandens šildytuvo (≤ 70 kW) ir saulės energijos įrenginio</w:t>
                </w:r>
                <w:r>
                  <w:rPr>
                    <w:b/>
                    <w:bCs/>
                    <w:color w:val="000000"/>
                    <w:szCs w:val="24"/>
                  </w:rPr>
                  <w:t xml:space="preserve"> </w:t>
                </w:r>
                <w:r>
                  <w:rPr>
                    <w:color w:val="000000"/>
                    <w:szCs w:val="24"/>
                  </w:rPr>
                  <w:t>komplektai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2013 m. vasario 18 d. Komisijos deleguotasis reglamentas (ES) Nr. 812/2013, kuriuo papildoma Europos Parlamento ir Tarybos direktyva 2010/30/ES, nustatant vandens šildytuvų, karšto vandens talpyklų, taip pat vandens šildytuvo ir saulės energijos kolektoriaus komplektų energijos vartojimo efektyvumo ženklinimo reikalavimus su visais pakeitimais </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15.</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Kietojo kuro katilai, kurių vardinė šiluminė galia ne didesnė kaip 70 kW, bei komplektai su šiais katilais, papildomaisiais šildytuvais, temperatūros reguliatoriais ir saulės energijos įrenginiais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2015 m. balandžio 27 d. Komisijos deleguotasis reglamentas (ES) Nr. 2015/1187, kuriuo Europos Parlamento ir Tarybos direktyva 2010/30/ES papildoma nuostatomis dėl kietojo kuro katilų ir komplektų, kuriuos sudaro kietojo kuro katilas, papildomieji šildytuvai, temperatūros reguliatoriai ir saulės energijos įrenginiai, ženklinimo energijos vartojimo efektyvumo etikete reikalavimų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16.</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Kompiuteriai ir serveriai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 xml:space="preserve">2013 m. birželio 26 d. Komisijos reglamentas (ES) Nr. 617/2013, </w:t>
                </w:r>
                <w:r>
                  <w:rPr>
                    <w:rFonts w:eastAsia="Calibri"/>
                    <w:bCs/>
                    <w:color w:val="000000"/>
                    <w:szCs w:val="24"/>
                    <w:lang w:eastAsia="lt-LT"/>
                  </w:rPr>
                  <w:t>kuriuo įgyvendinant Europos Parlamento ir Tarybos direktyvą 2009/125/EB nustatomi kompiuterių ir serverių ekologinio projektavimo reikalavimai su visais pakeitimais, ir</w:t>
                </w:r>
              </w:p>
              <w:p>
                <w:pPr>
                  <w:jc w:val="both"/>
                  <w:rPr>
                    <w:rFonts w:eastAsia="Calibri"/>
                    <w:bCs/>
                    <w:color w:val="000000"/>
                    <w:szCs w:val="24"/>
                    <w:lang w:eastAsia="lt-LT"/>
                  </w:rPr>
                </w:pPr>
                <w:r>
                  <w:rPr>
                    <w:rFonts w:eastAsia="Calibri"/>
                    <w:bCs/>
                    <w:color w:val="000000"/>
                    <w:szCs w:val="24"/>
                    <w:lang w:eastAsia="lt-LT"/>
                  </w:rPr>
                  <w:t xml:space="preserve">2019 m. kovo 15 d. Komisijos reglamentas (ES) 2019/424  </w:t>
                </w:r>
                <w:r>
                  <w:rPr>
                    <w:rFonts w:eastAsia="Calibri"/>
                    <w:color w:val="000000"/>
                    <w:szCs w:val="24"/>
                    <w:lang w:eastAsia="lt-LT"/>
                  </w:rPr>
                  <w:t>kuriuo pagal Europos Parlamento ir Tarybos direktyvą 2009/125/EB nustatomi serveriams ir duomenų saugojimo gaminiams keliami ekologinio projektavimo reikalavimai ir iš dalies keičiamas Komisijos reglamentas (ES) Nr. 617/2013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17.</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Mažos, vidutinės ir didelės galios transformatoriai, kurių galia ≥ 1 kVA</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bCs/>
                    <w:color w:val="000000"/>
                    <w:szCs w:val="24"/>
                  </w:rPr>
                  <w:t>2014 m. gegužės 21 d. Komisijos reglamentas (ES) Nr. 548/2014 dėl Europos Parlamento ir Tarybos direktyvos 2009/125/EB nuostatų, susijusių su mažos, vidutinės ir didelės galios transformatoriais, įgyvendinimo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18.</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bCs/>
                    <w:color w:val="000000"/>
                    <w:szCs w:val="24"/>
                  </w:rPr>
                  <w:t xml:space="preserve">Autonominiai beriebokšliai  apytakiniai siurbliai ir į gaminius įmontuojami beriebokšliai apytakiniai siurbliai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2009 m. liepos 22 d. Komisijos reglamentas (EB) Nr. 641/2009, kuriuo įgyvendinant Europos Parlamento ir Tarybos direktyvą 2005/32/EB nustatomi autonominių beriebokšlių apytakinių siurblių ir į gaminius įmontuojamų beriebokšlių apytakinių siurblių ekologinio projektavimo reikalavimai su visais pakeitimais, ir</w:t>
                </w:r>
              </w:p>
              <w:p>
                <w:pPr>
                  <w:tabs>
                    <w:tab w:val="left" w:pos="321"/>
                  </w:tabs>
                  <w:suppressAutoHyphens/>
                  <w:jc w:val="both"/>
                  <w:textAlignment w:val="center"/>
                  <w:rPr>
                    <w:bCs/>
                    <w:color w:val="000000"/>
                    <w:szCs w:val="24"/>
                  </w:rPr>
                </w:pPr>
                <w:r>
                  <w:rPr>
                    <w:bCs/>
                    <w:color w:val="000000"/>
                    <w:szCs w:val="24"/>
                  </w:rPr>
                  <w:t xml:space="preserve">2012 m. liepos 11 d. Komisijos reglamentas (ES) Nr. 622/2012, kuriuo iš dalies keičiamos Komisijos reglamento (EB) Nr. 641/2009 nuostatos dėl autonominių beriebokšlių apytakinių siurblių ir į gaminius įmontuojamų beriebokšlių apytakinių siurblių ekologinio projektavimo reikalavimų </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19.</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Gryno vandens siurbliai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2012 m. birželio 25 d. Komisijos reglamentas (ES) Nr. 547/2012, kuriuo įgyvendinant Europos Parlamento ir Tarybos direktyvą 2009/125/EB nustatomi vandens siurblių ekologinio projektavimo reikalavimai su visais pakeitimais</w:t>
                </w:r>
              </w:p>
            </w:tc>
          </w:tr>
          <w:tr>
            <w:trPr>
              <w:trHeight w:val="1362"/>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20.</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Pramoniniai ventiliatoriai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2011 m. kovo 30 d. Komisijos reglamentas (ES) Nr. 327/2011, kuriuo įgyvendinant Europos Parlamento ir Tarybos direktyvą 2009/125/EB nustatomi ventiliatorių, varomų 125 W–500 kW įėjimo galios elektros varikliais, ekologinio projektavimo reikalavimai su visais pakeitimais</w:t>
                </w:r>
              </w:p>
            </w:tc>
          </w:tr>
          <w:tr>
            <w:trPr>
              <w:trHeight w:val="1362"/>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21.</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Vėdinimo įrenginiai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2014 m. liepos 7 d. Komisijos reglamentas (ES) Nr. 1253/2014, kuriuo įgyvendinant Europos Parlamento ir Tarybos direktyvą 2009/125/EB nustatomi vėdinimo įrenginių ekologinio projektavimo reikalavimai su visais pakeitimais</w:t>
                </w:r>
              </w:p>
            </w:tc>
          </w:tr>
          <w:tr>
            <w:trPr>
              <w:trHeight w:val="1362"/>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22.</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 xml:space="preserve">Oro šildymo gaminiai,  kurių vardinis šildymo pajėgumas </w:t>
                </w:r>
                <w:r>
                  <w:rPr>
                    <w:color w:val="000000"/>
                    <w:szCs w:val="24"/>
                    <w:shd w:val="clear" w:color="auto" w:fill="FFFFFF"/>
                  </w:rPr>
                  <w:t>ne didesnis kaip 1 MW</w:t>
                </w:r>
                <w:r>
                  <w:rPr>
                    <w:color w:val="000000"/>
                    <w:szCs w:val="24"/>
                  </w:rPr>
                  <w:t>, v</w:t>
                </w:r>
                <w:r>
                  <w:rPr>
                    <w:color w:val="000000"/>
                    <w:szCs w:val="24"/>
                    <w:shd w:val="clear" w:color="auto" w:fill="FFFFFF"/>
                  </w:rPr>
                  <w:t>ėsinimo gaminiai ir aukštatemperatūriai technologiniai aušintuvai, kurių vardinis vėsinimo pajėgumas ne didesnis kaip 2 MW</w:t>
                </w:r>
                <w:r>
                  <w:rPr>
                    <w:color w:val="000000"/>
                    <w:szCs w:val="24"/>
                  </w:rPr>
                  <w:t>, ventiliatoriniai konvektoriai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2016 m. lapkričio 30 d. Komisijos reglamentas (ES) Nr. 2016/2281, kuriuo, įgyvendinant Europos Parlamento ir Tarybos direktyvą 2009/125/EB, nustatančią ekologinio projektavimo reikalavimų su energija susijusiems gaminiams nustatymo sistemą, nustatomi oro šildymo gaminių, vėsinimo gaminių ir aukštatemperatūrių technologinių aušintuvų ir ventiliatorinių konvektorių ekologinio projektavimo reikalavimai su visais pakeitimais</w:t>
                </w:r>
              </w:p>
            </w:tc>
          </w:tr>
          <w:tr>
            <w:trPr>
              <w:trHeight w:val="1362"/>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23.</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shd w:val="clear" w:color="auto" w:fill="FFFFFF"/>
                  </w:rPr>
                  <w:t>Ne didesnės kaip 50 kW vardinės šiluminės galios buitiniai vietiniai patalpų šildytuvai ir ne didesnės kaip 120 kW (gaminio ar atskiro segmento) vardinės šiluminės galios komerciniai vietiniai patalpų šildytuvai</w:t>
                </w:r>
                <w:r>
                  <w:rPr>
                    <w:b/>
                    <w:bCs/>
                    <w:color w:val="000000"/>
                    <w:szCs w:val="24"/>
                    <w:shd w:val="clear" w:color="auto" w:fill="FFFFFF"/>
                  </w:rPr>
                  <w:t> </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2015 m. balandžio 28 d. Komisijos reglamentas (ES) Nr. 2015/1188, kuriuo įgyvendinant Europos Parlamento ir Tarybos direktyvą 2009/125/EB nustatomi vietinių patalpų šildytuvų ekologinio projektavimo reikalavimai su visais pakeitimais</w:t>
                </w:r>
              </w:p>
            </w:tc>
          </w:tr>
          <w:tr>
            <w:trPr>
              <w:trHeight w:val="1362"/>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24.</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shd w:val="clear" w:color="auto" w:fill="FFFFFF"/>
                  </w:rPr>
                  <w:t>Kietojo kuro katilai, kurių vardinis šilumos atidavimas ne didesnis kaip 500 kilovatų (kW), įskaitant katilus, integruotus į kietojo kuro katilo, papildomųjų šildytuvų, temperatūros reguliatorių ir saulės energijos įrenginių komplektus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2015 m. balandžio 28 d. Komisijos reglamentas (ES) Nr. 2015/1189, kuriuo įgyvendinant Europos Parlamento ir Tarybos direktyvą 2009/125/EB nustatomi kietojo kuro katilų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25.</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Elektros varikliai ir pavaros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333333"/>
                    <w:szCs w:val="24"/>
                    <w:shd w:val="clear" w:color="auto" w:fill="FFFFFF"/>
                    <w:lang w:eastAsia="lt-LT"/>
                  </w:rPr>
                </w:pPr>
                <w:r>
                  <w:rPr>
                    <w:rFonts w:eastAsia="Calibri"/>
                    <w:color w:val="333333"/>
                    <w:szCs w:val="24"/>
                    <w:shd w:val="clear" w:color="auto" w:fill="FFFFFF"/>
                    <w:lang w:eastAsia="lt-LT"/>
                  </w:rPr>
                  <w:t>2019 m. spalio 1 d. Komisijos reglamentas (ES) 2019/1781, kuriuo pagal Europos Parlamento ir Tarybos direktyvą 2009/125/EB nustatomi elektros variklių ir tolydžiojo reguliavimo pavarų ekologinio projektavimo reikalavimai, iš dalies keičiamas Reglamentas (EB) Nr. 641/2009, kuriuo nustatomi autonominių beriebokšlių apytakinių siurblių ir į gaminius įmontuojamų beriebokšlių apytakinių siurblių ekologinio projektavimo reikalavimai, ir panaikinamas Komisijos reglamentas (EB) Nr. 640/2009 su visais pakeitimais, ir</w:t>
                </w:r>
              </w:p>
              <w:p>
                <w:pPr>
                  <w:jc w:val="both"/>
                  <w:rPr>
                    <w:rFonts w:eastAsia="Calibri"/>
                    <w:color w:val="000000"/>
                    <w:szCs w:val="24"/>
                    <w:lang w:eastAsia="lt-LT"/>
                  </w:rPr>
                </w:pPr>
                <w:r>
                  <w:rPr>
                    <w:rFonts w:eastAsia="Calibri"/>
                    <w:color w:val="000000"/>
                    <w:szCs w:val="24"/>
                    <w:lang w:eastAsia="lt-LT"/>
                  </w:rPr>
                  <w:t>2021 m. vasario 23 d. Komisijos reglamentas (ES) 2021/341 kuriuo iš dalies keičiamos reglamentų (ES) 2019/424, (ES) 2019/1781, (ES) 2019/2019, (ES) 2019/2020, (ES) 2019/2021, (ES) 2019/2022, (ES) 2019/2023 ir (ES) 2019/2024 nuostatos dėl serverių ir duomenų saugojimo gaminių, elektros variklių ir tolydžiojo reguliavimo pavarų, šaldymo aparatų, šviesos šaltinių ir atskirų valdymo įtaisų, elektroninių vaizduoklių, buitinių indaplovių, buitinių skalbyklių bei buitinių skalbyklių-džiovyklių ir prekėms tiesiogiai parduoti skirtų šaldymo aparatų ekologinio projektavimo reikalavimų</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26.</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Išoriniai maitinimo šaltiniai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szCs w:val="24"/>
                    <w:shd w:val="clear" w:color="auto" w:fill="FFFFFF"/>
                  </w:rPr>
                  <w:t>2019 m. spalio 1 d. Komisijos reglamentas (ES) 2019/1782, kuriuo pagal Europos Parlamento ir Tarybos direktyvą 2009/125/EB nustatomi išorinių maitinimo šaltinių ekologinio projektavimo reikalavimai ir panaikinamas Komisijos reglamentas (EB) Nr. 278/2009 </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27.</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Paprastieji televizorių priedėliai</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szCs w:val="24"/>
                  </w:rPr>
                </w:pPr>
                <w:r>
                  <w:rPr>
                    <w:rFonts w:eastAsia="Calibri"/>
                    <w:bCs/>
                    <w:szCs w:val="24"/>
                    <w:lang w:eastAsia="lt-LT"/>
                  </w:rPr>
                  <w:t>2009 m. vasario 4 d.</w:t>
                </w:r>
                <w:r>
                  <w:rPr>
                    <w:rFonts w:eastAsia="Calibri"/>
                    <w:bCs/>
                    <w:szCs w:val="24"/>
                  </w:rPr>
                  <w:t xml:space="preserve"> Komisijos reglamentas (EB)</w:t>
                </w:r>
                <w:r>
                  <w:rPr>
                    <w:rFonts w:eastAsia="Calibri"/>
                    <w:bCs/>
                    <w:szCs w:val="24"/>
                    <w:lang w:eastAsia="lt-LT"/>
                  </w:rPr>
                  <w:t xml:space="preserve"> Nr. 107/2009, kuriuo įgyvendinama Europos Parlamento ir Tarybos direktyva 2005/32/EB, nustatant paprastųjų televizoriaus priedėlių ekologinio projektavimo reikalavimus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28.</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highlight w:val="yellow"/>
                  </w:rPr>
                </w:pPr>
                <w:r>
                  <w:rPr>
                    <w:color w:val="000000"/>
                    <w:szCs w:val="24"/>
                    <w:shd w:val="clear" w:color="auto" w:fill="FFFFFF"/>
                  </w:rPr>
                  <w:t>Elektros ir elektroninė buitinė ir biuro įranga</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 xml:space="preserve">2013 m. rugpjūčio 22 d. Komisijos reglamentas (ES) Nr. 801/2013, kuriuo iš dalies keičiamas Reglamentas (EB) Nr. 1275/2008, kuriuo nustatomi išjungtos ir budėjimo režimu veikiančios elektros ir elektroninės buitinės ir biuro įrangos elektros energijos suvartojimo ekologinio projektavimo reikalavimai, ir iš dalies keičiamas Reglamentas (EB) Nr. 642/2009, kuriuo nustatomi televizijos aparatų ekologinio projektavimo reikalavimai, ir </w:t>
                </w:r>
              </w:p>
              <w:p>
                <w:pPr>
                  <w:tabs>
                    <w:tab w:val="left" w:pos="321"/>
                  </w:tabs>
                  <w:suppressAutoHyphens/>
                  <w:jc w:val="both"/>
                  <w:textAlignment w:val="center"/>
                  <w:rPr>
                    <w:color w:val="000000"/>
                    <w:szCs w:val="24"/>
                  </w:rPr>
                </w:pPr>
                <w:r>
                  <w:rPr>
                    <w:color w:val="000000"/>
                    <w:szCs w:val="24"/>
                    <w:lang w:eastAsia="lt-LT"/>
                  </w:rPr>
                  <w:t xml:space="preserve">2008 m. gruodžio 17 d. </w:t>
                </w:r>
                <w:r>
                  <w:rPr>
                    <w:color w:val="000000"/>
                    <w:szCs w:val="24"/>
                  </w:rPr>
                  <w:t xml:space="preserve">Komisijos reglamentas (EB) </w:t>
                </w:r>
                <w:r>
                  <w:rPr>
                    <w:color w:val="000000"/>
                    <w:szCs w:val="24"/>
                    <w:lang w:eastAsia="lt-LT"/>
                  </w:rPr>
                  <w:t>Nr. 1275/2008, kuriuo įgyvendinama Europos Parlamento ir Tarybos direktyva 2005/32/EB, nustatant išjungtos ir budėjimo režimu veikiančios elektros ir elektroninės buitinės ir biuro įrangos elektros energijos suvartojimo ekologinio projektavimo reikalavimus</w:t>
                </w:r>
                <w:r>
                  <w:rPr>
                    <w:color w:val="000000"/>
                    <w:szCs w:val="24"/>
                  </w:rPr>
                  <w:t xml:space="preserve">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29.</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Padangos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000000"/>
                    <w:szCs w:val="24"/>
                    <w:lang w:eastAsia="lt-LT"/>
                  </w:rPr>
                </w:pPr>
                <w:r>
                  <w:rPr>
                    <w:rFonts w:eastAsia="Calibri"/>
                    <w:color w:val="333333"/>
                    <w:szCs w:val="24"/>
                    <w:shd w:val="clear" w:color="auto" w:fill="FFFFFF"/>
                  </w:rPr>
                  <w:t>2020 m. gegužės 25 d. Europos Parlamento ir Tarybos reglamentas (ES) 2020/740 dėl padangų ženklinimo pagal degalų naudojimo efektyvumą ir kitus parametrus, kuriuo iš dalies keičiamas Reglamentas (ES) 2017/1369 ir panaikinamas Reglamentas (EB) Nr. 1222/2009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30.</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Dulkių siurbliai, įskaitant hibridinius dulkių siurblius</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2013 m. liepos 8 d. Komisijos reglamentas (ES) Nr. 666/2013 kuriuo įgyvendinant Europos Parlamento ir Tarybos direktyvą 2009/125/EB nustatomi dulkių siurblių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31.</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Vandens šildytuvai, kurių vardinis šilumos atidavimas ≤ 400 kW, ir karšto vandens talpyklos, kurių talpa ≤ 2 000 litrų</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2013 m. rugpjūčio 2 d. Komisijos reglamentas (ES) Nr. 814/2013 kuriuo įgyvendinant Europos Parlamento ir Tarybos direktyvą 2009/125/EB nustatomi vandens šildytuvų ir karšto vandens talpyklų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32.</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Patalpų šildytuvai ir kombinuotieji šildytuvai, kurių vardinis šilumos atidavimas ≤ 400 kW</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2013 m. rugpjūčio 2 d. Komisijos reglamentas (ES) Nr. 813/2013 kuriuo įgyvendinant Europos Parlamento ir Tarybos direktyvą 2009/125/EB nustatomi patalpų šildytuvų ir kombinuotųjų šildytuvų ekologinio projektavimo reikalavimai su visais pakeitimais</w:t>
                </w:r>
              </w:p>
            </w:tc>
          </w:tr>
          <w:tr>
            <w:trPr>
              <w:trHeight w:val="60"/>
              <w:jc w:val="center"/>
            </w:trPr>
            <w:tc>
              <w:tcPr>
                <w:tcW w:w="5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33.</w:t>
                </w:r>
              </w:p>
            </w:tc>
            <w:tc>
              <w:tcPr>
                <w:tcW w:w="230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Suvirinimo įranga</w:t>
                </w:r>
              </w:p>
            </w:tc>
            <w:tc>
              <w:tcPr>
                <w:tcW w:w="67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000000"/>
                    <w:szCs w:val="24"/>
                    <w:shd w:val="clear" w:color="auto" w:fill="FFFFFF"/>
                  </w:rPr>
                </w:pPr>
                <w:r>
                  <w:rPr>
                    <w:rFonts w:eastAsia="Calibri"/>
                    <w:color w:val="333333"/>
                    <w:szCs w:val="24"/>
                    <w:shd w:val="clear" w:color="auto" w:fill="FFFFFF"/>
                  </w:rPr>
                  <w:t xml:space="preserve">2019 m. spalio 1 d. Komisijos reglamentas (ES) 2019/1784 </w:t>
                </w:r>
                <w:r>
                  <w:rPr>
                    <w:rFonts w:eastAsia="Calibri"/>
                    <w:color w:val="000000"/>
                    <w:szCs w:val="24"/>
                    <w:shd w:val="clear" w:color="auto" w:fill="FFFFFF"/>
                  </w:rPr>
                  <w:t>kuriuo pagal Europos Parlamento ir Tarybos direktyvą 2009/125/EB nustatomi suvirinimo įrangos ekologinio projektavimo reikalavimai</w:t>
                </w:r>
              </w:p>
            </w:tc>
          </w:tr>
        </w:tbl>
        <w:p>
          <w:pPr>
            <w:suppressAutoHyphens/>
            <w:jc w:val="center"/>
            <w:textAlignment w:val="center"/>
            <w:rPr>
              <w:color w:val="000000"/>
              <w:szCs w:val="24"/>
            </w:rPr>
          </w:pPr>
        </w:p>
        <w:p>
          <w:pPr>
            <w:pBdr>
              <w:bottom w:val="single" w:sz="4" w:space="1" w:color="auto"/>
            </w:pBdr>
            <w:suppressAutoHyphens/>
            <w:ind w:left="3686" w:right="3684"/>
            <w:jc w:val="center"/>
            <w:textAlignment w:val="center"/>
            <w:rPr>
              <w:caps/>
              <w:color w:val="000000"/>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42aff0686d11e7827cd63159af616c">
            <w:r w:rsidRPr="00532B9F">
              <w:rPr>
                <w:rFonts w:ascii="Times New Roman" w:eastAsia="MS Mincho" w:hAnsi="Times New Roman"/>
                <w:sz w:val="20"/>
                <w:iCs/>
                <w:color w:val="0000FF" w:themeColor="hyperlink"/>
                <w:u w:val="single"/>
              </w:rPr>
              <w:t>1-186</w:t>
            </w:r>
          </w:fldSimple>
          <w:r>
            <w:rPr>
              <w:rFonts w:ascii="Times New Roman" w:eastAsia="MS Mincho" w:hAnsi="Times New Roman"/>
              <w:sz w:val="20"/>
              <w:iCs/>
            </w:rPr>
            <w:t>,
2017-07-14,
paskelbta TAR 2017-07-17, i. k. 2017-12292                </w:t>
          </w:r>
        </w:p>
        <w:p>
          <w:pPr>
            <w:jc w:val="both"/>
            <w:rPr>
              <w:rFonts w:ascii="Times New Roman" w:hAnsi="Times New Roman"/>
            </w:rPr>
          </w:pPr>
          <w:r>
            <w:rPr>
              <w:rFonts w:ascii="Times New Roman" w:hAnsi="Times New Roman"/>
              <w:sz w:val="20"/>
            </w:rPr>
            <w:t>Dėl Lietuvos Respublikos energetikos ministro 2015 m. birželio 18 d. įsakymo Nr. 1-154 „Dėl Prekių, išskyrus kelių transporto priemones, kurioms viešųjų pirkimų metu taikomi energijos vartojimo efektyvumo reikalavimai,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0f8b10828c11ed8df094f359a60216">
            <w:r w:rsidRPr="00532B9F">
              <w:rPr>
                <w:rFonts w:ascii="Times New Roman" w:eastAsia="MS Mincho" w:hAnsi="Times New Roman"/>
                <w:sz w:val="20"/>
                <w:iCs/>
                <w:color w:val="0000FF" w:themeColor="hyperlink"/>
                <w:u w:val="single"/>
              </w:rPr>
              <w:t>1-466</w:t>
            </w:r>
          </w:fldSimple>
          <w:r>
            <w:rPr>
              <w:rFonts w:ascii="Times New Roman" w:eastAsia="MS Mincho" w:hAnsi="Times New Roman"/>
              <w:sz w:val="20"/>
              <w:iCs/>
            </w:rPr>
            <w:t>,
2022-12-19,
paskelbta TAR 2022-12-23, i. k. 2022-26614                </w:t>
          </w:r>
        </w:p>
        <w:p>
          <w:pPr>
            <w:jc w:val="both"/>
            <w:rPr>
              <w:rFonts w:ascii="Times New Roman" w:hAnsi="Times New Roman"/>
            </w:rPr>
          </w:pPr>
          <w:r>
            <w:rPr>
              <w:rFonts w:ascii="Times New Roman" w:hAnsi="Times New Roman"/>
              <w:sz w:val="20"/>
            </w:rPr>
            <w:t>Dėl Lietuvos Respublikos energetikos ministro 2015 m. birželio 18 d. įsakymo Nr. 1-154 „Dėl Prekių, išskyrus kelių transporto priemones, kurioms viešųjų pirkimų metu taikomi energijos vartojimo efektyvumo reikalavimai,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ascii="Calibri" w:eastAsia="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78" w:lineRule="auto"/>
      <w:rPr>
        <w:kern w:val="2"/>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kern w:val="2"/>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14</w:t>
    </w:r>
    <w:r>
      <w:rPr>
        <w:kern w:val="2"/>
        <w:szCs w:val="24"/>
        <w:lang w:eastAsia="lt-LT"/>
      </w:rPr>
      <w:fldChar w:fldCharType="end"/>
    </w:r>
  </w:p>
  <w:p>
    <w:pPr>
      <w:tabs>
        <w:tab w:val="center" w:pos="4819"/>
        <w:tab w:val="right" w:pos="9638"/>
      </w:tabs>
      <w:spacing w:after="200" w:line="276" w:lineRule="auto"/>
      <w:rPr>
        <w:rFonts w:ascii="Calibri" w:eastAsia="Calibri" w:hAnsi="Calibri"/>
        <w:kern w:val="2"/>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78" w:lineRule="auto"/>
      <w:rPr>
        <w:kern w:val="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47D58DA"/>
  <w15:docId w15:val="{2B97043E-7F1F-4C5C-8437-B1C497BD5C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11.xml"/>
  <Relationship Id="rId20" Type="http://schemas.openxmlformats.org/officeDocument/2006/relationships/footer" Target="footer18.xml"/>
  <Relationship Id="rId21"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a1430f4f8c645e6992730936b05bc2c" PartId="c00c3f5650f54181acb4ac2dce0d59d5">
    <Part Type="preambule" DocPartId="4101329fa2704a83bcc6da1f682a6ff5" PartId="c5267451b3ff4f1ba7e5c5394955edd7"/>
    <Part Type="punktas" Nr="1" Abbr="1 p." DocPartId="2871b22e3d8644bb86ffd2121c085bd6" PartId="f177d40260624bfdb14072cd05e9c1b1"/>
    <Part Type="punktas" Nr="2" Abbr="2 p." DocPartId="16d2000d63df4b159d789e715a2881e2" PartId="89a9c0afe2ea480d9f16a826b36f5459"/>
    <Part Type="signatura" DocPartId="74b404240bb2479ea9174b94e26ee1f3" PartId="68dd76206236419fba8c47a76e400c21"/>
  </Part>
  <Part Type="patvirtinta" Title="PREKIŲ, IŠSKYRUS KELIŲ TRANSPORTO PRIEMONES, KURIOMS VIEŠŲJŲ PIRKIMŲ IR PERKANČIŲJŲ SUBJEKTŲ ATLIEKAMŲ PIRKIMŲ METU TAIKOMI ENERGIJOS VARTOJIMO EFEKTYVUMO REIKALAVIMAI, SĄRAŠAS" DocPartId="ae9df7ed9c75459cab477fe9fb57139f" PartId="dd28888f116140d38ae73b2afcbc4718"/>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23615AF-759E-4CFA-8A01-93AF6B758F4C}">
  <ds:schemaRefs>
    <ds:schemaRef ds:uri="http://lrs.lt/TAIS/DocParts"/>
  </ds:schemaRefs>
</ds:datastoreItem>
</file>

<file path=customXml/itemProps3.xml><?xml version="1.0" encoding="utf-8"?>
<ds:datastoreItem xmlns:ds="http://schemas.openxmlformats.org/officeDocument/2006/customXml" ds:itemID="{92BE90B4-11B1-4F3E-ABB5-5DD13FFC47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16</Pages>
  <Words>24420</Words>
  <Characters>13920</Characters>
  <Application>Microsoft Office Word</Application>
  <DocSecurity>0</DocSecurity>
  <Lines>116</Lines>
  <Paragraphs>76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38264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2015-06-22T08:42:00Z</dcterms:created>
  <dc:creator>ŠAULYTĖ SKAIRIENĖ Dalia</dc:creator>
  <lastModifiedBy>JUOSPONIENĖ Karolina</lastModifiedBy>
  <lastPrinted>2015-05-21T12:09:00Z</lastPrinted>
  <dcterms:modified xsi:type="dcterms:W3CDTF">2022-12-29T13:06:00Z</dcterms:modified>
  <revision>9</revision>
</coreProperties>
</file>