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6d50a20d7bb4d61a157aed6eeda15e0"/>
        <w:lock w:val="sdtLocked"/>
        <w:richText/>
      </w:sdtPr>
      <w:sdtContent>
        <w:p>
          <w:pPr>
            <w:jc w:val="both"/>
            <w:rPr>
              <w:rFonts w:ascii="Times New Roman" w:hAnsi="Times New Roman"/>
            </w:rPr>
          </w:pPr>
          <w:r>
            <w:rPr>
              <w:rFonts w:ascii="Times New Roman" w:hAnsi="Times New Roman"/>
              <w:b/>
              <w:i/>
            </w:rPr>
            <w:t>Suvestinė redakcija nuo 2026-05-11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2015-06-22, i. k. 2015-10022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2026-05-11:</w:t>
          </w:r>
        </w:p>
        <w:p>
          <w:pPr>
            <w:rPr>
              <w:rFonts w:ascii="Times New Roman" w:hAnsi="Times New Roman"/>
              <w:sz w:val="20"/>
              <w:i/>
            </w:rPr>
          </w:pPr>
          <w:r>
            <w:rPr>
              <w:rFonts w:ascii="Times New Roman" w:hAnsi="Times New Roman"/>
              <w:sz w:val="20"/>
              <w:i/>
            </w:rPr>
            <w:t xml:space="preserve">Nr. </w:t>
          </w:r>
          <w:fldSimple w:instr="HYPERLINK https://www.e-tar.lt/portal/legalAct.html?documentId=e0dbf1d44ab611f180c9c618618421ed">
            <w:r w:rsidRPr="00532B9F">
              <w:rPr>
                <w:rFonts w:ascii="Times New Roman" w:eastAsia="MS Mincho" w:hAnsi="Times New Roman"/>
                <w:sz w:val="20"/>
                <w:i/>
                <w:iCs/>
                <w:color w:val="0000FF" w:themeColor="hyperlink"/>
                <w:u w:val="single"/>
              </w:rPr>
              <w:t>1-117</w:t>
            </w:r>
          </w:fldSimple>
          <w:r>
            <w:rPr>
              <w:rFonts w:ascii="Times New Roman" w:eastAsia="MS Mincho" w:hAnsi="Times New Roman"/>
              <w:sz w:val="20"/>
              <w:i/>
              <w:iCs/>
            </w:rPr>
            <w:t>,
2026-05-08,
paskelbta TAR 2026-05-08, i. k. 2026-07822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ENERGETIKOS MINISTRAS</w:t>
          </w:r>
        </w:p>
        <w:p>
          <w:pPr>
            <w:jc w:val="center"/>
            <w:rPr>
              <w:b/>
              <w:color w:val="000000"/>
              <w:szCs w:val="24"/>
              <w:lang w:eastAsia="lt-LT"/>
            </w:rPr>
          </w:pPr>
        </w:p>
        <w:p>
          <w:pPr>
            <w:jc w:val="center"/>
            <w:rPr>
              <w:color w:val="000000"/>
              <w:szCs w:val="24"/>
              <w:lang w:eastAsia="lt-LT"/>
            </w:rPr>
          </w:pPr>
          <w:r>
            <w:rPr>
              <w:b/>
              <w:color w:val="000000"/>
              <w:szCs w:val="24"/>
              <w:lang w:eastAsia="lt-LT"/>
            </w:rPr>
            <w:t>ĮSAKYMAS</w:t>
          </w:r>
          <w:r>
            <w:rPr>
              <w:color w:val="000000"/>
              <w:szCs w:val="24"/>
              <w:lang w:eastAsia="lt-LT"/>
            </w:rPr>
            <w:t> </w:t>
          </w:r>
        </w:p>
        <w:p>
          <w:pPr>
            <w:jc w:val="center"/>
            <w:rPr>
              <w:b/>
              <w:bCs/>
              <w:color w:val="000000"/>
              <w:lang w:eastAsia="lt-LT"/>
            </w:rPr>
          </w:pPr>
          <w:r>
            <w:rPr>
              <w:b/>
              <w:bCs/>
              <w:color w:val="000000"/>
              <w:lang w:eastAsia="lt-LT"/>
            </w:rPr>
            <w:t>DĖL 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APRAŠO PATVIRTINIMO</w:t>
          </w:r>
        </w:p>
        <w:p>
          <w:pPr>
            <w:jc w:val="center"/>
            <w:rPr>
              <w:b/>
              <w:bCs/>
              <w:color w:val="000000"/>
              <w:szCs w:val="24"/>
              <w:lang w:eastAsia="lt-LT"/>
            </w:rPr>
          </w:pPr>
        </w:p>
        <w:p>
          <w:pPr>
            <w:jc w:val="center"/>
            <w:rPr>
              <w:color w:val="000000"/>
              <w:szCs w:val="24"/>
              <w:lang w:eastAsia="lt-LT"/>
            </w:rPr>
          </w:pPr>
          <w:r>
            <w:rPr>
              <w:color w:val="000000"/>
              <w:szCs w:val="24"/>
              <w:lang w:eastAsia="lt-LT"/>
            </w:rPr>
            <w:t>2015 m. birželio 18 d. Nr. 1-154</w:t>
          </w:r>
        </w:p>
        <w:p>
          <w:pPr>
            <w:jc w:val="center"/>
            <w:rPr>
              <w:color w:val="000000"/>
              <w:szCs w:val="24"/>
              <w:lang w:eastAsia="lt-LT"/>
            </w:rPr>
          </w:pPr>
          <w:r>
            <w:rPr>
              <w:color w:val="000000"/>
              <w:szCs w:val="24"/>
              <w:lang w:eastAsia="lt-LT"/>
            </w:rPr>
            <w:t>Vilnius</w:t>
          </w:r>
        </w:p>
        <w:p>
          <w:pPr>
            <w:jc w:val="center"/>
            <w:rPr>
              <w:b/>
              <w:bCs/>
              <w:color w:val="000000"/>
              <w:szCs w:val="24"/>
              <w:lang w:eastAsia="lt-LT"/>
            </w:rPr>
          </w:pPr>
        </w:p>
        <w:p>
          <w:pPr>
            <w:jc w:val="center"/>
            <w:rPr>
              <w:b/>
              <w:bCs/>
              <w:color w:val="000000"/>
              <w:szCs w:val="24"/>
              <w:lang w:eastAsia="lt-LT"/>
            </w:rPr>
          </w:pPr>
        </w:p>
        <w:sdt>
          <w:sdtPr>
            <w:alias w:val="preambule"/>
            <w:tag w:val="part_dae6371452f14a6183ebbf5d8110804d"/>
            <w:lock w:val="sdtLocked"/>
            <w:richText/>
          </w:sdtPr>
          <w:sdtContent>
            <w:p>
              <w:pPr>
                <w:ind w:firstLine="709"/>
                <w:jc w:val="both"/>
                <w:rPr>
                  <w:rFonts w:eastAsia="Calibri"/>
                  <w:szCs w:val="24"/>
                </w:rPr>
              </w:pPr>
              <w:r>
                <w:rPr>
                  <w:rFonts w:eastAsia="Calibri"/>
                  <w:szCs w:val="24"/>
                </w:rPr>
                <w:t>Įgyvendindamas Lietuvos Respublikos Vyriausybės 2006 m. sausio 30 d. nutarimo Nr. 92 „</w:t>
              </w:r>
              <w:r>
                <w:rPr>
                  <w:rFonts w:eastAsia="Calibri"/>
                  <w:color w:val="000000"/>
                  <w:szCs w:val="24"/>
                </w:rPr>
                <w:t>Dėl Lietuvos Respublikos viešųjų pirkimų įstatymo, Lietuvos Respublikos pirkimų, atliekamų vandentvarkos, energetikos, transporto ar pašto paslaugų srities perkančiųjų subjektų, įstatymo ir Lietuvos Respublikos koncesijų įstatymo įgyvendinimo</w:t>
              </w:r>
              <w:r>
                <w:rPr>
                  <w:rFonts w:eastAsia="Calibri"/>
                  <w:szCs w:val="24"/>
                </w:rPr>
                <w:t xml:space="preserve">“ 7 punktą ir 2023 m. rugsėjo 13 d. Europos Parlamento ir Tarybos direktyvos </w:t>
              </w:r>
              <w:hyperlink r:id="rId145" w:tgtFrame="_blank" w:history="1">
                <w:r>
                  <w:rPr>
                    <w:rFonts w:eastAsia="Calibri"/>
                    <w:color w:val="0000FF" w:themeColor="hyperlink"/>
                    <w:szCs w:val="24"/>
                    <w:u w:val="single"/>
                  </w:rPr>
                  <w:t>(ES) 2023/1791</w:t>
                </w:r>
              </w:hyperlink>
              <w:r>
                <w:rPr>
                  <w:rFonts w:eastAsia="Calibri"/>
                  <w:szCs w:val="24"/>
                </w:rPr>
                <w:t xml:space="preserve"> dėl energijos vartojimo efektyvumo, kuria iš dalies keičiamas Reglamentas </w:t>
              </w:r>
              <w:hyperlink r:id="rId146" w:tgtFrame="_blank" w:history="1">
                <w:r>
                  <w:rPr>
                    <w:rFonts w:eastAsia="Calibri"/>
                    <w:color w:val="0000FF" w:themeColor="hyperlink"/>
                    <w:szCs w:val="24"/>
                    <w:u w:val="single"/>
                  </w:rPr>
                  <w:t>(ES) 2023/955</w:t>
                </w:r>
              </w:hyperlink>
              <w:r>
                <w:rPr>
                  <w:rFonts w:eastAsia="Calibri"/>
                  <w:szCs w:val="24"/>
                </w:rPr>
                <w:t xml:space="preserve">, 7 straipsnį ir IV priedą: </w:t>
              </w:r>
            </w:p>
          </w:sdtContent>
        </w:sdt>
        <w:sdt>
          <w:sdtPr>
            <w:alias w:val="pastraipa"/>
            <w:tag w:val="part_17ac192c06784c3ea71e570819d843bf"/>
            <w:lock w:val="sdtLocked"/>
            <w:richText/>
          </w:sdtPr>
          <w:sdtContent>
            <w:p>
              <w:pPr>
                <w:ind w:firstLine="709"/>
                <w:jc w:val="both"/>
              </w:pPr>
              <w:r>
                <w:rPr>
                  <w:rFonts w:eastAsia="Calibri"/>
                  <w:spacing w:val="56"/>
                  <w:szCs w:val="24"/>
                </w:rPr>
                <w:t>tvirtinu</w:t>
              </w:r>
              <w:r>
                <w:rPr>
                  <w:color w:val="000000"/>
                  <w:szCs w:val="24"/>
                  <w:lang w:eastAsia="lt-LT"/>
                </w:rPr>
                <w:t xml:space="preserve"> 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aprašą (pridedama).</w:t>
              </w:r>
            </w:p>
          </w:sdtContent>
        </w:sdt>
        <w:sdt>
          <w:sdtPr>
            <w:alias w:val="signatura"/>
            <w:tag w:val="part_0211abb1940d43619da3d9d1103ee7fe"/>
            <w:lock w:val="sdtLocked"/>
            <w:richText/>
          </w:sdtPr>
          <w:sdtContent>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p>
            <w:p>
              <w:pPr>
                <w:tabs>
                  <w:tab w:val="right" w:pos="9498"/>
                </w:tabs>
                <w:suppressAutoHyphens/>
                <w:textAlignment w:val="center"/>
              </w:pPr>
              <w:r>
                <w:rPr>
                  <w:color w:val="000000"/>
                  <w:szCs w:val="24"/>
                </w:rPr>
                <w:t>Energetikos ministras</w:t>
                <w:tab/>
                <w:t>Rokas Masiulis</w:t>
              </w:r>
            </w:p>
          </w:sdtContent>
        </w:sdt>
        <w:p/>
      </w:sdtContent>
    </w:sdt>
    <w:sdt>
      <w:sdtPr>
        <w:alias w:val="patvirtinta"/>
        <w:tag w:val="part_0f9b5cf5b9834a3d89a400f87d9df9af"/>
        <w:lock w:val="sdtLocked"/>
        <w:richText/>
      </w:sdtPr>
      <w:sdtContent>
        <w:p>
          <w:pPr>
            <w:keepLines/>
            <w:tabs>
              <w:tab w:val="left" w:pos="1304"/>
              <w:tab w:val="left" w:pos="1457"/>
              <w:tab w:val="left" w:pos="1604"/>
              <w:tab w:val="left" w:pos="1757"/>
            </w:tabs>
            <w:suppressAutoHyphens/>
            <w:ind w:left="5130"/>
            <w:textAlignment w:val="center"/>
            <w:sectPr>
              <w:headerReference w:type="even" r:id="rId147"/>
              <w:headerReference w:type="default" r:id="rId148"/>
              <w:footerReference w:type="even" r:id="rId149"/>
              <w:footerReference w:type="default" r:id="rId150"/>
              <w:headerReference w:type="first" r:id="rId151"/>
              <w:footerReference w:type="first" r:id="rId152"/>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130"/>
            <w:textAlignment w:val="center"/>
            <w:rPr>
              <w:color w:val="000000"/>
            </w:rPr>
          </w:pPr>
          <w:r>
            <w:rPr>
              <w:color w:val="000000"/>
            </w:rPr>
            <w:t>PATVIRTINTA</w:t>
          </w:r>
        </w:p>
        <w:p>
          <w:pPr>
            <w:keepLines/>
            <w:tabs>
              <w:tab w:val="left" w:pos="1304"/>
              <w:tab w:val="left" w:pos="1457"/>
              <w:tab w:val="left" w:pos="1604"/>
              <w:tab w:val="left" w:pos="1757"/>
            </w:tabs>
            <w:suppressAutoHyphens/>
            <w:ind w:left="5130"/>
            <w:textAlignment w:val="center"/>
            <w:rPr>
              <w:color w:val="000000"/>
            </w:rPr>
          </w:pPr>
          <w:r>
            <w:rPr>
              <w:color w:val="000000"/>
            </w:rPr>
            <w:t xml:space="preserve">Lietuvos Respublikos energetikos ministro </w:t>
          </w:r>
        </w:p>
        <w:p>
          <w:pPr>
            <w:keepLines/>
            <w:tabs>
              <w:tab w:val="left" w:pos="1304"/>
              <w:tab w:val="left" w:pos="1457"/>
              <w:tab w:val="left" w:pos="1604"/>
              <w:tab w:val="left" w:pos="1757"/>
            </w:tabs>
            <w:suppressAutoHyphens/>
            <w:ind w:left="5130"/>
            <w:textAlignment w:val="center"/>
            <w:rPr>
              <w:color w:val="000000"/>
            </w:rPr>
          </w:pPr>
          <w:r>
            <w:rPr>
              <w:color w:val="000000"/>
            </w:rPr>
            <w:t>2015 m. birželio 18 d. įsakymu Nr. 1-154</w:t>
          </w:r>
        </w:p>
        <w:p>
          <w:pPr>
            <w:keepLines/>
            <w:tabs>
              <w:tab w:val="left" w:pos="1304"/>
              <w:tab w:val="left" w:pos="1457"/>
              <w:tab w:val="left" w:pos="1604"/>
              <w:tab w:val="left" w:pos="1757"/>
            </w:tabs>
            <w:suppressAutoHyphens/>
            <w:ind w:left="5130"/>
            <w:textAlignment w:val="center"/>
            <w:rPr>
              <w:color w:val="000000"/>
            </w:rPr>
          </w:pPr>
          <w:r>
            <w:rPr>
              <w:color w:val="000000"/>
            </w:rPr>
            <w:t xml:space="preserve">(Lietuvos Respublikos energetikos ministro </w:t>
          </w:r>
        </w:p>
        <w:p>
          <w:pPr>
            <w:keepLines/>
            <w:tabs>
              <w:tab w:val="left" w:pos="1304"/>
              <w:tab w:val="left" w:pos="1457"/>
              <w:tab w:val="left" w:pos="1604"/>
              <w:tab w:val="left" w:pos="1757"/>
            </w:tabs>
            <w:suppressAutoHyphens/>
            <w:ind w:left="5130"/>
            <w:textAlignment w:val="center"/>
            <w:rPr>
              <w:color w:val="000000"/>
            </w:rPr>
          </w:pPr>
          <w:r>
            <w:rPr>
              <w:color w:val="000000"/>
            </w:rPr>
            <w:t>2026 m. gegužės 8 d. įsakymo Nr. 1-117</w:t>
          </w:r>
        </w:p>
        <w:p>
          <w:pPr>
            <w:keepLines/>
            <w:tabs>
              <w:tab w:val="left" w:pos="1304"/>
              <w:tab w:val="left" w:pos="1457"/>
              <w:tab w:val="left" w:pos="1604"/>
              <w:tab w:val="left" w:pos="1757"/>
            </w:tabs>
            <w:suppressAutoHyphens/>
            <w:ind w:left="5130"/>
            <w:textAlignment w:val="center"/>
            <w:rPr>
              <w:color w:val="000000"/>
            </w:rPr>
          </w:pPr>
          <w:r>
            <w:rPr>
              <w:color w:val="000000"/>
            </w:rPr>
            <w:t>redakcija)</w:t>
          </w:r>
        </w:p>
        <w:p>
          <w:pPr>
            <w:suppressAutoHyphens/>
            <w:jc w:val="both"/>
            <w:textAlignment w:val="center"/>
            <w:rPr>
              <w:color w:val="000000"/>
              <w:szCs w:val="24"/>
            </w:rPr>
          </w:pPr>
        </w:p>
        <w:p>
          <w:pPr>
            <w:suppressAutoHyphens/>
            <w:jc w:val="both"/>
            <w:textAlignment w:val="center"/>
            <w:rPr>
              <w:color w:val="000000"/>
              <w:szCs w:val="24"/>
            </w:rPr>
          </w:pPr>
        </w:p>
        <w:sdt>
          <w:sdtPr>
            <w:alias w:val="Pavadinimas"/>
            <w:tag w:val="title_0f9b5cf5b9834a3d89a400f87d9df9af"/>
            <w:lock w:val="sdtLocked"/>
            <w:richText/>
          </w:sdtPr>
          <w:sdtContent>
            <w:p>
              <w:pPr>
                <w:jc w:val="center"/>
                <w:rPr>
                  <w:b/>
                  <w:bCs/>
                  <w:caps/>
                  <w:color w:val="000000"/>
                  <w:szCs w:val="24"/>
                </w:rPr>
              </w:pPr>
              <w:r>
                <w:rPr>
                  <w:b/>
                  <w:bCs/>
                  <w:color w:val="000000"/>
                  <w:szCs w:val="24"/>
                  <w:lang w:eastAsia="lt-LT"/>
                </w:rPr>
                <w:t>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APRAŠAS</w:t>
              </w:r>
            </w:p>
          </w:sdtContent>
        </w:sdt>
        <w:p>
          <w:pPr>
            <w:suppressAutoHyphens/>
            <w:jc w:val="center"/>
            <w:rPr>
              <w:b/>
              <w:bCs/>
              <w:szCs w:val="24"/>
              <w:lang w:val="lt" w:eastAsia="lt-LT"/>
            </w:rPr>
          </w:pPr>
        </w:p>
        <w:sdt>
          <w:sdtPr>
            <w:alias w:val="skyrius"/>
            <w:tag w:val="part_1beafb51acb24e10940938c74a3208fc"/>
            <w:lock w:val="sdtLocked"/>
            <w:richText/>
          </w:sdtPr>
          <w:sdtContent>
            <w:p>
              <w:pPr>
                <w:suppressAutoHyphens/>
                <w:jc w:val="center"/>
                <w:rPr>
                  <w:b/>
                  <w:bCs/>
                  <w:szCs w:val="24"/>
                  <w:lang w:val="lt" w:eastAsia="lt-LT"/>
                </w:rPr>
              </w:pPr>
              <w:sdt>
                <w:sdtPr>
                  <w:alias w:val="Numeris"/>
                  <w:tag w:val="nr_1beafb51acb24e10940938c74a3208fc"/>
                  <w:lock w:val="sdtLocked"/>
                  <w:richText/>
                </w:sdtPr>
                <w:sdtContent>
                  <w:r>
                    <w:rPr>
                      <w:b/>
                      <w:bCs/>
                      <w:szCs w:val="24"/>
                      <w:lang w:val="lt" w:eastAsia="lt-LT"/>
                    </w:rPr>
                    <w:t>I</w:t>
                  </w:r>
                </w:sdtContent>
              </w:sdt>
              <w:r>
                <w:rPr>
                  <w:b/>
                  <w:bCs/>
                  <w:szCs w:val="24"/>
                  <w:lang w:val="lt" w:eastAsia="lt-LT"/>
                </w:rPr>
                <w:t xml:space="preserve"> SKYRIUS</w:t>
              </w:r>
            </w:p>
            <w:p>
              <w:pPr>
                <w:suppressAutoHyphens/>
                <w:jc w:val="center"/>
                <w:rPr>
                  <w:b/>
                  <w:bCs/>
                  <w:szCs w:val="24"/>
                  <w:lang w:val="lt" w:eastAsia="lt-LT"/>
                </w:rPr>
              </w:pPr>
              <w:sdt>
                <w:sdtPr>
                  <w:alias w:val="Pavadinimas"/>
                  <w:tag w:val="title_1beafb51acb24e10940938c74a3208fc"/>
                  <w:lock w:val="sdtLocked"/>
                  <w:richText/>
                </w:sdtPr>
                <w:sdtContent>
                  <w:r>
                    <w:rPr>
                      <w:b/>
                      <w:bCs/>
                      <w:szCs w:val="24"/>
                      <w:lang w:val="lt" w:eastAsia="lt-LT"/>
                    </w:rPr>
                    <w:t>BENDROSIOS NUOSTATOS</w:t>
                  </w:r>
                </w:sdtContent>
              </w:sdt>
            </w:p>
            <w:p>
              <w:pPr>
                <w:suppressAutoHyphens/>
                <w:jc w:val="center"/>
                <w:rPr>
                  <w:b/>
                  <w:bCs/>
                  <w:szCs w:val="24"/>
                  <w:lang w:val="lt" w:eastAsia="lt-LT"/>
                </w:rPr>
              </w:pPr>
            </w:p>
            <w:sdt>
              <w:sdtPr>
                <w:alias w:val="1 p."/>
                <w:tag w:val="part_b5f6d493ceb241c98497ff76c05b04d5"/>
                <w:lock w:val="sdtLocked"/>
                <w:richText/>
              </w:sdtPr>
              <w:sdtContent>
                <w:p>
                  <w:pPr>
                    <w:tabs>
                      <w:tab w:val="left" w:pos="851"/>
                      <w:tab w:val="left" w:pos="993"/>
                    </w:tabs>
                    <w:ind w:firstLine="709"/>
                    <w:jc w:val="both"/>
                  </w:pPr>
                  <w:sdt>
                    <w:sdtPr>
                      <w:alias w:val="Numeris"/>
                      <w:tag w:val="nr_b5f6d493ceb241c98497ff76c05b04d5"/>
                      <w:lock w:val="sdtLocked"/>
                      <w:richText/>
                    </w:sdtPr>
                    <w:sdtContent>
                      <w:r>
                        <w:t>1</w:t>
                      </w:r>
                    </w:sdtContent>
                  </w:sdt>
                  <w:r>
                    <w:t>.</w:t>
                    <w:tab/>
                    <w:t xml:space="preserve">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aprašas (toliau – Tvarkos aprašas) taikomas Lietuvos Respublikos viešųjų pirkimų įstatyme apibrėžtoms perkančiosioms organizacijoms, Lietuvos Respublikos pirkimų, atliekamų vandentvarkos, energetikos, transporto ar pašto paslaugų srities perkančiųjų subjektų įstatyme apibrėžtiems perkantiesiems subjektams ir Lietuvos Respublikos koncesijų įstatyme apibrėžtoms koncesijas suteikiančioms institucijoms. </w:t>
                  </w:r>
                </w:p>
              </w:sdtContent>
            </w:sdt>
            <w:sdt>
              <w:sdtPr>
                <w:alias w:val="2 p."/>
                <w:tag w:val="part_1c417ab8f330493a95ebae0ba8078cb1"/>
                <w:lock w:val="sdtLocked"/>
                <w:richText/>
              </w:sdtPr>
              <w:sdtContent>
                <w:p>
                  <w:pPr>
                    <w:tabs>
                      <w:tab w:val="left" w:pos="851"/>
                      <w:tab w:val="left" w:pos="993"/>
                    </w:tabs>
                    <w:ind w:firstLine="709"/>
                    <w:jc w:val="both"/>
                  </w:pPr>
                  <w:sdt>
                    <w:sdtPr>
                      <w:alias w:val="Numeris"/>
                      <w:tag w:val="nr_1c417ab8f330493a95ebae0ba8078cb1"/>
                      <w:lock w:val="sdtLocked"/>
                      <w:richText/>
                    </w:sdtPr>
                    <w:sdtContent>
                      <w:r>
                        <w:t>2</w:t>
                      </w:r>
                    </w:sdtContent>
                  </w:sdt>
                  <w:r>
                    <w:t>.</w:t>
                    <w:tab/>
                    <w:t>Tvarkos aprašo tikslas – užtikrinti, kad viešųjų pirkimų, perkančiųjų subjektų atliekamų pirkimų (toliau kartu – viešieji pirkimai) ir koncesijų suteikimo procedūrų metu būtų įsigyjamos energiją efektyviai vartojančios prekės, paslaugos, darbai ir pastatai, taip prisidedant prie energijos vartojimo efektyvumo didinimo. Perkančiosios organizacijos ir perkantieji subjektai, įsigydami ar nuomodami esamus pastatus pagal specialiąsias teisės aktų nustatytas tvarkas, vadovaujasi Lietuvos Respublikos energijos vartojimo efektyvumo didinimo įstatymo 3 straipsnio 4 dalyje nustatytu energijos vartojimo efektyvumo didinimo pirmumo principu.</w:t>
                  </w:r>
                </w:p>
              </w:sdtContent>
            </w:sdt>
            <w:sdt>
              <w:sdtPr>
                <w:alias w:val="3 p."/>
                <w:tag w:val="part_5f97c786e9c641edb9a34212e9d22914"/>
                <w:lock w:val="sdtLocked"/>
                <w:richText/>
              </w:sdtPr>
              <w:sdtContent>
                <w:p>
                  <w:pPr>
                    <w:tabs>
                      <w:tab w:val="left" w:pos="851"/>
                      <w:tab w:val="left" w:pos="993"/>
                    </w:tabs>
                    <w:ind w:firstLine="709"/>
                    <w:jc w:val="both"/>
                  </w:pPr>
                  <w:sdt>
                    <w:sdtPr>
                      <w:alias w:val="Numeris"/>
                      <w:tag w:val="nr_5f97c786e9c641edb9a34212e9d22914"/>
                      <w:lock w:val="sdtLocked"/>
                      <w:richText/>
                    </w:sdtPr>
                    <w:sdtContent>
                      <w:r>
                        <w:t>3</w:t>
                      </w:r>
                    </w:sdtContent>
                  </w:sdt>
                  <w:r>
                    <w:t>.</w:t>
                    <w:tab/>
                    <w:t>Tvarkos apraše vartojamos sąvokos suprantamos taip, kaip jos apibrėžtos Energijos vartojimo efektyvumo didinimo įstatyme, Lietuvos Respublikos atsinaujinančių išteklių energetikos įstatyme, Viešųjų pirkimų įstatyme, Pirkimų, atliekamų vandentvarkos, energetikos, transporto ar pašto paslaugų srities perkančiųjų subjektų įstatyme, Koncesijų įstatyme.</w:t>
                  </w:r>
                </w:p>
                <w:p>
                  <w:pPr>
                    <w:jc w:val="both"/>
                  </w:pPr>
                </w:p>
              </w:sdtContent>
            </w:sdt>
          </w:sdtContent>
        </w:sdt>
        <w:sdt>
          <w:sdtPr>
            <w:alias w:val="skyrius"/>
            <w:tag w:val="part_1181a5d101014bceb88d8b2a1c1ec56b"/>
            <w:lock w:val="sdtLocked"/>
            <w:richText/>
          </w:sdtPr>
          <w:sdtContent>
            <w:p>
              <w:pPr>
                <w:suppressAutoHyphens/>
                <w:jc w:val="center"/>
                <w:rPr>
                  <w:b/>
                  <w:bCs/>
                  <w:szCs w:val="24"/>
                  <w:lang w:val="lt" w:eastAsia="lt-LT"/>
                </w:rPr>
              </w:pPr>
              <w:sdt>
                <w:sdtPr>
                  <w:alias w:val="Numeris"/>
                  <w:tag w:val="nr_1181a5d101014bceb88d8b2a1c1ec56b"/>
                  <w:lock w:val="sdtLocked"/>
                  <w:richText/>
                </w:sdtPr>
                <w:sdtContent>
                  <w:r>
                    <w:rPr>
                      <w:b/>
                      <w:bCs/>
                      <w:szCs w:val="24"/>
                      <w:lang w:val="lt" w:eastAsia="lt-LT"/>
                    </w:rPr>
                    <w:t>II</w:t>
                  </w:r>
                </w:sdtContent>
              </w:sdt>
              <w:r>
                <w:rPr>
                  <w:b/>
                  <w:bCs/>
                  <w:szCs w:val="24"/>
                  <w:lang w:val="lt" w:eastAsia="lt-LT"/>
                </w:rPr>
                <w:t xml:space="preserve"> SKYRIUS</w:t>
              </w:r>
            </w:p>
            <w:p>
              <w:pPr>
                <w:suppressAutoHyphens/>
                <w:jc w:val="center"/>
                <w:rPr>
                  <w:b/>
                  <w:bCs/>
                  <w:szCs w:val="24"/>
                  <w:lang w:val="lt" w:eastAsia="lt-LT"/>
                </w:rPr>
              </w:pPr>
              <w:sdt>
                <w:sdtPr>
                  <w:alias w:val="Pavadinimas"/>
                  <w:tag w:val="title_1181a5d101014bceb88d8b2a1c1ec56b"/>
                  <w:lock w:val="sdtLocked"/>
                  <w:richText/>
                </w:sdtPr>
                <w:sdtContent>
                  <w:r>
                    <w:rPr>
                      <w:b/>
                      <w:bCs/>
                      <w:szCs w:val="24"/>
                      <w:lang w:val="lt" w:eastAsia="lt-LT"/>
                    </w:rPr>
                    <w:t>ENERGIJOS VARTOJIMO EFEKTYVUMO REIKALAVIMAI</w:t>
                  </w:r>
                  <w:r>
                    <w:t xml:space="preserve"> </w:t>
                  </w:r>
                  <w:r>
                    <w:rPr>
                      <w:b/>
                      <w:bCs/>
                      <w:szCs w:val="24"/>
                      <w:lang w:val="lt" w:eastAsia="lt-LT"/>
                    </w:rPr>
                    <w:t>PREKĖMS, PASLAUGOMS, DARBAMS IR PASTATAMS</w:t>
                  </w:r>
                </w:sdtContent>
              </w:sdt>
            </w:p>
            <w:p>
              <w:pPr>
                <w:suppressAutoHyphens/>
                <w:jc w:val="center"/>
              </w:pPr>
            </w:p>
            <w:sdt>
              <w:sdtPr>
                <w:alias w:val="4 p."/>
                <w:tag w:val="part_e0ebe605d4d843aa830b18624c57ef2f"/>
                <w:lock w:val="sdtLocked"/>
                <w:richText/>
              </w:sdtPr>
              <w:sdtContent>
                <w:p>
                  <w:pPr>
                    <w:tabs>
                      <w:tab w:val="left" w:pos="851"/>
                      <w:tab w:val="left" w:pos="993"/>
                    </w:tabs>
                    <w:ind w:firstLine="709"/>
                    <w:jc w:val="both"/>
                  </w:pPr>
                  <w:sdt>
                    <w:sdtPr>
                      <w:alias w:val="Numeris"/>
                      <w:tag w:val="nr_e0ebe605d4d843aa830b18624c57ef2f"/>
                      <w:lock w:val="sdtLocked"/>
                      <w:richText/>
                    </w:sdtPr>
                    <w:sdtContent>
                      <w:r>
                        <w:t>4</w:t>
                      </w:r>
                    </w:sdtContent>
                  </w:sdt>
                  <w:r>
                    <w:t>.</w:t>
                    <w:tab/>
                    <w:t xml:space="preserve"> Perkančiosios organizacijos, perkantieji subjektai ir suteikiančiosios institucijos, vykdydamos viešųjų pirkimų ir koncesijų suteikimo procedūras, turi:</w:t>
                  </w:r>
                </w:p>
                <w:sdt>
                  <w:sdtPr>
                    <w:alias w:val="4.1 pp."/>
                    <w:tag w:val="part_f3ce24bcd0eb43ccbf1b62c8f7d0cb69"/>
                    <w:lock w:val="sdtLocked"/>
                    <w:richText/>
                  </w:sdtPr>
                  <w:sdtContent>
                    <w:p>
                      <w:pPr>
                        <w:tabs>
                          <w:tab w:val="left" w:pos="1134"/>
                        </w:tabs>
                        <w:ind w:firstLine="709"/>
                        <w:jc w:val="both"/>
                      </w:pPr>
                      <w:sdt>
                        <w:sdtPr>
                          <w:alias w:val="Numeris"/>
                          <w:tag w:val="nr_f3ce24bcd0eb43ccbf1b62c8f7d0cb69"/>
                          <w:lock w:val="sdtLocked"/>
                          <w:richText/>
                        </w:sdtPr>
                        <w:sdtContent>
                          <w:r>
                            <w:t>4.1</w:t>
                          </w:r>
                        </w:sdtContent>
                      </w:sdt>
                      <w:r>
                        <w:t>.</w:t>
                        <w:tab/>
                        <w:t>prieš pradėdamos viešųjų pirkimų ar koncesijų suteikimo procedūras užtikrinti Energijos vartojimo efektyvumo didinimo įstatymo 4 straipsnio nuostatų įgyvendinimą ir atitinkamai taikyti Energijos vartojimo efektyvumo didinimo įstatymo 3 straipsnio 4 dalyje nustatytą energijos vartojimo efektyvumo didinimo pirmumo principą;</w:t>
                      </w:r>
                    </w:p>
                  </w:sdtContent>
                </w:sdt>
                <w:sdt>
                  <w:sdtPr>
                    <w:alias w:val="4.2 pp."/>
                    <w:tag w:val="part_f0b90f35943c4220b8d8a7fb3ba04d06"/>
                    <w:lock w:val="sdtLocked"/>
                    <w:richText/>
                  </w:sdtPr>
                  <w:sdtContent>
                    <w:p>
                      <w:pPr>
                        <w:tabs>
                          <w:tab w:val="left" w:pos="1134"/>
                        </w:tabs>
                        <w:ind w:firstLine="709"/>
                        <w:jc w:val="both"/>
                      </w:pPr>
                      <w:sdt>
                        <w:sdtPr>
                          <w:alias w:val="Numeris"/>
                          <w:tag w:val="nr_f0b90f35943c4220b8d8a7fb3ba04d06"/>
                          <w:lock w:val="sdtLocked"/>
                          <w:richText/>
                        </w:sdtPr>
                        <w:sdtContent>
                          <w:r>
                            <w:t>4.2</w:t>
                          </w:r>
                        </w:sdtContent>
                      </w:sdt>
                      <w:r>
                        <w:t>.</w:t>
                        <w:tab/>
                        <w:t>vykdydamos prekių, kurios nurodytos Tvarkos aprašo priede (toliau – Prekių sąrašas), viešuosius pirkimus, pirkimo dokumentuose nurodyti, kad:</w:t>
                      </w:r>
                    </w:p>
                    <w:sdt>
                      <w:sdtPr>
                        <w:alias w:val="4.2.1 pp."/>
                        <w:tag w:val="part_e6c0c8ca12094befb7c529ba24afe7b6"/>
                        <w:lock w:val="sdtLocked"/>
                        <w:richText/>
                      </w:sdtPr>
                      <w:sdtContent>
                        <w:p>
                          <w:pPr>
                            <w:tabs>
                              <w:tab w:val="left" w:pos="709"/>
                            </w:tabs>
                            <w:ind w:firstLine="709"/>
                            <w:jc w:val="both"/>
                          </w:pPr>
                          <w:sdt>
                            <w:sdtPr>
                              <w:alias w:val="Numeris"/>
                              <w:tag w:val="nr_e6c0c8ca12094befb7c529ba24afe7b6"/>
                              <w:lock w:val="sdtLocked"/>
                              <w:richText/>
                            </w:sdtPr>
                            <w:sdtContent>
                              <w:r>
                                <w:t>4.2.1</w:t>
                              </w:r>
                            </w:sdtContent>
                          </w:sdt>
                          <w:r>
                            <w:t>.</w:t>
                            <w:tab/>
                            <w:t xml:space="preserve">prekės, išskyrus padangas, turi atitikti vieną iš dviejų aukščiausių energijos vartojimo efektyvumo klasių (prieinamų Europos Sąjungos rinkoje), nustatytų pagal Europos Komisijos deleguotuosius reglamentus, priimtus vadovaujantis 2017 m. liepos 4 d. Europos Parlamento ir Tarybos reglamentu </w:t>
                          </w:r>
                          <w:hyperlink r:id="rId153" w:tgtFrame="_blank" w:history="1">
                            <w:r>
                              <w:rPr>
                                <w:color w:val="0000FF" w:themeColor="hyperlink"/>
                                <w:u w:val="single"/>
                              </w:rPr>
                              <w:t>(ES) 2017/1369</w:t>
                            </w:r>
                          </w:hyperlink>
                          <w:r>
                            <w:t xml:space="preserve"> su visais pakeitimais, kuriuo nustatoma energijos vartojimo efektyvumo ženklinimo sistema ir panaikinama Direktyva </w:t>
                          </w:r>
                          <w:hyperlink r:id="rId154" w:tgtFrame="_blank" w:history="1">
                            <w:r>
                              <w:rPr>
                                <w:color w:val="0000FF" w:themeColor="hyperlink"/>
                                <w:u w:val="single"/>
                              </w:rPr>
                              <w:t>2010/30/ES</w:t>
                            </w:r>
                          </w:hyperlink>
                          <w:r>
                            <w:t>. Nustatant dvi aukščiausias energijos vartojimo efektyvumo klases, gali būti remiamasi Europos energijos vartojimo efektyvumo etikete ženklinamų gaminių registro duomenimis. Jeigu konkrečiai prekei energijos vartojimo efektyvumo ženklinimo reikalavimai netaikomi, perkamos prekės turi atitikti Europos Komisijos reglamentuose dėl ekologinio projektavimo nustatytus efektyvaus energijos vartojimo kriterijus;</w:t>
                          </w:r>
                        </w:p>
                      </w:sdtContent>
                    </w:sdt>
                    <w:sdt>
                      <w:sdtPr>
                        <w:alias w:val="4.2.2 pp."/>
                        <w:tag w:val="part_0e3c39e517734ed781a34ca8ea9e0e78"/>
                        <w:lock w:val="sdtLocked"/>
                        <w:richText/>
                      </w:sdtPr>
                      <w:sdtContent>
                        <w:p>
                          <w:pPr>
                            <w:tabs>
                              <w:tab w:val="left" w:pos="709"/>
                            </w:tabs>
                            <w:ind w:firstLine="709"/>
                            <w:jc w:val="both"/>
                          </w:pPr>
                          <w:sdt>
                            <w:sdtPr>
                              <w:alias w:val="Numeris"/>
                              <w:tag w:val="nr_0e3c39e517734ed781a34ca8ea9e0e78"/>
                              <w:lock w:val="sdtLocked"/>
                              <w:richText/>
                            </w:sdtPr>
                            <w:sdtContent>
                              <w:r>
                                <w:t>4.2.2</w:t>
                              </w:r>
                            </w:sdtContent>
                          </w:sdt>
                          <w:r>
                            <w:t>.</w:t>
                            <w:tab/>
                            <w:t xml:space="preserve">padangos turi atitikti aukščiausią degalų naudojimo efektyvumo klasę (prieinamą Europos Sąjungos rinkoje), kaip apibrėžta 2020 m. gegužės 25 d. Europos Parlamento ir Tarybos reglamente </w:t>
                          </w:r>
                          <w:hyperlink r:id="rId155" w:tgtFrame="_blank" w:history="1">
                            <w:r>
                              <w:rPr>
                                <w:color w:val="0000FF" w:themeColor="hyperlink"/>
                                <w:u w:val="single"/>
                              </w:rPr>
                              <w:t>(ES) 2020/740</w:t>
                            </w:r>
                          </w:hyperlink>
                          <w:r>
                            <w:t xml:space="preserve"> dėl padangų ženklinimo pagal degalų naudojimo efektyvumą ir kitus parametrus, kuriuo iš dalies keičiamas Reglamentas </w:t>
                          </w:r>
                          <w:hyperlink r:id="rId156" w:tgtFrame="_blank" w:history="1">
                            <w:r>
                              <w:rPr>
                                <w:color w:val="0000FF" w:themeColor="hyperlink"/>
                                <w:u w:val="single"/>
                              </w:rPr>
                              <w:t>(ES) 2017/1369</w:t>
                            </w:r>
                          </w:hyperlink>
                          <w:r>
                            <w:t xml:space="preserve"> su visais pakeitimais ir panaikinamas Reglamentas </w:t>
                          </w:r>
                          <w:hyperlink r:id="rId157" w:tgtFrame="_blank" w:history="1">
                            <w:r>
                              <w:rPr>
                                <w:color w:val="0000FF" w:themeColor="hyperlink"/>
                                <w:u w:val="single"/>
                              </w:rPr>
                              <w:t>(EB) Nr. 1222/2009</w:t>
                            </w:r>
                          </w:hyperlink>
                          <w:r>
                            <w:t>, išskyrus atvejus, kai dėl saugos ar visuomenės sveikatos priežasčių pagrindžiama, kad būtina įsigyti aukščiausios sukibimo su šlapia danga arba išorinio riedėjimo triukšmo klasės padangas.</w:t>
                          </w:r>
                        </w:p>
                      </w:sdtContent>
                    </w:sdt>
                  </w:sdtContent>
                </w:sdt>
                <w:sdt>
                  <w:sdtPr>
                    <w:alias w:val="4.3 pp."/>
                    <w:tag w:val="part_988524c5cc8f4afe9372fc6ef77b543f"/>
                    <w:lock w:val="sdtLocked"/>
                    <w:richText/>
                  </w:sdtPr>
                  <w:sdtContent>
                    <w:p>
                      <w:pPr>
                        <w:tabs>
                          <w:tab w:val="left" w:pos="993"/>
                          <w:tab w:val="left" w:pos="1134"/>
                        </w:tabs>
                        <w:ind w:firstLine="709"/>
                        <w:jc w:val="both"/>
                      </w:pPr>
                      <w:sdt>
                        <w:sdtPr>
                          <w:alias w:val="Numeris"/>
                          <w:tag w:val="nr_988524c5cc8f4afe9372fc6ef77b543f"/>
                          <w:lock w:val="sdtLocked"/>
                          <w:richText/>
                        </w:sdtPr>
                        <w:sdtContent>
                          <w:r>
                            <w:t>4.3</w:t>
                          </w:r>
                        </w:sdtContent>
                      </w:sdt>
                      <w:r>
                        <w:t>.</w:t>
                        <w:tab/>
                        <w:t>vykdydami paslaugų teikimo ir darbų viešuosius pirkimus ir koncesijų suteikimo procedūras, pirkimo ir koncesijų dokumentuose privalo nurodyti, kad jeigu paslaugų teikėjai perkamai paslaugai teikti arba koncesininkai suteikiamai koncesijai naudos ir įsigis Prekių sąraše nurodytas naujas prekes, šios prekės turi atitikti Tvarkos aprašo 4.2 papunkčio reikalavimus. Šis reikalavimas taikomas tik naujoms prekėms, kurias paslaugų teikėjas ar koncesininkas įsigyja vykdydamas sutartį;</w:t>
                      </w:r>
                    </w:p>
                  </w:sdtContent>
                </w:sdt>
                <w:sdt>
                  <w:sdtPr>
                    <w:alias w:val="4.4 pp."/>
                    <w:tag w:val="part_b5e83b32a1d14fa2b662eeac17b022f3"/>
                    <w:lock w:val="sdtLocked"/>
                    <w:richText/>
                  </w:sdtPr>
                  <w:sdtContent>
                    <w:p>
                      <w:pPr>
                        <w:tabs>
                          <w:tab w:val="left" w:pos="1134"/>
                        </w:tabs>
                        <w:ind w:firstLine="709"/>
                        <w:jc w:val="both"/>
                      </w:pPr>
                      <w:sdt>
                        <w:sdtPr>
                          <w:alias w:val="Numeris"/>
                          <w:tag w:val="nr_b5e83b32a1d14fa2b662eeac17b022f3"/>
                          <w:lock w:val="sdtLocked"/>
                          <w:richText/>
                        </w:sdtPr>
                        <w:sdtContent>
                          <w:r>
                            <w:t>4.4</w:t>
                          </w:r>
                        </w:sdtContent>
                      </w:sdt>
                      <w:r>
                        <w:t>.</w:t>
                        <w:tab/>
                        <w:t>pirkdami energijos taupymo paslaugas, siekti sudaryti ne trumpesnes kaip 36 mėnesių trukmės sutartis, jeigu jos padės efektyvinti energijos vartojimą sutarties laikotarpiui, atsižvelgdami į Viešųjų pirkimų įstatymo 86 straipsnio 5 dalyje nustatytas galimybes sudaryti ilgesnes nei 3 metų sutartis.</w:t>
                      </w:r>
                    </w:p>
                  </w:sdtContent>
                </w:sdt>
              </w:sdtContent>
            </w:sdt>
            <w:sdt>
              <w:sdtPr>
                <w:alias w:val="5 p."/>
                <w:tag w:val="part_6a24c8266efe439e9ac5a3a30f3ae786"/>
                <w:lock w:val="sdtLocked"/>
                <w:richText/>
              </w:sdtPr>
              <w:sdtContent>
                <w:p>
                  <w:pPr>
                    <w:tabs>
                      <w:tab w:val="left" w:pos="993"/>
                    </w:tabs>
                    <w:ind w:firstLine="709"/>
                    <w:jc w:val="both"/>
                  </w:pPr>
                  <w:sdt>
                    <w:sdtPr>
                      <w:alias w:val="Numeris"/>
                      <w:tag w:val="nr_6a24c8266efe439e9ac5a3a30f3ae786"/>
                      <w:lock w:val="sdtLocked"/>
                      <w:richText/>
                    </w:sdtPr>
                    <w:sdtContent>
                      <w:r>
                        <w:t>5</w:t>
                      </w:r>
                    </w:sdtContent>
                  </w:sdt>
                  <w:r>
                    <w:t>.</w:t>
                    <w:tab/>
                    <w:t>Perkančiosios organizacijos, perkantieji subjektai ar suteikiančiosios institucijos gali nuspręsti įsigyti prekes ar vykdyti koncesijų suteikimo procedūras ne šio Tvarkos aprašo 4.1–4.3 papunkčiuose nustatyta tvarka, dokumentais (pasirengimo viešajam pirkimui ir koncesijos suteikimui metu gautos informacijos pagrindu atlikta analize, tam tikro prekių gamintojo dokumentacija ir kt.) pagrįsdamos tokius sprendimus, jeigu yra bent viena iš šių aplinkybių:</w:t>
                  </w:r>
                </w:p>
                <w:sdt>
                  <w:sdtPr>
                    <w:alias w:val="5.1 pp."/>
                    <w:tag w:val="part_75926f0de7074b019213063729032691"/>
                    <w:lock w:val="sdtLocked"/>
                    <w:richText/>
                  </w:sdtPr>
                  <w:sdtContent>
                    <w:p>
                      <w:pPr>
                        <w:tabs>
                          <w:tab w:val="left" w:pos="1134"/>
                        </w:tabs>
                        <w:ind w:firstLine="709"/>
                        <w:jc w:val="both"/>
                      </w:pPr>
                      <w:sdt>
                        <w:sdtPr>
                          <w:alias w:val="Numeris"/>
                          <w:tag w:val="nr_75926f0de7074b019213063729032691"/>
                          <w:lock w:val="sdtLocked"/>
                          <w:richText/>
                        </w:sdtPr>
                        <w:sdtContent>
                          <w:r>
                            <w:t>5.1</w:t>
                          </w:r>
                        </w:sdtContent>
                      </w:sdt>
                      <w:r>
                        <w:t>.</w:t>
                        <w:tab/>
                        <w:t>Tvarkos aprašo 4.1–4.2 papunkčiuose nurodytų pareigų laikymasis darytų neigiamą įtaką viešajam saugumui arba trukdytų reaguoti į ekstremaliąsias visuomenės sveikatos situacijas, kaip jos suprantamos pagal Lietuvos Respublikos sveikatos sistemos įstatymą;</w:t>
                      </w:r>
                    </w:p>
                  </w:sdtContent>
                </w:sdt>
                <w:sdt>
                  <w:sdtPr>
                    <w:alias w:val="5.2 pp."/>
                    <w:tag w:val="part_9bf64192e50349e590f8e4f77276a71b"/>
                    <w:lock w:val="sdtLocked"/>
                    <w:richText/>
                  </w:sdtPr>
                  <w:sdtContent>
                    <w:p>
                      <w:pPr>
                        <w:tabs>
                          <w:tab w:val="left" w:pos="1134"/>
                        </w:tabs>
                        <w:ind w:firstLine="709"/>
                        <w:jc w:val="both"/>
                      </w:pPr>
                      <w:sdt>
                        <w:sdtPr>
                          <w:alias w:val="Numeris"/>
                          <w:tag w:val="nr_9bf64192e50349e590f8e4f77276a71b"/>
                          <w:lock w:val="sdtLocked"/>
                          <w:richText/>
                        </w:sdtPr>
                        <w:sdtContent>
                          <w:r>
                            <w:t>5.2</w:t>
                          </w:r>
                        </w:sdtContent>
                      </w:sdt>
                      <w:r>
                        <w:t>.</w:t>
                        <w:tab/>
                        <w:t>Europos Sąjungos rinkoje nėra Tvarkos aprašo 4.1–4.2 papunkčiuose nurodytų energijos vartojimo efektyvumo klasių prekių, tokiu atveju privaloma įsigyti aukščiausios Europos Sąjungos rinkoje prieinamos energijos vartojimo efektyvumo klasės prekę, o jei tokia klasė nėra prieinama – artimiausios žemesnės prieinamos klasės prekę;</w:t>
                      </w:r>
                    </w:p>
                  </w:sdtContent>
                </w:sdt>
                <w:sdt>
                  <w:sdtPr>
                    <w:alias w:val="5.3 pp."/>
                    <w:tag w:val="part_b3b60dddc297451ab8451abcd10c63f5"/>
                    <w:lock w:val="sdtLocked"/>
                    <w:richText/>
                  </w:sdtPr>
                  <w:sdtContent>
                    <w:p>
                      <w:pPr>
                        <w:tabs>
                          <w:tab w:val="left" w:pos="1134"/>
                        </w:tabs>
                        <w:ind w:firstLine="709"/>
                        <w:jc w:val="both"/>
                      </w:pPr>
                      <w:sdt>
                        <w:sdtPr>
                          <w:alias w:val="Numeris"/>
                          <w:tag w:val="nr_b3b60dddc297451ab8451abcd10c63f5"/>
                          <w:lock w:val="sdtLocked"/>
                          <w:richText/>
                        </w:sdtPr>
                        <w:sdtContent>
                          <w:r>
                            <w:t>5.3</w:t>
                          </w:r>
                        </w:sdtContent>
                      </w:sdt>
                      <w:r>
                        <w:t>.</w:t>
                        <w:tab/>
                        <w:t>kai laikytis Tvarkos aprašo 4.1–4.2 papunkčiuose nurodytų reikalavimų yra techniškai neįmanoma, t. y. esant kuriai nors vienai ar kelioms iš šių aplinkybių: reikalavimų neįmanoma taikyti dėl prekių techninių savybių, egzistuoja įvairūs technologiniai apribojimai arba techninis nesuderinamumas su esama infrastruktūra, programine įranga ar technologiniais sprendimais.</w:t>
                      </w:r>
                    </w:p>
                  </w:sdtContent>
                </w:sdt>
              </w:sdtContent>
            </w:sdt>
            <w:sdt>
              <w:sdtPr>
                <w:alias w:val="6 p."/>
                <w:tag w:val="part_b68ccae3f90845aa8cd8c4efbe63280d"/>
                <w:lock w:val="sdtLocked"/>
                <w:richText/>
              </w:sdtPr>
              <w:sdtContent>
                <w:p>
                  <w:pPr>
                    <w:tabs>
                      <w:tab w:val="left" w:pos="993"/>
                    </w:tabs>
                    <w:ind w:firstLine="709"/>
                    <w:jc w:val="both"/>
                  </w:pPr>
                  <w:sdt>
                    <w:sdtPr>
                      <w:alias w:val="Numeris"/>
                      <w:tag w:val="nr_b68ccae3f90845aa8cd8c4efbe63280d"/>
                      <w:lock w:val="sdtLocked"/>
                      <w:richText/>
                    </w:sdtPr>
                    <w:sdtContent>
                      <w:r>
                        <w:t>6</w:t>
                      </w:r>
                    </w:sdtContent>
                  </w:sdt>
                  <w:r>
                    <w:t>.</w:t>
                    <w:tab/>
                    <w:t>Perkančiosios organizacijos, įsigydamos ar nuomodamos esamus pastatus ar kitus nekilnojamuosius daiktus, vadovaujasi Viešųjų pirkimų įstatymo 6 straipsnio 1 dalyje nustatyta išimtimi bei</w:t>
                  </w:r>
                  <w:r>
                    <w:rPr>
                      <w:rFonts w:ascii="TimesNewRomanPSMT" w:hAnsi="TimesNewRomanPSMT" w:cs="TimesNewRomanPSMT"/>
                    </w:rPr>
                    <w:t xml:space="preserve"> Žemės, esamų pastatų ar kitų nekilnojamųjų daiktų įsigijimo arba nuomos ar teisių į šiuos daiktus įsigijimo tvarkos aprašu patvirtintu, </w:t>
                  </w:r>
                  <w:r>
                    <w:t xml:space="preserve">Lietuvos Respublikos Vyriausybės 2017 m. gruodžio 13 d. nutarimu Nr. 1036 „Dėl Žemės, esamų pastatų ar kitų nekilnojamųjų daiktų įsigijimo arba nuomos ar teisių į šiuos daiktus įsigijimo tvarkos aprašo patvirtinimo“. </w:t>
                  </w:r>
                </w:p>
              </w:sdtContent>
            </w:sdt>
            <w:sdt>
              <w:sdtPr>
                <w:alias w:val="7 p."/>
                <w:tag w:val="part_36c12ca3a5d040668e3608afc1d3c944"/>
                <w:lock w:val="sdtLocked"/>
                <w:richText/>
              </w:sdtPr>
              <w:sdtContent>
                <w:p>
                  <w:pPr>
                    <w:tabs>
                      <w:tab w:val="left" w:pos="993"/>
                    </w:tabs>
                    <w:ind w:firstLine="709"/>
                    <w:jc w:val="both"/>
                  </w:pPr>
                  <w:sdt>
                    <w:sdtPr>
                      <w:alias w:val="Numeris"/>
                      <w:tag w:val="nr_36c12ca3a5d040668e3608afc1d3c944"/>
                      <w:lock w:val="sdtLocked"/>
                      <w:richText/>
                    </w:sdtPr>
                    <w:sdtContent>
                      <w:r>
                        <w:t>7</w:t>
                      </w:r>
                    </w:sdtContent>
                  </w:sdt>
                  <w:r>
                    <w:t>.</w:t>
                    <w:tab/>
                    <w:t>Perkantieji subjektai, įsigydami ar nuomodami esamus pastatus ar kitus nekilnojamuosius daiktus, vadovaujasi Pirkimų, atliekamų vandentvarkos, energetikos, transporto ar pašto paslaugų srities perkančiųjų subjektų įstatyme nustatytomis išimtimis ir savo patvirtinta tvarka.</w:t>
                  </w:r>
                </w:p>
              </w:sdtContent>
            </w:sdt>
            <w:sdt>
              <w:sdtPr>
                <w:alias w:val="8 p."/>
                <w:tag w:val="part_c29a762afd6d44c38fb359e784777800"/>
                <w:lock w:val="sdtLocked"/>
                <w:richText/>
              </w:sdtPr>
              <w:sdtContent>
                <w:p>
                  <w:pPr>
                    <w:tabs>
                      <w:tab w:val="left" w:pos="993"/>
                    </w:tabs>
                    <w:ind w:firstLine="709"/>
                    <w:jc w:val="both"/>
                  </w:pPr>
                  <w:sdt>
                    <w:sdtPr>
                      <w:alias w:val="Numeris"/>
                      <w:tag w:val="nr_c29a762afd6d44c38fb359e784777800"/>
                      <w:lock w:val="sdtLocked"/>
                      <w:richText/>
                    </w:sdtPr>
                    <w:sdtContent>
                      <w:r>
                        <w:t>8</w:t>
                      </w:r>
                    </w:sdtContent>
                  </w:sdt>
                  <w:r>
                    <w:t>.</w:t>
                    <w:tab/>
                    <w:t xml:space="preserve">Perkančiosios organizacijos, perkantieji subjektai ir suteikiančiosios institucijos, vykdydamos viešųjų pirkimų ar koncesijų suteikimo procedūras, kai įsigyjami ar nuomojami nauji pastatai arba suteikiamos koncesijos, susijusios su naujų pastatų statyba, privalo užtikrinti, kad naujai statomi pastatai atitiktų Lietuvos Respublikos statybos įstatyme nustatytus energijos beveik nevartojančių pastatų reikalavimus ir atitiktis </w:t>
                  </w:r>
                  <w:r>
                    <w:rPr>
                      <w:color w:val="000000"/>
                    </w:rPr>
                    <w:t>energijos beveik nevartojančio pastato reikalavimams turi būti pagrįsta</w:t>
                  </w:r>
                  <w:r>
                    <w:t xml:space="preserve"> energinio naudingumo sertifikatu. Šie reikalavimai netaikomi, kai pastatas yra nekilnojamoji kultūros vertybė, perkančiosios organizacijos, perkantieji subjektai ir suteikiančiosios institucijos planuoja pastatą perparduoti nenaudojant</w:t>
                  </w:r>
                  <w:r>
                    <w:rPr>
                      <w:b/>
                    </w:rPr>
                    <w:t xml:space="preserve"> </w:t>
                  </w:r>
                  <w:r>
                    <w:t>savo funkcijoms atlikti, taip pat kai numatoma atlikti esminį pastato atnaujinimą, kurio reikalavimai nustatyti teisės aktuose, arba griovimo darbus.</w:t>
                  </w:r>
                </w:p>
              </w:sdtContent>
            </w:sdt>
            <w:sdt>
              <w:sdtPr>
                <w:alias w:val="9 p."/>
                <w:tag w:val="part_11b75f8c749e43d69c5a6a46cce9b639"/>
                <w:lock w:val="sdtLocked"/>
                <w:richText/>
              </w:sdtPr>
              <w:sdtContent>
                <w:p>
                  <w:pPr>
                    <w:tabs>
                      <w:tab w:val="left" w:pos="993"/>
                    </w:tabs>
                    <w:ind w:firstLine="709"/>
                    <w:jc w:val="both"/>
                  </w:pPr>
                  <w:sdt>
                    <w:sdtPr>
                      <w:alias w:val="Numeris"/>
                      <w:tag w:val="nr_11b75f8c749e43d69c5a6a46cce9b639"/>
                      <w:lock w:val="sdtLocked"/>
                      <w:richText/>
                    </w:sdtPr>
                    <w:sdtContent>
                      <w:r>
                        <w:t>9</w:t>
                      </w:r>
                    </w:sdtContent>
                  </w:sdt>
                  <w:r>
                    <w:t>.</w:t>
                    <w:tab/>
                    <w:t>Perkančiosioms organizacijoms ir perkantiesiems subjektams įsigyjantiems ar nuomojantiems esamus pastatus, kai tai techniškai ir ekonomiškai pagrįsta, turi</w:t>
                  </w:r>
                  <w:r>
                    <w:rPr>
                      <w:b/>
                      <w:bCs/>
                    </w:rPr>
                    <w:t xml:space="preserve"> </w:t>
                  </w:r>
                  <w:r>
                    <w:t>siekti taikyti energijos vartojimo efektyvumo didinimo pirmumo principą ir pirmenybę teikti energijos beveik nevartojantiems pastatams.</w:t>
                  </w:r>
                </w:p>
                <w:p>
                  <w:pPr>
                    <w:jc w:val="both"/>
                  </w:pPr>
                </w:p>
              </w:sdtContent>
            </w:sdt>
          </w:sdtContent>
        </w:sdt>
        <w:sdt>
          <w:sdtPr>
            <w:alias w:val="skyrius"/>
            <w:tag w:val="part_76d8928265434e46be108af289ce66a9"/>
            <w:lock w:val="sdtLocked"/>
            <w:richText/>
          </w:sdtPr>
          <w:sdtContent>
            <w:p>
              <w:pPr>
                <w:suppressAutoHyphens/>
                <w:jc w:val="center"/>
                <w:rPr>
                  <w:b/>
                  <w:bCs/>
                  <w:szCs w:val="24"/>
                  <w:lang w:val="lt" w:eastAsia="lt-LT"/>
                </w:rPr>
              </w:pPr>
              <w:sdt>
                <w:sdtPr>
                  <w:alias w:val="Numeris"/>
                  <w:tag w:val="nr_76d8928265434e46be108af289ce66a9"/>
                  <w:lock w:val="sdtLocked"/>
                  <w:richText/>
                </w:sdtPr>
                <w:sdtContent>
                  <w:r>
                    <w:rPr>
                      <w:b/>
                      <w:bCs/>
                      <w:szCs w:val="24"/>
                      <w:lang w:val="lt" w:eastAsia="lt-LT"/>
                    </w:rPr>
                    <w:t>III</w:t>
                  </w:r>
                </w:sdtContent>
              </w:sdt>
              <w:r>
                <w:rPr>
                  <w:b/>
                  <w:bCs/>
                  <w:szCs w:val="24"/>
                  <w:lang w:val="lt" w:eastAsia="lt-LT"/>
                </w:rPr>
                <w:t xml:space="preserve"> SKYRIUS</w:t>
              </w:r>
            </w:p>
            <w:p>
              <w:pPr>
                <w:suppressAutoHyphens/>
                <w:jc w:val="center"/>
                <w:rPr>
                  <w:b/>
                  <w:bCs/>
                  <w:szCs w:val="24"/>
                  <w:lang w:val="lt" w:eastAsia="lt-LT"/>
                </w:rPr>
              </w:pPr>
              <w:sdt>
                <w:sdtPr>
                  <w:alias w:val="Pavadinimas"/>
                  <w:tag w:val="title_76d8928265434e46be108af289ce66a9"/>
                  <w:lock w:val="sdtLocked"/>
                  <w:richText/>
                </w:sdtPr>
                <w:sdtContent>
                  <w:r>
                    <w:rPr>
                      <w:b/>
                      <w:bCs/>
                      <w:szCs w:val="24"/>
                      <w:lang w:val="lt" w:eastAsia="lt-LT"/>
                    </w:rPr>
                    <w:t>BAIGIAMOSIOS NUOSTATOS</w:t>
                  </w:r>
                </w:sdtContent>
              </w:sdt>
            </w:p>
            <w:p>
              <w:pPr>
                <w:suppressAutoHyphens/>
                <w:jc w:val="center"/>
              </w:pPr>
            </w:p>
            <w:sdt>
              <w:sdtPr>
                <w:alias w:val="10 p."/>
                <w:tag w:val="part_0e9612ac160a439b9248354f350f516f"/>
                <w:lock w:val="sdtLocked"/>
                <w:richText/>
              </w:sdtPr>
              <w:sdtContent>
                <w:p>
                  <w:pPr>
                    <w:tabs>
                      <w:tab w:val="left" w:pos="851"/>
                      <w:tab w:val="left" w:pos="1134"/>
                    </w:tabs>
                    <w:ind w:firstLine="709"/>
                    <w:jc w:val="both"/>
                    <w:rPr>
                      <w:strike/>
                    </w:rPr>
                  </w:pPr>
                  <w:sdt>
                    <w:sdtPr>
                      <w:alias w:val="Numeris"/>
                      <w:tag w:val="nr_0e9612ac160a439b9248354f350f516f"/>
                      <w:lock w:val="sdtLocked"/>
                      <w:richText/>
                    </w:sdtPr>
                    <w:sdtContent>
                      <w:r>
                        <w:t>10</w:t>
                      </w:r>
                    </w:sdtContent>
                  </w:sdt>
                  <w:r>
                    <w:t>.</w:t>
                    <w:tab/>
                    <w:t>Tvarkos</w:t>
                  </w:r>
                  <w:r>
                    <w:rPr>
                      <w:szCs w:val="24"/>
                      <w:lang w:eastAsia="lt-LT"/>
                    </w:rPr>
                    <w:t xml:space="preserve"> aprašo 4 ir 5 punktų reikalavimai netaikomi, jei tai kenkia viešajam saugumui arba trukdo reaguoti į ekstremaliąsias visuomenės sveikatos situacijas. Tvarkos aprašo 4 ir 5 punktuose nurodytos pareigos taikomos ginkluotųjų pajėgų sutartims, tačiau tik tokia apimtimi, kad jų taikymas neprieštarautų ginkluotųjų pajėgų veiklos pobūdžiui ir svarbiausiam tikslui. Pareigos netaikomos karinės įrangos tiekimo sutartims,</w:t>
                  </w:r>
                  <w:r>
                    <w:t xml:space="preserve"> </w:t>
                  </w:r>
                  <w:r>
                    <w:rPr>
                      <w:szCs w:val="24"/>
                      <w:lang w:eastAsia="lt-LT"/>
                    </w:rPr>
                    <w:t>kaip jos suprantamos Lietuvos Respublikos viešųjų pirkimų, atliekamų gynybos ir saugumo srityje, įstatyme.</w:t>
                  </w:r>
                </w:p>
              </w:sdtContent>
            </w:sdt>
            <w:sdt>
              <w:sdtPr>
                <w:alias w:val="11 p."/>
                <w:tag w:val="part_562458ba760e472eb5311be73b354ca2"/>
                <w:lock w:val="sdtLocked"/>
                <w:richText/>
              </w:sdtPr>
              <w:sdtContent>
                <w:p>
                  <w:pPr>
                    <w:tabs>
                      <w:tab w:val="left" w:pos="851"/>
                      <w:tab w:val="left" w:pos="1134"/>
                    </w:tabs>
                    <w:ind w:firstLine="709"/>
                    <w:jc w:val="both"/>
                  </w:pPr>
                  <w:sdt>
                    <w:sdtPr>
                      <w:alias w:val="Numeris"/>
                      <w:tag w:val="nr_562458ba760e472eb5311be73b354ca2"/>
                      <w:lock w:val="sdtLocked"/>
                      <w:richText/>
                    </w:sdtPr>
                    <w:sdtContent>
                      <w:r>
                        <w:t>11</w:t>
                      </w:r>
                    </w:sdtContent>
                  </w:sdt>
                  <w:r>
                    <w:t>.</w:t>
                    <w:tab/>
                    <w:t>Mažos vertės viešiesiems pirkimams šio Tvarkos aprašo reikalavimai yra rekomendacinio pobūdžio, tačiau perkančiosios organizacijos turėtų siekti juos taikyti, kai tai nesukelia neproporcingos administracinės ar finansinės naštos.</w:t>
                  </w:r>
                </w:p>
              </w:sdtContent>
            </w:sdt>
            <w:sdt>
              <w:sdtPr>
                <w:alias w:val="12 p."/>
                <w:tag w:val="part_6507e73069f9437a8c5f106fee630f12"/>
                <w:lock w:val="sdtLocked"/>
                <w:richText/>
              </w:sdtPr>
              <w:sdtContent>
                <w:p>
                  <w:pPr>
                    <w:tabs>
                      <w:tab w:val="left" w:pos="851"/>
                      <w:tab w:val="left" w:pos="1134"/>
                    </w:tabs>
                    <w:ind w:firstLine="709"/>
                    <w:jc w:val="both"/>
                  </w:pPr>
                  <w:sdt>
                    <w:sdtPr>
                      <w:alias w:val="Numeris"/>
                      <w:tag w:val="nr_6507e73069f9437a8c5f106fee630f12"/>
                      <w:lock w:val="sdtLocked"/>
                      <w:richText/>
                    </w:sdtPr>
                    <w:sdtContent>
                      <w:r>
                        <w:t>12</w:t>
                      </w:r>
                    </w:sdtContent>
                  </w:sdt>
                  <w:r>
                    <w:t>.</w:t>
                    <w:tab/>
                    <w:t>Rekomenduojama, perkant prekių rinkinį, kuris veikia kaip visuma, vertinant pasiūlymus pirmenybę teikti didžiausią bendrą energinio vartojimo efektyvumą užtikrinančiam rinkiniui, o ne atskirų jo sudedamųjų dalių vertinimui, atsižvelgiant į Tvarkos aprašo 4.2.1 papunktyje nustatytus reikalavimus atskiroms prekėms, kurie turi būti taikomi sudedamosioms rinkinio dalims.</w:t>
                  </w:r>
                </w:p>
              </w:sdtContent>
            </w:sdt>
            <w:sdt>
              <w:sdtPr>
                <w:alias w:val="13 p."/>
                <w:tag w:val="part_6d20dbbba7ba4e08866ddb66cad1569f"/>
                <w:lock w:val="sdtLocked"/>
                <w:richText/>
              </w:sdtPr>
              <w:sdtContent>
                <w:p>
                  <w:pPr>
                    <w:tabs>
                      <w:tab w:val="left" w:pos="851"/>
                      <w:tab w:val="left" w:pos="1134"/>
                    </w:tabs>
                    <w:ind w:firstLine="709"/>
                    <w:jc w:val="both"/>
                  </w:pPr>
                  <w:sdt>
                    <w:sdtPr>
                      <w:alias w:val="Numeris"/>
                      <w:tag w:val="nr_6d20dbbba7ba4e08866ddb66cad1569f"/>
                      <w:lock w:val="sdtLocked"/>
                      <w:richText/>
                    </w:sdtPr>
                    <w:sdtContent>
                      <w:r>
                        <w:t>13</w:t>
                      </w:r>
                    </w:sdtContent>
                  </w:sdt>
                  <w:r>
                    <w:t>.</w:t>
                    <w:tab/>
                    <w:t>Sprendimai dėl nukrypimo nuo šio Tvarkos aprašo reikalavimų visais atvejais turi būti pagrįsti rašytine analize, kurioje įvertinamos nukrypimo priežastys, alternatyvos ir galimos pasekmės, ir kuri saugoma kartu su pirkimo ar koncesijos dokumentais.</w:t>
                  </w:r>
                </w:p>
              </w:sdtContent>
            </w:sdt>
          </w:sdtContent>
        </w:sdt>
        <w:sdt>
          <w:sdtPr>
            <w:alias w:val="pabaiga"/>
            <w:tag w:val="part_451f2379933f43779acd33845fa669ac"/>
            <w:lock w:val="sdtLocked"/>
            <w:richText/>
          </w:sdtPr>
          <w:sdtContent>
            <w:p>
              <w:pPr>
                <w:tabs>
                  <w:tab w:val="left" w:pos="1134"/>
                </w:tabs>
                <w:jc w:val="center"/>
              </w:pPr>
              <w:r>
                <w:t>_______________</w:t>
              </w:r>
            </w:p>
          </w:sdtContent>
        </w:sdt>
      </w:sdtContent>
    </w:sdt>
    <w:sdt>
      <w:sdtPr>
        <w:alias w:val="patvirtinta"/>
        <w:tag w:val="part_369a997516674cc29c922f9156896f49"/>
        <w:lock w:val="sdtLocked"/>
        <w:richText/>
      </w:sdtPr>
      <w:sdtContent>
        <w:p>
          <w:pPr>
            <w:ind w:left="5670"/>
            <w:jc w:val="both"/>
            <w:sectPr>
              <w:headerReference w:type="first" r:id="rId21"/>
              <w:pgSz w:w="11906" w:h="16838"/>
              <w:pgMar w:top="1134" w:right="567" w:bottom="1134" w:left="1701" w:header="567" w:footer="567" w:gutter="0"/>
              <w:pgNumType w:start="1"/>
              <w:cols w:space="1296"/>
              <w:titlePg/>
              <w:docGrid w:linePitch="360"/>
            </w:sectPr>
          </w:pPr>
        </w:p>
        <w:p>
          <w:pPr>
            <w:ind w:left="5670"/>
            <w:jc w:val="both"/>
          </w:pPr>
          <w:r>
            <w:t xml:space="preserve">Prekėms, išskyrus kelių transporto </w:t>
          </w:r>
        </w:p>
        <w:p>
          <w:pPr>
            <w:ind w:left="5670"/>
            <w:jc w:val="both"/>
          </w:pPr>
          <w:r>
            <w:t xml:space="preserve">priemones, paslaugoms, darbams ir </w:t>
          </w:r>
        </w:p>
        <w:p>
          <w:pPr>
            <w:ind w:left="5670"/>
            <w:jc w:val="both"/>
          </w:pPr>
          <w:r>
            <w:t xml:space="preserve">pastatams, įsigyjamiems viešųjų pirkimų, </w:t>
          </w:r>
        </w:p>
        <w:p>
          <w:pPr>
            <w:ind w:left="5670"/>
            <w:jc w:val="both"/>
          </w:pPr>
          <w:r>
            <w:t xml:space="preserve">perkančiųjų subjektų atliekamų pirkimų </w:t>
          </w:r>
        </w:p>
        <w:p>
          <w:pPr>
            <w:ind w:left="5670"/>
            <w:jc w:val="both"/>
          </w:pPr>
          <w:r>
            <w:t xml:space="preserve">ir koncesijų suteikimo procedūrų metu, </w:t>
          </w:r>
        </w:p>
        <w:p>
          <w:pPr>
            <w:ind w:left="5670"/>
            <w:jc w:val="both"/>
          </w:pPr>
          <w:r>
            <w:t xml:space="preserve">keliamų energijos vartojimo efektyvumo </w:t>
          </w:r>
        </w:p>
        <w:p>
          <w:pPr>
            <w:ind w:left="5670"/>
            <w:jc w:val="both"/>
          </w:pPr>
          <w:r>
            <w:t xml:space="preserve">rodiklių ir (ar) taikytinų reikalavimų </w:t>
          </w:r>
        </w:p>
        <w:p>
          <w:pPr>
            <w:ind w:left="5670"/>
            <w:jc w:val="both"/>
            <w:rPr>
              <w:szCs w:val="24"/>
            </w:rPr>
          </w:pPr>
          <w:r>
            <w:t>(kriterijų) ir jų taikymo tvarkos aprašo</w:t>
          </w:r>
        </w:p>
        <w:p>
          <w:pPr>
            <w:ind w:left="5670"/>
            <w:jc w:val="both"/>
            <w:rPr>
              <w:szCs w:val="24"/>
            </w:rPr>
          </w:pPr>
          <w:r>
            <w:t>priedas</w:t>
          </w:r>
        </w:p>
        <w:p>
          <w:pPr>
            <w:keepLines/>
            <w:suppressAutoHyphens/>
            <w:jc w:val="center"/>
            <w:textAlignment w:val="center"/>
            <w:rPr>
              <w:b/>
              <w:bCs/>
              <w:caps/>
              <w:color w:val="000000"/>
              <w:szCs w:val="24"/>
            </w:rPr>
          </w:pPr>
        </w:p>
        <w:p>
          <w:pPr>
            <w:keepLines/>
            <w:suppressAutoHyphens/>
            <w:jc w:val="center"/>
            <w:textAlignment w:val="center"/>
            <w:rPr>
              <w:b/>
              <w:bCs/>
              <w:caps/>
              <w:color w:val="000000"/>
              <w:szCs w:val="24"/>
            </w:rPr>
          </w:pPr>
          <w:sdt>
            <w:sdtPr>
              <w:alias w:val="Pavadinimas"/>
              <w:tag w:val="title_369a997516674cc29c922f9156896f49"/>
              <w:lock w:val="sdtLocked"/>
              <w:richText/>
            </w:sdtPr>
            <w:sdtContent>
              <w:r>
                <w:rPr>
                  <w:b/>
                  <w:bCs/>
                  <w:caps/>
                  <w:color w:val="000000"/>
                  <w:szCs w:val="24"/>
                </w:rPr>
                <w:t>Prekių, išskyrus kelių transporto priemones, kurioms viešųjų pirkimų, PERKANČIŲJŲ SUBJEKTŲ ATLIEKAMŲ PIRKIMŲ IR KONCESIJŲ SUTEIKIMO metu</w:t>
              </w:r>
              <w:r>
                <w:t xml:space="preserve"> </w:t>
              </w:r>
              <w:r>
                <w:rPr>
                  <w:b/>
                  <w:bCs/>
                  <w:caps/>
                  <w:color w:val="000000"/>
                  <w:szCs w:val="24"/>
                </w:rPr>
                <w:t>TAIKOMI ENERGIJOS VARTOJIMO EFEKTYVUMO REIKALAVIMAI, sąrašAS</w:t>
              </w:r>
            </w:sdtContent>
          </w:sdt>
        </w:p>
        <w:p>
          <w:pPr>
            <w:suppressAutoHyphens/>
            <w:jc w:val="both"/>
            <w:textAlignment w:val="center"/>
            <w:rPr>
              <w:color w:val="000000"/>
              <w:szCs w:val="24"/>
            </w:rPr>
          </w:pPr>
        </w:p>
        <w:tbl>
          <w:tblPr>
            <w:tblW w:w="5000" w:type="pct"/>
            <w:jc w:val="center"/>
            <w:tblCellMar>
              <w:left w:w="0" w:type="dxa"/>
              <w:right w:w="0" w:type="dxa"/>
            </w:tblCellMar>
            <w:tblLook w:val="0000" w:firstRow="0" w:lastRow="0" w:firstColumn="0" w:lastColumn="0" w:noHBand="0" w:noVBand="0"/>
          </w:tblPr>
          <w:tblGrid>
            <w:gridCol w:w="597"/>
            <w:gridCol w:w="2329"/>
            <w:gridCol w:w="6826"/>
          </w:tblGrid>
          <w:tr>
            <w:trPr>
              <w:trHeight w:val="60"/>
              <w:tblHeader/>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szCs w:val="24"/>
                  </w:rPr>
                </w:pPr>
                <w:r>
                  <w:rPr>
                    <w:color w:val="000000"/>
                    <w:szCs w:val="24"/>
                  </w:rPr>
                  <w:t>Eil. Nr.</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szCs w:val="24"/>
                  </w:rPr>
                </w:pPr>
                <w:r>
                  <w:rPr>
                    <w:color w:val="000000"/>
                    <w:szCs w:val="24"/>
                  </w:rPr>
                  <w:t>Prekės pavadinimas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jc w:val="center"/>
                  <w:textAlignment w:val="center"/>
                  <w:rPr>
                    <w:color w:val="000000"/>
                    <w:szCs w:val="24"/>
                  </w:rPr>
                </w:pPr>
                <w:r>
                  <w:rPr>
                    <w:color w:val="000000"/>
                    <w:szCs w:val="24"/>
                  </w:rPr>
                  <w:t>Teisės aktas, nustatantis energijos vartojimo efektyvumo reikalavimus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szCs w:val="24"/>
                  </w:rPr>
                  <w:t>Buitinės skalbyklės ir skalbyklės–džiovyklės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rFonts w:eastAsia="Calibri"/>
                    <w:szCs w:val="24"/>
                  </w:rPr>
                </w:pPr>
                <w:r>
                  <w:rPr>
                    <w:rFonts w:eastAsia="Calibri"/>
                    <w:szCs w:val="24"/>
                  </w:rPr>
                  <w:t xml:space="preserve">2019 m. kovo 11 d. </w:t>
                </w:r>
                <w:r>
                  <w:rPr>
                    <w:rFonts w:eastAsia="Calibri"/>
                    <w:color w:val="000000"/>
                    <w:szCs w:val="24"/>
                  </w:rPr>
                  <w:t xml:space="preserve">Komisijos deleguotasis reglamentas </w:t>
                </w:r>
                <w:hyperlink r:id="rId22" w:tgtFrame="_blank" w:history="1">
                  <w:r>
                    <w:rPr>
                      <w:rFonts w:eastAsia="Calibri"/>
                      <w:color w:val="0000FF" w:themeColor="hyperlink"/>
                      <w:szCs w:val="24"/>
                      <w:u w:val="single"/>
                    </w:rPr>
                    <w:t>(ES) 2019/2014</w:t>
                  </w:r>
                </w:hyperlink>
                <w:r>
                  <w:rPr>
                    <w:rFonts w:eastAsia="Calibri"/>
                    <w:szCs w:val="24"/>
                  </w:rPr>
                  <w:t xml:space="preserve">, kuriuo Europos Parlamento ir Tarybos reglamentas </w:t>
                </w:r>
                <w:hyperlink r:id="rId23" w:tgtFrame="_blank" w:history="1">
                  <w:r>
                    <w:rPr>
                      <w:rFonts w:eastAsia="Calibri"/>
                      <w:color w:val="0000FF" w:themeColor="hyperlink"/>
                      <w:szCs w:val="24"/>
                      <w:u w:val="single"/>
                    </w:rPr>
                    <w:t>(ES) 2017/1369</w:t>
                  </w:r>
                </w:hyperlink>
                <w:r>
                  <w:rPr>
                    <w:rFonts w:eastAsia="Calibri"/>
                    <w:szCs w:val="24"/>
                  </w:rPr>
                  <w:t xml:space="preserve"> papildomas buitinių skalbyklių ir skalbyklių</w:t>
                </w:r>
                <w:r>
                  <w:rPr>
                    <w:lang w:val="en-US"/>
                  </w:rPr>
                  <w:t>–</w:t>
                </w:r>
                <w:r>
                  <w:rPr>
                    <w:rFonts w:eastAsia="Calibri"/>
                    <w:szCs w:val="24"/>
                  </w:rPr>
                  <w:t xml:space="preserve">džiovyklių energijos vartojimo efektyvumo ženklinimo nuostatomis ir panaikinamas Komisijos deleguotasis reglamentas </w:t>
                </w:r>
                <w:hyperlink r:id="rId24" w:tgtFrame="_blank" w:history="1">
                  <w:r>
                    <w:rPr>
                      <w:rFonts w:eastAsia="Calibri"/>
                      <w:color w:val="0000FF" w:themeColor="hyperlink"/>
                      <w:szCs w:val="24"/>
                      <w:u w:val="single"/>
                    </w:rPr>
                    <w:t>(ES) Nr. 1061/2010</w:t>
                  </w:r>
                </w:hyperlink>
                <w:r>
                  <w:rPr>
                    <w:rFonts w:eastAsia="Calibri"/>
                    <w:szCs w:val="24"/>
                  </w:rPr>
                  <w:t xml:space="preserve"> ir Komisijos direktyva </w:t>
                </w:r>
                <w:hyperlink r:id="rId25" w:tgtFrame="_blank" w:history="1">
                  <w:r>
                    <w:rPr>
                      <w:rFonts w:eastAsia="Calibri"/>
                      <w:color w:val="0000FF" w:themeColor="hyperlink"/>
                      <w:szCs w:val="24"/>
                      <w:u w:val="single"/>
                    </w:rPr>
                    <w:t>96/60/EB</w:t>
                  </w:r>
                </w:hyperlink>
                <w:r>
                  <w:rPr>
                    <w:rFonts w:eastAsia="Calibri"/>
                    <w:szCs w:val="24"/>
                  </w:rPr>
                  <w:t>, su visais pakeitimais, ir</w:t>
                </w:r>
              </w:p>
              <w:p>
                <w:pPr>
                  <w:suppressAutoHyphens/>
                  <w:jc w:val="both"/>
                  <w:textAlignment w:val="center"/>
                  <w:rPr>
                    <w:color w:val="000000"/>
                    <w:szCs w:val="24"/>
                  </w:rPr>
                </w:pPr>
                <w:r>
                  <w:rPr>
                    <w:color w:val="000000"/>
                    <w:szCs w:val="24"/>
                    <w:shd w:val="clear" w:color="auto" w:fill="FFFFFF"/>
                  </w:rPr>
                  <w:t xml:space="preserve">2019 m. spalio 1 d. Komisijos reglamentas </w:t>
                </w:r>
                <w:hyperlink r:id="rId26" w:tgtFrame="_blank" w:history="1">
                  <w:r>
                    <w:rPr>
                      <w:color w:val="0000FF" w:themeColor="hyperlink"/>
                      <w:szCs w:val="24"/>
                      <w:u w:val="single"/>
                      <w:shd w:val="clear" w:color="auto" w:fill="FFFFFF"/>
                    </w:rPr>
                    <w:t>(ES) 2019/2023</w:t>
                  </w:r>
                </w:hyperlink>
                <w:r>
                  <w:rPr>
                    <w:color w:val="000000"/>
                    <w:szCs w:val="24"/>
                    <w:shd w:val="clear" w:color="auto" w:fill="FFFFFF"/>
                  </w:rPr>
                  <w:t xml:space="preserve">, kuriuo pagal Europos Parlamento ir Tarybos direktyvą </w:t>
                </w:r>
                <w:hyperlink r:id="rId27" w:tgtFrame="_blank" w:history="1">
                  <w:r>
                    <w:rPr>
                      <w:color w:val="0000FF" w:themeColor="hyperlink"/>
                      <w:szCs w:val="24"/>
                      <w:u w:val="single"/>
                      <w:shd w:val="clear" w:color="auto" w:fill="FFFFFF"/>
                    </w:rPr>
                    <w:t>2009/125/EB</w:t>
                  </w:r>
                </w:hyperlink>
                <w:r>
                  <w:rPr>
                    <w:color w:val="000000"/>
                    <w:szCs w:val="24"/>
                    <w:shd w:val="clear" w:color="auto" w:fill="FFFFFF"/>
                  </w:rPr>
                  <w:t xml:space="preserve"> nustatomi buitinių skalbyklių ir skalbyklių</w:t>
                </w:r>
                <w:r>
                  <w:rPr>
                    <w:lang w:val="en-US"/>
                  </w:rPr>
                  <w:t>–</w:t>
                </w:r>
                <w:r>
                  <w:rPr>
                    <w:color w:val="000000"/>
                    <w:szCs w:val="24"/>
                    <w:shd w:val="clear" w:color="auto" w:fill="FFFFFF"/>
                  </w:rPr>
                  <w:t xml:space="preserve">džiovyklių ekologinio projektavimo reikalavimai, iš dalies keičiamas Komisijos reglamentas </w:t>
                </w:r>
                <w:hyperlink r:id="rId28" w:tgtFrame="_blank" w:history="1">
                  <w:r>
                    <w:rPr>
                      <w:color w:val="0000FF" w:themeColor="hyperlink"/>
                      <w:szCs w:val="24"/>
                      <w:u w:val="single"/>
                      <w:shd w:val="clear" w:color="auto" w:fill="FFFFFF"/>
                    </w:rPr>
                    <w:t>(EB) Nr. 1275/2008</w:t>
                  </w:r>
                </w:hyperlink>
                <w:r>
                  <w:rPr>
                    <w:color w:val="000000"/>
                    <w:szCs w:val="24"/>
                    <w:shd w:val="clear" w:color="auto" w:fill="FFFFFF"/>
                  </w:rPr>
                  <w:t xml:space="preserve"> ir panaikinamas Komisijos reglamentas </w:t>
                </w:r>
                <w:hyperlink r:id="rId29" w:tgtFrame="_blank" w:history="1">
                  <w:r>
                    <w:rPr>
                      <w:color w:val="0000FF" w:themeColor="hyperlink"/>
                      <w:szCs w:val="24"/>
                      <w:u w:val="single"/>
                      <w:shd w:val="clear" w:color="auto" w:fill="FFFFFF"/>
                    </w:rPr>
                    <w:t>(ES) Nr. 1015/2010</w:t>
                  </w:r>
                </w:hyperlink>
                <w:r>
                  <w:rPr>
                    <w:color w:val="000000"/>
                    <w:szCs w:val="24"/>
                    <w:shd w:val="clear" w:color="auto" w:fill="FFFFFF"/>
                  </w:rPr>
                  <w:t>,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Buitinės būgninės džiovyklės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2023 m. liepos 13 d. Komisijos deleguotasis reglamentas </w:t>
                </w:r>
                <w:hyperlink r:id="rId30" w:tgtFrame="_blank" w:history="1">
                  <w:r>
                    <w:rPr>
                      <w:color w:val="0000FF" w:themeColor="hyperlink"/>
                      <w:szCs w:val="24"/>
                      <w:u w:val="single"/>
                    </w:rPr>
                    <w:t>(ES) 2023/2534</w:t>
                  </w:r>
                </w:hyperlink>
                <w:r>
                  <w:rPr>
                    <w:color w:val="000000"/>
                    <w:szCs w:val="24"/>
                  </w:rPr>
                  <w:t xml:space="preserve">, kuriuo Europos Parlamento ir Tarybos reglamentas </w:t>
                </w:r>
                <w:hyperlink r:id="rId31" w:tgtFrame="_blank" w:history="1">
                  <w:r>
                    <w:rPr>
                      <w:color w:val="0000FF" w:themeColor="hyperlink"/>
                      <w:szCs w:val="24"/>
                      <w:u w:val="single"/>
                    </w:rPr>
                    <w:t>(ES) 2017/1369</w:t>
                  </w:r>
                </w:hyperlink>
                <w:r>
                  <w:rPr>
                    <w:color w:val="000000"/>
                    <w:szCs w:val="24"/>
                  </w:rPr>
                  <w:t xml:space="preserve"> papildomas buitinių būgninių džiovyklių energijos vartojimo efektyvumo ženklinimo nuostatomis ir panaikinamas Komisijos deleguotasis reglamentas </w:t>
                </w:r>
                <w:hyperlink r:id="rId32" w:tgtFrame="_blank" w:history="1">
                  <w:r>
                    <w:rPr>
                      <w:color w:val="0000FF" w:themeColor="hyperlink"/>
                      <w:szCs w:val="24"/>
                      <w:u w:val="single"/>
                    </w:rPr>
                    <w:t>(ES) Nr. 392/2012</w:t>
                  </w:r>
                </w:hyperlink>
                <w:r>
                  <w:rPr>
                    <w:color w:val="000000"/>
                    <w:szCs w:val="24"/>
                  </w:rPr>
                  <w:t>, su visais pakeitimais, ir</w:t>
                </w:r>
              </w:p>
              <w:p>
                <w:pPr>
                  <w:keepNext/>
                  <w:suppressAutoHyphens/>
                  <w:jc w:val="both"/>
                  <w:textAlignment w:val="center"/>
                  <w:rPr>
                    <w:color w:val="000000"/>
                    <w:szCs w:val="24"/>
                    <w:shd w:val="clear" w:color="auto" w:fill="FFFFFF"/>
                  </w:rPr>
                </w:pPr>
                <w:r>
                  <w:rPr>
                    <w:color w:val="000000"/>
                    <w:szCs w:val="24"/>
                    <w:shd w:val="clear" w:color="auto" w:fill="FFFFFF"/>
                  </w:rPr>
                  <w:t xml:space="preserve">2023 m. lapkričio 17 d. Komisijos reglamentas </w:t>
                </w:r>
                <w:hyperlink r:id="rId33" w:tgtFrame="_blank" w:history="1">
                  <w:r>
                    <w:rPr>
                      <w:color w:val="0000FF" w:themeColor="hyperlink"/>
                      <w:szCs w:val="24"/>
                      <w:u w:val="single"/>
                      <w:shd w:val="clear" w:color="auto" w:fill="FFFFFF"/>
                    </w:rPr>
                    <w:t>(ES) 2023/2533</w:t>
                  </w:r>
                </w:hyperlink>
                <w:r>
                  <w:rPr>
                    <w:color w:val="000000"/>
                    <w:szCs w:val="24"/>
                    <w:shd w:val="clear" w:color="auto" w:fill="FFFFFF"/>
                  </w:rPr>
                  <w:t xml:space="preserve">, kuriuo įgyvendinant Europos Parlamento ir Tarybos direktyvą </w:t>
                </w:r>
                <w:hyperlink r:id="rId34" w:tgtFrame="_blank" w:history="1">
                  <w:r>
                    <w:rPr>
                      <w:color w:val="0000FF" w:themeColor="hyperlink"/>
                      <w:szCs w:val="24"/>
                      <w:u w:val="single"/>
                      <w:shd w:val="clear" w:color="auto" w:fill="FFFFFF"/>
                    </w:rPr>
                    <w:t>2009/125/EB</w:t>
                  </w:r>
                </w:hyperlink>
                <w:r>
                  <w:rPr>
                    <w:color w:val="000000"/>
                    <w:szCs w:val="24"/>
                    <w:shd w:val="clear" w:color="auto" w:fill="FFFFFF"/>
                  </w:rPr>
                  <w:t xml:space="preserve"> nustatomi buitinių būgninių džiovyklių ekologinio projektavimo reikalavimai, iš dalies keičiamas Komisijos reglamentas </w:t>
                </w:r>
                <w:hyperlink r:id="rId35" w:tgtFrame="_blank" w:history="1">
                  <w:r>
                    <w:rPr>
                      <w:color w:val="0000FF" w:themeColor="hyperlink"/>
                      <w:szCs w:val="24"/>
                      <w:u w:val="single"/>
                      <w:shd w:val="clear" w:color="auto" w:fill="FFFFFF"/>
                    </w:rPr>
                    <w:t>(ES) 2023/826</w:t>
                  </w:r>
                </w:hyperlink>
                <w:r>
                  <w:rPr>
                    <w:color w:val="000000"/>
                    <w:szCs w:val="24"/>
                    <w:shd w:val="clear" w:color="auto" w:fill="FFFFFF"/>
                  </w:rPr>
                  <w:t xml:space="preserve"> ir panaikinamas Komisijos reglamentas </w:t>
                </w:r>
                <w:hyperlink r:id="rId36" w:tgtFrame="_blank" w:history="1">
                  <w:r>
                    <w:rPr>
                      <w:color w:val="0000FF" w:themeColor="hyperlink"/>
                      <w:szCs w:val="24"/>
                      <w:u w:val="single"/>
                      <w:shd w:val="clear" w:color="auto" w:fill="FFFFFF"/>
                    </w:rPr>
                    <w:t>(ES) Nr. 932/2012</w:t>
                  </w:r>
                </w:hyperlink>
                <w:r>
                  <w:rPr>
                    <w:color w:val="000000"/>
                    <w:szCs w:val="24"/>
                    <w:shd w:val="clear" w:color="auto" w:fill="FFFFFF"/>
                  </w:rPr>
                  <w:t>,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Šaldymo aparatai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rFonts w:eastAsia="Calibri"/>
                    <w:color w:val="000000"/>
                    <w:szCs w:val="24"/>
                    <w:shd w:val="clear" w:color="auto" w:fill="FFFFFF"/>
                  </w:rPr>
                </w:pPr>
                <w:r>
                  <w:rPr>
                    <w:rFonts w:eastAsia="Calibri"/>
                    <w:color w:val="000000"/>
                    <w:szCs w:val="24"/>
                    <w:shd w:val="clear" w:color="auto" w:fill="FFFFFF"/>
                  </w:rPr>
                  <w:t xml:space="preserve">2019 m. kovo 11 d. </w:t>
                </w:r>
                <w:r>
                  <w:rPr>
                    <w:rFonts w:eastAsia="Calibri"/>
                    <w:color w:val="333333"/>
                    <w:szCs w:val="24"/>
                    <w:shd w:val="clear" w:color="auto" w:fill="FFFFFF"/>
                  </w:rPr>
                  <w:t xml:space="preserve">Komisijos deleguotasis reglamentas </w:t>
                </w:r>
                <w:hyperlink r:id="rId37" w:tgtFrame="_blank" w:history="1">
                  <w:r>
                    <w:rPr>
                      <w:rFonts w:eastAsia="Calibri"/>
                      <w:color w:val="0000FF" w:themeColor="hyperlink"/>
                      <w:szCs w:val="24"/>
                      <w:u w:val="single"/>
                      <w:shd w:val="clear" w:color="auto" w:fill="FFFFFF"/>
                    </w:rPr>
                    <w:t>(ES) 2019/2016</w:t>
                  </w:r>
                </w:hyperlink>
                <w:r>
                  <w:rPr>
                    <w:rFonts w:eastAsia="Calibri"/>
                    <w:color w:val="000000"/>
                    <w:szCs w:val="24"/>
                    <w:shd w:val="clear" w:color="auto" w:fill="FFFFFF"/>
                  </w:rPr>
                  <w:t xml:space="preserve">, kuriuo papildomos Europos Parlamento ir Tarybos reglamento </w:t>
                </w:r>
                <w:hyperlink r:id="rId38" w:tgtFrame="_blank" w:history="1">
                  <w:r>
                    <w:rPr>
                      <w:rFonts w:eastAsia="Calibri"/>
                      <w:color w:val="0000FF" w:themeColor="hyperlink"/>
                      <w:szCs w:val="24"/>
                      <w:u w:val="single"/>
                      <w:shd w:val="clear" w:color="auto" w:fill="FFFFFF"/>
                    </w:rPr>
                    <w:t>(ES) 2017/1369</w:t>
                  </w:r>
                </w:hyperlink>
                <w:r>
                  <w:rPr>
                    <w:rFonts w:eastAsia="Calibri"/>
                    <w:color w:val="000000"/>
                    <w:szCs w:val="24"/>
                    <w:shd w:val="clear" w:color="auto" w:fill="FFFFFF"/>
                  </w:rPr>
                  <w:t xml:space="preserve"> nuostatos dėl šaldymo aparatų ženklinimo energijos vartojimo efektyvumo etikete ir panaikinamas Komisijos deleguotasis reglamentas </w:t>
                </w:r>
                <w:hyperlink r:id="rId39" w:tgtFrame="_blank" w:history="1">
                  <w:r>
                    <w:rPr>
                      <w:rFonts w:eastAsia="Calibri"/>
                      <w:color w:val="0000FF" w:themeColor="hyperlink"/>
                      <w:szCs w:val="24"/>
                      <w:u w:val="single"/>
                      <w:shd w:val="clear" w:color="auto" w:fill="FFFFFF"/>
                    </w:rPr>
                    <w:t>(ES) Nr. 1060/2010</w:t>
                  </w:r>
                </w:hyperlink>
                <w:r>
                  <w:rPr>
                    <w:rFonts w:eastAsia="Calibri"/>
                    <w:color w:val="000000"/>
                    <w:szCs w:val="24"/>
                    <w:shd w:val="clear" w:color="auto" w:fill="FFFFFF"/>
                  </w:rPr>
                  <w:t xml:space="preserve">, su visais pakeitimais, </w:t>
                </w:r>
              </w:p>
              <w:p>
                <w:pPr>
                  <w:suppressAutoHyphens/>
                  <w:jc w:val="both"/>
                  <w:textAlignment w:val="center"/>
                  <w:rPr>
                    <w:rFonts w:eastAsia="Calibri"/>
                    <w:color w:val="000000"/>
                    <w:szCs w:val="24"/>
                    <w:shd w:val="clear" w:color="auto" w:fill="FFFFFF"/>
                  </w:rPr>
                </w:pPr>
                <w:r>
                  <w:rPr>
                    <w:rFonts w:eastAsia="Calibri"/>
                    <w:szCs w:val="24"/>
                    <w:shd w:val="clear" w:color="auto" w:fill="FFFFFF"/>
                  </w:rPr>
                  <w:t xml:space="preserve">2019 m. kovo 11 d. Komisijos deleguotasis reglamentas </w:t>
                </w:r>
                <w:hyperlink r:id="rId40" w:tgtFrame="_blank" w:history="1">
                  <w:r>
                    <w:rPr>
                      <w:rFonts w:eastAsia="Calibri"/>
                      <w:color w:val="0000FF" w:themeColor="hyperlink"/>
                      <w:szCs w:val="24"/>
                      <w:u w:val="single"/>
                      <w:shd w:val="clear" w:color="auto" w:fill="FFFFFF"/>
                    </w:rPr>
                    <w:t>(ES) 2019/2018</w:t>
                  </w:r>
                </w:hyperlink>
                <w:r>
                  <w:rPr>
                    <w:rFonts w:eastAsia="Calibri"/>
                    <w:szCs w:val="24"/>
                    <w:shd w:val="clear" w:color="auto" w:fill="FFFFFF"/>
                  </w:rPr>
                  <w:t xml:space="preserve">, kuriuo papildomos Europos Parlamento ir Tarybos reglamento </w:t>
                </w:r>
                <w:hyperlink r:id="rId41" w:tgtFrame="_blank" w:history="1">
                  <w:r>
                    <w:rPr>
                      <w:rFonts w:eastAsia="Calibri"/>
                      <w:color w:val="0000FF" w:themeColor="hyperlink"/>
                      <w:szCs w:val="24"/>
                      <w:u w:val="single"/>
                      <w:shd w:val="clear" w:color="auto" w:fill="FFFFFF"/>
                    </w:rPr>
                    <w:t>(ES) 2017/1369</w:t>
                  </w:r>
                </w:hyperlink>
                <w:r>
                  <w:rPr>
                    <w:rFonts w:eastAsia="Calibri"/>
                    <w:szCs w:val="24"/>
                    <w:shd w:val="clear" w:color="auto" w:fill="FFFFFF"/>
                  </w:rPr>
                  <w:t xml:space="preserve"> nuostatos dėl prekėms tiesiogiai parduoti skirtų šaldymo aparatų ženklinimo energijos vartojimo efektyvumo etikete, su visais pakeitimais,</w:t>
                </w:r>
              </w:p>
              <w:p>
                <w:pPr>
                  <w:suppressAutoHyphens/>
                  <w:jc w:val="both"/>
                  <w:textAlignment w:val="center"/>
                  <w:rPr>
                    <w:color w:val="000000"/>
                    <w:szCs w:val="24"/>
                  </w:rPr>
                </w:pPr>
                <w:r>
                  <w:rPr>
                    <w:color w:val="000000"/>
                    <w:szCs w:val="24"/>
                  </w:rPr>
                  <w:t xml:space="preserve">2019 m. spalio 1 d. Komisijos reglamentas </w:t>
                </w:r>
                <w:hyperlink r:id="rId42" w:tgtFrame="_blank" w:history="1">
                  <w:r>
                    <w:rPr>
                      <w:color w:val="0000FF" w:themeColor="hyperlink"/>
                      <w:szCs w:val="24"/>
                      <w:u w:val="single"/>
                    </w:rPr>
                    <w:t>(ES) 2019/2019</w:t>
                  </w:r>
                </w:hyperlink>
                <w:r>
                  <w:rPr>
                    <w:color w:val="000000"/>
                    <w:szCs w:val="24"/>
                  </w:rPr>
                  <w:t xml:space="preserve">, kuriuo pagal Europos Parlamento ir Tarybos direktyvą </w:t>
                </w:r>
                <w:hyperlink r:id="rId43" w:tgtFrame="_blank" w:history="1">
                  <w:r>
                    <w:rPr>
                      <w:color w:val="0000FF" w:themeColor="hyperlink"/>
                      <w:szCs w:val="24"/>
                      <w:u w:val="single"/>
                    </w:rPr>
                    <w:t>2009/125/EB</w:t>
                  </w:r>
                </w:hyperlink>
                <w:r>
                  <w:rPr>
                    <w:color w:val="000000"/>
                    <w:szCs w:val="24"/>
                  </w:rPr>
                  <w:t xml:space="preserve"> nustatomi šaldymo aparatų ekologinio projektavimo reikalavimai ir panaikinamas Komisijos reglamentas </w:t>
                </w:r>
                <w:hyperlink r:id="rId44" w:tgtFrame="_blank" w:history="1">
                  <w:r>
                    <w:rPr>
                      <w:color w:val="0000FF" w:themeColor="hyperlink"/>
                      <w:szCs w:val="24"/>
                      <w:u w:val="single"/>
                    </w:rPr>
                    <w:t>(EB) Nr. 643/2009</w:t>
                  </w:r>
                </w:hyperlink>
                <w:r>
                  <w:rPr>
                    <w:color w:val="000000"/>
                    <w:szCs w:val="24"/>
                  </w:rPr>
                  <w:t>, su visais pakeitimais, ir</w:t>
                </w:r>
              </w:p>
              <w:p>
                <w:pPr>
                  <w:suppressAutoHyphens/>
                  <w:jc w:val="both"/>
                  <w:textAlignment w:val="center"/>
                  <w:rPr>
                    <w:color w:val="000000"/>
                    <w:szCs w:val="24"/>
                  </w:rPr>
                </w:pPr>
                <w:r>
                  <w:rPr>
                    <w:color w:val="000000"/>
                    <w:szCs w:val="24"/>
                  </w:rPr>
                  <w:t xml:space="preserve">2019 m. spalio 1 d. Komisijos reglamentas </w:t>
                </w:r>
                <w:hyperlink r:id="rId45" w:tgtFrame="_blank" w:history="1">
                  <w:r>
                    <w:rPr>
                      <w:color w:val="0000FF" w:themeColor="hyperlink"/>
                      <w:szCs w:val="24"/>
                      <w:u w:val="single"/>
                    </w:rPr>
                    <w:t>(ES) 2019/2024</w:t>
                  </w:r>
                </w:hyperlink>
                <w:r>
                  <w:rPr>
                    <w:color w:val="000000"/>
                    <w:szCs w:val="24"/>
                  </w:rPr>
                  <w:t xml:space="preserve">, kuriuo pagal Europos Parlamento ir Tarybos direktyvą </w:t>
                </w:r>
                <w:hyperlink r:id="rId46" w:tgtFrame="_blank" w:history="1">
                  <w:r>
                    <w:rPr>
                      <w:color w:val="0000FF" w:themeColor="hyperlink"/>
                      <w:szCs w:val="24"/>
                      <w:u w:val="single"/>
                    </w:rPr>
                    <w:t>2009/125/EB</w:t>
                  </w:r>
                </w:hyperlink>
                <w:r>
                  <w:rPr>
                    <w:color w:val="000000"/>
                    <w:szCs w:val="24"/>
                  </w:rPr>
                  <w:t xml:space="preserve"> nustatomi prekėms tiesiogiai parduoti skirtų šaldymo aparatų ekologinio projektavimo reikalavimai,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4.</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Pramoninės šaldymo spintos, jungiamos į elektros tinklą</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 xml:space="preserve">2015 m. gegužės 5 d. Komisijos deleguotasis reglamentas </w:t>
                </w:r>
                <w:hyperlink r:id="rId47" w:tgtFrame="_blank" w:history="1">
                  <w:r>
                    <w:rPr>
                      <w:color w:val="0000FF" w:themeColor="hyperlink"/>
                      <w:szCs w:val="24"/>
                      <w:u w:val="single"/>
                    </w:rPr>
                    <w:t>(ES) 2015/1094</w:t>
                  </w:r>
                </w:hyperlink>
                <w:r>
                  <w:rPr>
                    <w:color w:val="000000"/>
                    <w:szCs w:val="24"/>
                  </w:rPr>
                  <w:t xml:space="preserve">, kuriuo papildoma Europos Parlamento ir Tarybos direktyva </w:t>
                </w:r>
                <w:hyperlink r:id="rId48" w:tgtFrame="_blank" w:history="1">
                  <w:r>
                    <w:rPr>
                      <w:color w:val="0000FF" w:themeColor="hyperlink"/>
                      <w:szCs w:val="24"/>
                      <w:u w:val="single"/>
                    </w:rPr>
                    <w:t>2010/30/ES</w:t>
                  </w:r>
                </w:hyperlink>
                <w:r>
                  <w:rPr>
                    <w:color w:val="000000"/>
                    <w:szCs w:val="24"/>
                  </w:rPr>
                  <w:t xml:space="preserve"> nustatant pramoninių šaldymo spintų ženklinimo energijos vartojimo efektyvumo etikete reikalavimus su visais pakeitimais, ir 2015 m. gegužės 5 d. Komisijos reglamentas </w:t>
                </w:r>
                <w:hyperlink r:id="rId49" w:tgtFrame="_blank" w:history="1">
                  <w:r>
                    <w:rPr>
                      <w:color w:val="0000FF" w:themeColor="hyperlink"/>
                      <w:szCs w:val="24"/>
                      <w:u w:val="single"/>
                    </w:rPr>
                    <w:t>(ES) 2015/1095</w:t>
                  </w:r>
                </w:hyperlink>
                <w:r>
                  <w:rPr>
                    <w:color w:val="000000"/>
                    <w:szCs w:val="24"/>
                  </w:rPr>
                  <w:t xml:space="preserve">, kuriuo dėl ekologinio projektavimo reikalavimų, taikomų pramoninėms šaldymo spintoms, staigaus šaldymo spintoms, kondensavimo agregatams ir procesiniams aušintuvams, įgyvendinama Europos Parlamento ir Tarybos direktyva </w:t>
                </w:r>
                <w:hyperlink r:id="rId50" w:tgtFrame="_blank" w:history="1">
                  <w:r>
                    <w:rPr>
                      <w:color w:val="0000FF" w:themeColor="hyperlink"/>
                      <w:szCs w:val="24"/>
                      <w:u w:val="single"/>
                    </w:rPr>
                    <w:t>2009/125/EB</w:t>
                  </w:r>
                </w:hyperlink>
                <w:r>
                  <w:rPr>
                    <w:color w:val="000000"/>
                    <w:szCs w:val="24"/>
                  </w:rPr>
                  <w:t xml:space="preserve">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5.</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Buitinės indaplovės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shd w:val="clear" w:color="auto" w:fill="FFFFFF"/>
                  </w:rPr>
                </w:pPr>
                <w:r>
                  <w:rPr>
                    <w:rFonts w:eastAsia="Calibri"/>
                    <w:szCs w:val="24"/>
                    <w:shd w:val="clear" w:color="auto" w:fill="FFFFFF"/>
                  </w:rPr>
                  <w:t xml:space="preserve">2019 m. kovo 11 d. Komisijos deleguotasis reglamentas </w:t>
                </w:r>
                <w:hyperlink r:id="rId51" w:tgtFrame="_blank" w:history="1">
                  <w:r>
                    <w:rPr>
                      <w:rFonts w:eastAsia="Calibri"/>
                      <w:color w:val="0000FF" w:themeColor="hyperlink"/>
                      <w:szCs w:val="24"/>
                      <w:u w:val="single"/>
                      <w:shd w:val="clear" w:color="auto" w:fill="FFFFFF"/>
                    </w:rPr>
                    <w:t>(ES) 2019/2017</w:t>
                  </w:r>
                </w:hyperlink>
                <w:r>
                  <w:rPr>
                    <w:rFonts w:eastAsia="Calibri"/>
                    <w:szCs w:val="24"/>
                    <w:shd w:val="clear" w:color="auto" w:fill="FFFFFF"/>
                  </w:rPr>
                  <w:t xml:space="preserve">, kuriuo Europos Parlamento ir Tarybos reglamentas </w:t>
                </w:r>
                <w:hyperlink r:id="rId52" w:tgtFrame="_blank" w:history="1">
                  <w:r>
                    <w:rPr>
                      <w:rFonts w:eastAsia="Calibri"/>
                      <w:color w:val="0000FF" w:themeColor="hyperlink"/>
                      <w:szCs w:val="24"/>
                      <w:u w:val="single"/>
                      <w:shd w:val="clear" w:color="auto" w:fill="FFFFFF"/>
                    </w:rPr>
                    <w:t>(ES) 2017/1369</w:t>
                  </w:r>
                </w:hyperlink>
                <w:r>
                  <w:rPr>
                    <w:rFonts w:eastAsia="Calibri"/>
                    <w:szCs w:val="24"/>
                    <w:shd w:val="clear" w:color="auto" w:fill="FFFFFF"/>
                  </w:rPr>
                  <w:t xml:space="preserve"> papildomas buitinių indaplovių energijos vartojimo efektyvumo ženklinimo nuostatomis ir panaikinamas Komisijos deleguotasis reglamentas </w:t>
                </w:r>
                <w:hyperlink r:id="rId53" w:tgtFrame="_blank" w:history="1">
                  <w:r>
                    <w:rPr>
                      <w:rFonts w:eastAsia="Calibri"/>
                      <w:color w:val="0000FF" w:themeColor="hyperlink"/>
                      <w:szCs w:val="24"/>
                      <w:u w:val="single"/>
                      <w:shd w:val="clear" w:color="auto" w:fill="FFFFFF"/>
                    </w:rPr>
                    <w:t>(ES) Nr. 1059/2010</w:t>
                  </w:r>
                </w:hyperlink>
                <w:r>
                  <w:rPr>
                    <w:rFonts w:eastAsia="Calibri"/>
                    <w:szCs w:val="24"/>
                    <w:shd w:val="clear" w:color="auto" w:fill="FFFFFF"/>
                  </w:rPr>
                  <w:t>, su visais pakeitimais, ir</w:t>
                </w:r>
              </w:p>
              <w:p>
                <w:pPr>
                  <w:keepNext/>
                  <w:suppressAutoHyphens/>
                  <w:jc w:val="both"/>
                  <w:textAlignment w:val="center"/>
                  <w:rPr>
                    <w:color w:val="000000"/>
                    <w:szCs w:val="24"/>
                    <w:shd w:val="clear" w:color="auto" w:fill="FFFFFF"/>
                  </w:rPr>
                </w:pPr>
                <w:r>
                  <w:rPr>
                    <w:color w:val="000000"/>
                    <w:szCs w:val="24"/>
                    <w:shd w:val="clear" w:color="auto" w:fill="FFFFFF"/>
                  </w:rPr>
                  <w:t xml:space="preserve">2019 m. spalio 1 d. Komisijos reglamentas </w:t>
                </w:r>
                <w:hyperlink r:id="rId54" w:tgtFrame="_blank" w:history="1">
                  <w:r>
                    <w:rPr>
                      <w:color w:val="0000FF" w:themeColor="hyperlink"/>
                      <w:szCs w:val="24"/>
                      <w:u w:val="single"/>
                      <w:shd w:val="clear" w:color="auto" w:fill="FFFFFF"/>
                    </w:rPr>
                    <w:t>(ES) 2019/2022</w:t>
                  </w:r>
                </w:hyperlink>
                <w:r>
                  <w:rPr>
                    <w:color w:val="000000"/>
                    <w:szCs w:val="24"/>
                    <w:shd w:val="clear" w:color="auto" w:fill="FFFFFF"/>
                  </w:rPr>
                  <w:t xml:space="preserve">, kuriuo pagal Europos Parlamento ir Tarybos direktyvą </w:t>
                </w:r>
                <w:hyperlink r:id="rId55" w:tgtFrame="_blank" w:history="1">
                  <w:r>
                    <w:rPr>
                      <w:color w:val="0000FF" w:themeColor="hyperlink"/>
                      <w:szCs w:val="24"/>
                      <w:u w:val="single"/>
                      <w:shd w:val="clear" w:color="auto" w:fill="FFFFFF"/>
                    </w:rPr>
                    <w:t>2009/125/EB</w:t>
                  </w:r>
                </w:hyperlink>
                <w:r>
                  <w:rPr>
                    <w:color w:val="000000"/>
                    <w:szCs w:val="24"/>
                    <w:shd w:val="clear" w:color="auto" w:fill="FFFFFF"/>
                  </w:rPr>
                  <w:t xml:space="preserve"> nustatomi buitinių indaplovių ekologinio projektavimo reikalavimai, iš dalies keičiamas Komisijos reglamentas </w:t>
                </w:r>
                <w:hyperlink r:id="rId56" w:tgtFrame="_blank" w:history="1">
                  <w:r>
                    <w:rPr>
                      <w:color w:val="0000FF" w:themeColor="hyperlink"/>
                      <w:szCs w:val="24"/>
                      <w:u w:val="single"/>
                      <w:shd w:val="clear" w:color="auto" w:fill="FFFFFF"/>
                    </w:rPr>
                    <w:t>(EB) Nr. 1275/2008</w:t>
                  </w:r>
                </w:hyperlink>
                <w:r>
                  <w:rPr>
                    <w:color w:val="000000"/>
                    <w:szCs w:val="24"/>
                    <w:shd w:val="clear" w:color="auto" w:fill="FFFFFF"/>
                  </w:rPr>
                  <w:t xml:space="preserve"> ir panaikinamas Komisijos reglamentas </w:t>
                </w:r>
                <w:hyperlink r:id="rId57" w:tgtFrame="_blank" w:history="1">
                  <w:r>
                    <w:rPr>
                      <w:color w:val="0000FF" w:themeColor="hyperlink"/>
                      <w:szCs w:val="24"/>
                      <w:u w:val="single"/>
                      <w:shd w:val="clear" w:color="auto" w:fill="FFFFFF"/>
                    </w:rPr>
                    <w:t>(ES) Nr. 1016/2010</w:t>
                  </w:r>
                </w:hyperlink>
                <w:r>
                  <w:rPr>
                    <w:color w:val="000000"/>
                    <w:szCs w:val="24"/>
                    <w:shd w:val="clear" w:color="auto" w:fill="FFFFFF"/>
                  </w:rPr>
                  <w:t>,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6.</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Buitinės orkaitės, kaitvietės ir gartraukiai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bCs/>
                    <w:color w:val="000000"/>
                    <w:szCs w:val="24"/>
                  </w:rPr>
                </w:pPr>
                <w:r>
                  <w:rPr>
                    <w:color w:val="000000"/>
                    <w:szCs w:val="24"/>
                  </w:rPr>
                  <w:t xml:space="preserve">2013 m. spalio 1 d. Komisijos deleguotasis reglamentas </w:t>
                </w:r>
                <w:hyperlink r:id="rId58" w:tgtFrame="_blank" w:history="1">
                  <w:r>
                    <w:rPr>
                      <w:color w:val="0000FF" w:themeColor="hyperlink"/>
                      <w:szCs w:val="24"/>
                      <w:u w:val="single"/>
                    </w:rPr>
                    <w:t>(ES) Nr. 65/2014</w:t>
                  </w:r>
                </w:hyperlink>
                <w:r>
                  <w:rPr>
                    <w:color w:val="000000"/>
                    <w:szCs w:val="24"/>
                  </w:rPr>
                  <w:t xml:space="preserve">, kuriuo papildoma Europos Parlamento ir Tarybos direktyva </w:t>
                </w:r>
                <w:hyperlink r:id="rId59" w:tgtFrame="_blank" w:history="1">
                  <w:r>
                    <w:rPr>
                      <w:color w:val="0000FF" w:themeColor="hyperlink"/>
                      <w:szCs w:val="24"/>
                      <w:u w:val="single"/>
                    </w:rPr>
                    <w:t>2010/30/ES</w:t>
                  </w:r>
                </w:hyperlink>
                <w:r>
                  <w:rPr>
                    <w:color w:val="000000"/>
                    <w:szCs w:val="24"/>
                  </w:rPr>
                  <w:t xml:space="preserve"> nustatant buitinių orkaičių ir gartraukių ženklinimo energijos vartojimo efektyvumo etikete reikalavimus, su visais pakeitimais, ir</w:t>
                </w:r>
                <w:r>
                  <w:rPr>
                    <w:rFonts w:eastAsia="Calibri"/>
                    <w:bCs/>
                    <w:color w:val="000000"/>
                    <w:szCs w:val="24"/>
                  </w:rPr>
                  <w:t xml:space="preserve"> 2014 m. sausio 14 d. Komisijos reglamentas </w:t>
                </w:r>
                <w:hyperlink r:id="rId60" w:tgtFrame="_blank" w:history="1">
                  <w:r>
                    <w:rPr>
                      <w:rFonts w:eastAsia="Calibri"/>
                      <w:bCs/>
                      <w:color w:val="0000FF" w:themeColor="hyperlink"/>
                      <w:szCs w:val="24"/>
                      <w:u w:val="single"/>
                    </w:rPr>
                    <w:t>(ES) Nr. 66/2014</w:t>
                  </w:r>
                </w:hyperlink>
                <w:r>
                  <w:rPr>
                    <w:rFonts w:eastAsia="Calibri"/>
                    <w:bCs/>
                    <w:color w:val="000000"/>
                    <w:szCs w:val="24"/>
                  </w:rPr>
                  <w:t xml:space="preserve">, kuriuo įgyvendinant Europos Parlamento ir Tarybos direktyvą </w:t>
                </w:r>
                <w:hyperlink r:id="rId61" w:tgtFrame="_blank" w:history="1">
                  <w:r>
                    <w:rPr>
                      <w:rFonts w:eastAsia="Calibri"/>
                      <w:bCs/>
                      <w:color w:val="0000FF" w:themeColor="hyperlink"/>
                      <w:szCs w:val="24"/>
                      <w:u w:val="single"/>
                    </w:rPr>
                    <w:t>2009/125/EB</w:t>
                  </w:r>
                </w:hyperlink>
                <w:r>
                  <w:rPr>
                    <w:rFonts w:eastAsia="Calibri"/>
                    <w:bCs/>
                    <w:color w:val="000000"/>
                    <w:szCs w:val="24"/>
                  </w:rPr>
                  <w:t xml:space="preserve"> nustatomi buitinių orkaičių, kaitviečių ir gartraukių ekologinio projektavimo reikalavimai,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7.</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Elektroniniai vaizduokliai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rFonts w:eastAsia="Calibri"/>
                    <w:szCs w:val="24"/>
                    <w:shd w:val="clear" w:color="auto" w:fill="FFFFFF"/>
                  </w:rPr>
                </w:pPr>
                <w:r>
                  <w:rPr>
                    <w:rFonts w:eastAsia="Calibri"/>
                    <w:szCs w:val="24"/>
                    <w:shd w:val="clear" w:color="auto" w:fill="FFFFFF"/>
                  </w:rPr>
                  <w:t xml:space="preserve">2019 m. kovo 11 d. Komisijos deleguotasis reglamentas </w:t>
                </w:r>
                <w:hyperlink r:id="rId62" w:tgtFrame="_blank" w:history="1">
                  <w:r>
                    <w:rPr>
                      <w:rFonts w:eastAsia="Calibri"/>
                      <w:color w:val="0000FF" w:themeColor="hyperlink"/>
                      <w:szCs w:val="24"/>
                      <w:u w:val="single"/>
                      <w:shd w:val="clear" w:color="auto" w:fill="FFFFFF"/>
                    </w:rPr>
                    <w:t>(ES) 2019/2013</w:t>
                  </w:r>
                </w:hyperlink>
                <w:r>
                  <w:rPr>
                    <w:rFonts w:eastAsia="Calibri"/>
                    <w:szCs w:val="24"/>
                    <w:shd w:val="clear" w:color="auto" w:fill="FFFFFF"/>
                  </w:rPr>
                  <w:t xml:space="preserve">, kuriuo Europos Parlamento ir Tarybos reglamentas </w:t>
                </w:r>
                <w:hyperlink r:id="rId63" w:tgtFrame="_blank" w:history="1">
                  <w:r>
                    <w:rPr>
                      <w:rFonts w:eastAsia="Calibri"/>
                      <w:color w:val="0000FF" w:themeColor="hyperlink"/>
                      <w:szCs w:val="24"/>
                      <w:u w:val="single"/>
                      <w:shd w:val="clear" w:color="auto" w:fill="FFFFFF"/>
                    </w:rPr>
                    <w:t>(ES) 2017/1369</w:t>
                  </w:r>
                </w:hyperlink>
                <w:r>
                  <w:rPr>
                    <w:rFonts w:eastAsia="Calibri"/>
                    <w:szCs w:val="24"/>
                    <w:shd w:val="clear" w:color="auto" w:fill="FFFFFF"/>
                  </w:rPr>
                  <w:t xml:space="preserve"> papildomas elektroninių vaizduoklių energijos vartojimo efektyvumo ženklinimo nuostatomis ir panaikinamas Komisijos deleguotasis reglamentas </w:t>
                </w:r>
                <w:hyperlink r:id="rId64" w:tgtFrame="_blank" w:history="1">
                  <w:r>
                    <w:rPr>
                      <w:rFonts w:eastAsia="Calibri"/>
                      <w:color w:val="0000FF" w:themeColor="hyperlink"/>
                      <w:szCs w:val="24"/>
                      <w:u w:val="single"/>
                      <w:shd w:val="clear" w:color="auto" w:fill="FFFFFF"/>
                    </w:rPr>
                    <w:t>(ES) Nr. 1062/2010</w:t>
                  </w:r>
                </w:hyperlink>
                <w:r>
                  <w:rPr>
                    <w:rFonts w:eastAsia="Calibri"/>
                    <w:szCs w:val="24"/>
                    <w:shd w:val="clear" w:color="auto" w:fill="FFFFFF"/>
                  </w:rPr>
                  <w:t>, su visais pakeitimais, ir</w:t>
                </w:r>
              </w:p>
              <w:p>
                <w:pPr>
                  <w:suppressAutoHyphens/>
                  <w:jc w:val="both"/>
                  <w:textAlignment w:val="center"/>
                  <w:rPr>
                    <w:color w:val="000000"/>
                    <w:szCs w:val="24"/>
                  </w:rPr>
                </w:pPr>
                <w:r>
                  <w:rPr>
                    <w:rFonts w:eastAsia="Calibri"/>
                    <w:szCs w:val="24"/>
                    <w:shd w:val="clear" w:color="auto" w:fill="FFFFFF"/>
                  </w:rPr>
                  <w:t xml:space="preserve">2019 m. spalio 1 d. Komisijos reglamentas </w:t>
                </w:r>
                <w:hyperlink r:id="rId65" w:tgtFrame="_blank" w:history="1">
                  <w:r>
                    <w:rPr>
                      <w:rFonts w:eastAsia="Calibri"/>
                      <w:color w:val="0000FF" w:themeColor="hyperlink"/>
                      <w:szCs w:val="24"/>
                      <w:u w:val="single"/>
                      <w:shd w:val="clear" w:color="auto" w:fill="FFFFFF"/>
                    </w:rPr>
                    <w:t>(ES) 2019/2021</w:t>
                  </w:r>
                </w:hyperlink>
                <w:r>
                  <w:rPr>
                    <w:rFonts w:eastAsia="Calibri"/>
                    <w:szCs w:val="24"/>
                    <w:shd w:val="clear" w:color="auto" w:fill="FFFFFF"/>
                  </w:rPr>
                  <w:t xml:space="preserve">, kuriuo pagal Europos Parlamento ir Tarybos direktyvą </w:t>
                </w:r>
                <w:hyperlink r:id="rId66" w:tgtFrame="_blank" w:history="1">
                  <w:r>
                    <w:rPr>
                      <w:rFonts w:eastAsia="Calibri"/>
                      <w:color w:val="0000FF" w:themeColor="hyperlink"/>
                      <w:szCs w:val="24"/>
                      <w:u w:val="single"/>
                      <w:shd w:val="clear" w:color="auto" w:fill="FFFFFF"/>
                    </w:rPr>
                    <w:t>2009/125/EB</w:t>
                  </w:r>
                </w:hyperlink>
                <w:r>
                  <w:rPr>
                    <w:rFonts w:eastAsia="Calibri"/>
                    <w:szCs w:val="24"/>
                    <w:shd w:val="clear" w:color="auto" w:fill="FFFFFF"/>
                  </w:rPr>
                  <w:t xml:space="preserve"> nustatomi elektroninių vaizduoklių ekologinio projektavimo reikalavimai, iš dalies keičiamas Komisijos reglamentas </w:t>
                </w:r>
                <w:hyperlink r:id="rId67" w:tgtFrame="_blank" w:history="1">
                  <w:r>
                    <w:rPr>
                      <w:rFonts w:eastAsia="Calibri"/>
                      <w:color w:val="0000FF" w:themeColor="hyperlink"/>
                      <w:szCs w:val="24"/>
                      <w:u w:val="single"/>
                      <w:shd w:val="clear" w:color="auto" w:fill="FFFFFF"/>
                    </w:rPr>
                    <w:t>(EB) Nr.  1275/2008</w:t>
                  </w:r>
                </w:hyperlink>
                <w:r>
                  <w:rPr>
                    <w:rFonts w:eastAsia="Calibri"/>
                    <w:szCs w:val="24"/>
                    <w:shd w:val="clear" w:color="auto" w:fill="FFFFFF"/>
                  </w:rPr>
                  <w:t xml:space="preserve"> ir panaikinamas Komisijos reglamentas </w:t>
                </w:r>
                <w:hyperlink r:id="rId68" w:tgtFrame="_blank" w:history="1">
                  <w:r>
                    <w:rPr>
                      <w:rFonts w:eastAsia="Calibri"/>
                      <w:color w:val="0000FF" w:themeColor="hyperlink"/>
                      <w:szCs w:val="24"/>
                      <w:u w:val="single"/>
                      <w:shd w:val="clear" w:color="auto" w:fill="FFFFFF"/>
                    </w:rPr>
                    <w:t>(EB) Nr.  642/2009</w:t>
                  </w:r>
                </w:hyperlink>
                <w:r>
                  <w:rPr>
                    <w:rFonts w:eastAsia="Calibri"/>
                    <w:szCs w:val="24"/>
                    <w:shd w:val="clear" w:color="auto" w:fill="FFFFFF"/>
                  </w:rPr>
                  <w:t xml:space="preserve">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8.</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Šviesos šaltiniai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rFonts w:eastAsia="Calibri"/>
                    <w:szCs w:val="24"/>
                    <w:shd w:val="clear" w:color="auto" w:fill="FFFFFF"/>
                  </w:rPr>
                </w:pPr>
                <w:r>
                  <w:rPr>
                    <w:rFonts w:eastAsia="Calibri"/>
                    <w:szCs w:val="24"/>
                    <w:shd w:val="clear" w:color="auto" w:fill="FFFFFF"/>
                  </w:rPr>
                  <w:t xml:space="preserve">2019 m. kovo 11 d. Komisijos deleguotasis reglamentas </w:t>
                </w:r>
                <w:hyperlink r:id="rId69" w:tgtFrame="_blank" w:history="1">
                  <w:r>
                    <w:rPr>
                      <w:rFonts w:eastAsia="Calibri"/>
                      <w:color w:val="0000FF" w:themeColor="hyperlink"/>
                      <w:szCs w:val="24"/>
                      <w:u w:val="single"/>
                      <w:shd w:val="clear" w:color="auto" w:fill="FFFFFF"/>
                    </w:rPr>
                    <w:t>(ES) 2019/2015</w:t>
                  </w:r>
                </w:hyperlink>
                <w:r>
                  <w:rPr>
                    <w:rFonts w:eastAsia="Calibri"/>
                    <w:szCs w:val="24"/>
                    <w:shd w:val="clear" w:color="auto" w:fill="FFFFFF"/>
                  </w:rPr>
                  <w:t xml:space="preserve">, kuriuo Europos Parlamento ir Tarybos reglamentas </w:t>
                </w:r>
                <w:hyperlink r:id="rId70" w:tgtFrame="_blank" w:history="1">
                  <w:r>
                    <w:rPr>
                      <w:rFonts w:eastAsia="Calibri"/>
                      <w:color w:val="0000FF" w:themeColor="hyperlink"/>
                      <w:szCs w:val="24"/>
                      <w:u w:val="single"/>
                      <w:shd w:val="clear" w:color="auto" w:fill="FFFFFF"/>
                    </w:rPr>
                    <w:t>(ES) 2017/1369</w:t>
                  </w:r>
                </w:hyperlink>
                <w:r>
                  <w:rPr>
                    <w:rFonts w:eastAsia="Calibri"/>
                    <w:szCs w:val="24"/>
                    <w:shd w:val="clear" w:color="auto" w:fill="FFFFFF"/>
                  </w:rPr>
                  <w:t xml:space="preserve"> papildomas šviesos šaltinių energijos vartojimo efektyvumo ženklinimo nuostatomis ir panaikinamas Komisijos deleguotasis reglamentas </w:t>
                </w:r>
                <w:hyperlink r:id="rId71" w:tgtFrame="_blank" w:history="1">
                  <w:r>
                    <w:rPr>
                      <w:rFonts w:eastAsia="Calibri"/>
                      <w:color w:val="0000FF" w:themeColor="hyperlink"/>
                      <w:szCs w:val="24"/>
                      <w:u w:val="single"/>
                      <w:shd w:val="clear" w:color="auto" w:fill="FFFFFF"/>
                    </w:rPr>
                    <w:t>(ES) Nr. 874/2012</w:t>
                  </w:r>
                </w:hyperlink>
                <w:r>
                  <w:rPr>
                    <w:rFonts w:eastAsia="Calibri"/>
                    <w:szCs w:val="24"/>
                    <w:shd w:val="clear" w:color="auto" w:fill="FFFFFF"/>
                  </w:rPr>
                  <w:t xml:space="preserve">, su visais pakeitimais, </w:t>
                </w:r>
              </w:p>
              <w:p>
                <w:pPr>
                  <w:keepNext/>
                  <w:suppressAutoHyphens/>
                  <w:jc w:val="both"/>
                  <w:textAlignment w:val="center"/>
                  <w:rPr>
                    <w:rFonts w:eastAsia="Calibri"/>
                    <w:szCs w:val="24"/>
                    <w:shd w:val="clear" w:color="auto" w:fill="FFFFFF"/>
                  </w:rPr>
                </w:pPr>
                <w:r>
                  <w:rPr>
                    <w:rFonts w:eastAsia="Calibri"/>
                    <w:szCs w:val="24"/>
                  </w:rPr>
                  <w:t xml:space="preserve">2019 m. spalio 1 d. Komisijos reglamentas </w:t>
                </w:r>
                <w:hyperlink r:id="rId72" w:tgtFrame="_blank" w:history="1">
                  <w:r>
                    <w:rPr>
                      <w:rFonts w:eastAsia="Calibri"/>
                      <w:color w:val="0000FF" w:themeColor="hyperlink"/>
                      <w:szCs w:val="24"/>
                      <w:u w:val="single"/>
                    </w:rPr>
                    <w:t>(ES) 2019/2020</w:t>
                  </w:r>
                </w:hyperlink>
                <w:r>
                  <w:rPr>
                    <w:rFonts w:eastAsia="Calibri"/>
                    <w:szCs w:val="24"/>
                  </w:rPr>
                  <w:t xml:space="preserve">, kuriuo pagal Europos Parlamento ir Tarybos direktyvą </w:t>
                </w:r>
                <w:hyperlink r:id="rId73" w:tgtFrame="_blank" w:history="1">
                  <w:r>
                    <w:rPr>
                      <w:rFonts w:eastAsia="Calibri"/>
                      <w:color w:val="0000FF" w:themeColor="hyperlink"/>
                      <w:szCs w:val="24"/>
                      <w:u w:val="single"/>
                    </w:rPr>
                    <w:t>2009/125/EB</w:t>
                  </w:r>
                </w:hyperlink>
                <w:r>
                  <w:rPr>
                    <w:rFonts w:eastAsia="Calibri"/>
                    <w:szCs w:val="24"/>
                  </w:rPr>
                  <w:t xml:space="preserve"> nustatomi šviesos šaltinių ir atskirų valdymo įtaisų ekologinio projektavimo reikalavimai ir panaikinami Komisijos reglamentai </w:t>
                </w:r>
                <w:hyperlink r:id="rId74" w:tgtFrame="_blank" w:history="1">
                  <w:r>
                    <w:rPr>
                      <w:rFonts w:eastAsia="Calibri"/>
                      <w:color w:val="0000FF" w:themeColor="hyperlink"/>
                      <w:szCs w:val="24"/>
                      <w:u w:val="single"/>
                    </w:rPr>
                    <w:t>(EB) Nr. 244/2009</w:t>
                  </w:r>
                </w:hyperlink>
                <w:r>
                  <w:rPr>
                    <w:rFonts w:eastAsia="Calibri"/>
                    <w:szCs w:val="24"/>
                  </w:rPr>
                  <w:t xml:space="preserve">, </w:t>
                </w:r>
                <w:hyperlink r:id="rId75" w:tgtFrame="_blank" w:history="1">
                  <w:r>
                    <w:rPr>
                      <w:rFonts w:eastAsia="Calibri"/>
                      <w:color w:val="0000FF" w:themeColor="hyperlink"/>
                      <w:szCs w:val="24"/>
                      <w:u w:val="single"/>
                    </w:rPr>
                    <w:t>(EB) Nr. 245/2009</w:t>
                  </w:r>
                </w:hyperlink>
                <w:r>
                  <w:rPr>
                    <w:rFonts w:eastAsia="Calibri"/>
                    <w:szCs w:val="24"/>
                  </w:rPr>
                  <w:t xml:space="preserve"> ir </w:t>
                </w:r>
                <w:hyperlink r:id="rId76" w:tgtFrame="_blank" w:history="1">
                  <w:r>
                    <w:rPr>
                      <w:rFonts w:eastAsia="Calibri"/>
                      <w:color w:val="0000FF" w:themeColor="hyperlink"/>
                      <w:szCs w:val="24"/>
                      <w:u w:val="single"/>
                    </w:rPr>
                    <w:t>(ES) Nr. 1194/2012</w:t>
                  </w:r>
                </w:hyperlink>
                <w:r>
                  <w:rPr>
                    <w:rFonts w:eastAsia="Calibri"/>
                    <w:szCs w:val="24"/>
                  </w:rPr>
                  <w:t xml:space="preserve">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9.</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000000"/>
                    <w:szCs w:val="24"/>
                    <w:lang w:eastAsia="lt-LT"/>
                  </w:rPr>
                </w:pPr>
                <w:r>
                  <w:rPr>
                    <w:rFonts w:eastAsia="Calibri"/>
                    <w:szCs w:val="24"/>
                    <w:lang w:eastAsia="lt-LT"/>
                  </w:rPr>
                  <w:t xml:space="preserve">Elektriniai oro kondicionieriai, kurių šildymo arba šaldymo vardinis pajėgumas ≤  12 kW, ir </w:t>
                </w:r>
                <w:r>
                  <w:rPr>
                    <w:rFonts w:eastAsia="Calibri"/>
                    <w:color w:val="000000"/>
                    <w:szCs w:val="24"/>
                    <w:shd w:val="clear" w:color="auto" w:fill="FFFFFF"/>
                    <w:lang w:eastAsia="lt-LT"/>
                  </w:rPr>
                  <w:t>patogumo ventiliatoriai, kurių elektrinė vartojamoji galia ≤ 125 W</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2011 m. gegužės 4 d. Komisijos deleguotasis reglamentas </w:t>
                </w:r>
                <w:hyperlink r:id="rId77" w:tgtFrame="_blank" w:history="1">
                  <w:r>
                    <w:rPr>
                      <w:color w:val="0000FF" w:themeColor="hyperlink"/>
                      <w:szCs w:val="24"/>
                      <w:u w:val="single"/>
                    </w:rPr>
                    <w:t>(ES) Nr.  626/2011</w:t>
                  </w:r>
                </w:hyperlink>
                <w:r>
                  <w:rPr>
                    <w:color w:val="000000"/>
                    <w:szCs w:val="24"/>
                  </w:rPr>
                  <w:t xml:space="preserve">, kuriuo papildoma Europos Parlamento ir Tarybos direktyva </w:t>
                </w:r>
                <w:hyperlink r:id="rId78" w:tgtFrame="_blank" w:history="1">
                  <w:r>
                    <w:rPr>
                      <w:color w:val="0000FF" w:themeColor="hyperlink"/>
                      <w:szCs w:val="24"/>
                      <w:u w:val="single"/>
                    </w:rPr>
                    <w:t>2010/30/ES</w:t>
                  </w:r>
                </w:hyperlink>
                <w:r>
                  <w:rPr>
                    <w:color w:val="000000"/>
                    <w:szCs w:val="24"/>
                  </w:rPr>
                  <w:t xml:space="preserve"> nustatant oro kondicionierių energijos vartojimo efektyvumo ženklinimo reikalavimus, su visais pakeitimais, ir </w:t>
                </w:r>
                <w:r>
                  <w:rPr>
                    <w:rFonts w:eastAsia="Calibri"/>
                    <w:bCs/>
                    <w:color w:val="000000"/>
                    <w:szCs w:val="24"/>
                    <w:lang w:eastAsia="lt-LT"/>
                  </w:rPr>
                  <w:t xml:space="preserve">2012 m. kovo 6 d. Komisijos reglamentas </w:t>
                </w:r>
                <w:hyperlink r:id="rId79" w:tgtFrame="_blank" w:history="1">
                  <w:r>
                    <w:rPr>
                      <w:rFonts w:eastAsia="Calibri"/>
                      <w:bCs/>
                      <w:color w:val="0000FF" w:themeColor="hyperlink"/>
                      <w:szCs w:val="24"/>
                      <w:u w:val="single"/>
                      <w:lang w:eastAsia="lt-LT"/>
                    </w:rPr>
                    <w:t>(ES) Nr. 206/2012</w:t>
                  </w:r>
                </w:hyperlink>
                <w:r>
                  <w:rPr>
                    <w:rFonts w:eastAsia="Calibri"/>
                    <w:bCs/>
                    <w:color w:val="000000"/>
                    <w:szCs w:val="24"/>
                    <w:lang w:eastAsia="lt-LT"/>
                  </w:rPr>
                  <w:t xml:space="preserve">, kuriuo įgyvendinant Europos Parlamento ir Tarybos direktyvą </w:t>
                </w:r>
                <w:hyperlink r:id="rId80" w:tgtFrame="_blank" w:history="1">
                  <w:r>
                    <w:rPr>
                      <w:rFonts w:eastAsia="Calibri"/>
                      <w:bCs/>
                      <w:color w:val="0000FF" w:themeColor="hyperlink"/>
                      <w:szCs w:val="24"/>
                      <w:u w:val="single"/>
                      <w:lang w:eastAsia="lt-LT"/>
                    </w:rPr>
                    <w:t>2009/125/EB</w:t>
                  </w:r>
                </w:hyperlink>
                <w:r>
                  <w:rPr>
                    <w:rFonts w:eastAsia="Calibri"/>
                    <w:bCs/>
                    <w:color w:val="000000"/>
                    <w:szCs w:val="24"/>
                    <w:lang w:eastAsia="lt-LT"/>
                  </w:rPr>
                  <w:t xml:space="preserve"> nustatomi oro kondicionierių ir patogumo ventiliatorių ekologinio projektavimo reikalavimai,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10.</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Gyvenamųjų patalpų vėdinimo įrenginiai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2014 m. liepos 11 d. Komisijos deleguotasis reglamentas </w:t>
                </w:r>
                <w:hyperlink r:id="rId81" w:tgtFrame="_blank" w:history="1">
                  <w:r>
                    <w:rPr>
                      <w:color w:val="0000FF" w:themeColor="hyperlink"/>
                      <w:szCs w:val="24"/>
                      <w:u w:val="single"/>
                    </w:rPr>
                    <w:t>(ES) Nr. 1254/2014</w:t>
                  </w:r>
                </w:hyperlink>
                <w:r>
                  <w:rPr>
                    <w:color w:val="000000"/>
                    <w:szCs w:val="24"/>
                  </w:rPr>
                  <w:t xml:space="preserve">, kuriuo Europos Parlamento ir Tarybos direktyva </w:t>
                </w:r>
                <w:hyperlink r:id="rId82" w:tgtFrame="_blank" w:history="1">
                  <w:r>
                    <w:rPr>
                      <w:color w:val="0000FF" w:themeColor="hyperlink"/>
                      <w:szCs w:val="24"/>
                      <w:u w:val="single"/>
                    </w:rPr>
                    <w:t>2010/30/ES</w:t>
                  </w:r>
                </w:hyperlink>
                <w:r>
                  <w:rPr>
                    <w:color w:val="000000"/>
                    <w:szCs w:val="24"/>
                  </w:rPr>
                  <w:t xml:space="preserve"> papildoma gyvenamųjų patalpų vėdinimo įrenginių energijos vartojimo efektyvumo ženklinimo reikalavimais, su visais pakeitimais, ir 2014 m. liepos 7 d. Komisijos reglamentas </w:t>
                </w:r>
                <w:hyperlink r:id="rId83" w:tgtFrame="_blank" w:history="1">
                  <w:r>
                    <w:rPr>
                      <w:color w:val="0000FF" w:themeColor="hyperlink"/>
                      <w:szCs w:val="24"/>
                      <w:u w:val="single"/>
                    </w:rPr>
                    <w:t>(ES) Nr. 1253/2014</w:t>
                  </w:r>
                </w:hyperlink>
                <w:r>
                  <w:rPr>
                    <w:color w:val="000000"/>
                    <w:szCs w:val="24"/>
                  </w:rPr>
                  <w:t xml:space="preserve">, kuriuo įgyvendinant Europos Parlamento ir Tarybos direktyvą </w:t>
                </w:r>
                <w:hyperlink r:id="rId84" w:tgtFrame="_blank" w:history="1">
                  <w:r>
                    <w:rPr>
                      <w:color w:val="0000FF" w:themeColor="hyperlink"/>
                      <w:szCs w:val="24"/>
                      <w:u w:val="single"/>
                    </w:rPr>
                    <w:t>2009/125/EB</w:t>
                  </w:r>
                </w:hyperlink>
                <w:r>
                  <w:rPr>
                    <w:color w:val="000000"/>
                    <w:szCs w:val="24"/>
                  </w:rPr>
                  <w:t xml:space="preserve"> nustatomi vėdinimo įrenginių ekologinio projektavimo reikalavimai,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11.</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rFonts w:eastAsia="Calibri"/>
                    <w:bCs/>
                    <w:color w:val="000000"/>
                    <w:szCs w:val="24"/>
                  </w:rPr>
                </w:pPr>
                <w:r>
                  <w:rPr>
                    <w:rFonts w:eastAsia="Calibri"/>
                    <w:bCs/>
                    <w:color w:val="000000"/>
                    <w:szCs w:val="24"/>
                  </w:rPr>
                  <w:t xml:space="preserve">Patalpų šildytuvai, kombinuotieji šildytuvai, kurių vardinis šilumos atidavimas ≤ 70 kW, patalpų šildytuvai (≤70 kW), temperatūros reguliatoriaus ir saulės energijos įrenginio komplektai </w:t>
                </w:r>
              </w:p>
              <w:p>
                <w:pPr>
                  <w:keepNext/>
                  <w:suppressAutoHyphens/>
                  <w:jc w:val="both"/>
                  <w:textAlignment w:val="center"/>
                  <w:rPr>
                    <w:color w:val="000000"/>
                    <w:szCs w:val="24"/>
                  </w:rPr>
                </w:pPr>
                <w:r>
                  <w:rPr>
                    <w:bCs/>
                    <w:color w:val="000000"/>
                    <w:szCs w:val="24"/>
                  </w:rPr>
                  <w:t>ir kombinuotojo šildytuvo (≤ 70 kW), temperatūros reguliatoriaus ir saulės energijos įrenginio komplektai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2013 m. vasario 18 d. Komisijos deleguotasis reglamentas </w:t>
                </w:r>
                <w:hyperlink r:id="rId85" w:tgtFrame="_blank" w:history="1">
                  <w:r>
                    <w:rPr>
                      <w:color w:val="0000FF" w:themeColor="hyperlink"/>
                      <w:szCs w:val="24"/>
                      <w:u w:val="single"/>
                    </w:rPr>
                    <w:t>(ES) Nr. 811/2013</w:t>
                  </w:r>
                </w:hyperlink>
                <w:r>
                  <w:rPr>
                    <w:color w:val="000000"/>
                    <w:szCs w:val="24"/>
                  </w:rPr>
                  <w:t xml:space="preserve">, kuriuo papildomos Europos Parlamento ir Tarybos direktyvos </w:t>
                </w:r>
                <w:hyperlink r:id="rId86" w:tgtFrame="_blank" w:history="1">
                  <w:r>
                    <w:rPr>
                      <w:color w:val="0000FF" w:themeColor="hyperlink"/>
                      <w:szCs w:val="24"/>
                      <w:u w:val="single"/>
                    </w:rPr>
                    <w:t>2010/30/ES</w:t>
                  </w:r>
                </w:hyperlink>
                <w:r>
                  <w:rPr>
                    <w:color w:val="000000"/>
                    <w:szCs w:val="24"/>
                  </w:rPr>
                  <w:t xml:space="preserve"> nuostatos</w:t>
                </w:r>
                <w:r>
                  <w:rPr>
                    <w:bCs/>
                    <w:color w:val="000000"/>
                    <w:szCs w:val="24"/>
                  </w:rPr>
                  <w:t xml:space="preserve"> dėl patalpų šildytuvų, kombinuotųjų šildytuvų, patalpų šildytuvo, temperatūros reguliatoriaus ir saulės energijos įrenginio komplektų, taip pat kombinuotojo šildytuvo, temperatūros reguliatoriaus ir saulės energijos įrenginio komplektų energijos vartojimo efektyvumo ženklinimo,</w:t>
                </w:r>
                <w:r>
                  <w:rPr>
                    <w:color w:val="000000"/>
                    <w:szCs w:val="24"/>
                  </w:rPr>
                  <w:t xml:space="preserve">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12.</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bCs/>
                    <w:color w:val="000000"/>
                    <w:szCs w:val="24"/>
                  </w:rPr>
                </w:pPr>
                <w:r>
                  <w:rPr>
                    <w:color w:val="000000"/>
                    <w:szCs w:val="24"/>
                  </w:rPr>
                  <w:t>Vietiniai patalpų šildytuvai, kurių vardinė šiluminė galia ≤50 kW</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2015 m. balandžio 24 d. Komisijos deleguotasis reglamentas </w:t>
                </w:r>
                <w:hyperlink r:id="rId87" w:tgtFrame="_blank" w:history="1">
                  <w:r>
                    <w:rPr>
                      <w:color w:val="0000FF" w:themeColor="hyperlink"/>
                      <w:szCs w:val="24"/>
                      <w:u w:val="single"/>
                    </w:rPr>
                    <w:t>(ES) Nr. 2015/1186</w:t>
                  </w:r>
                </w:hyperlink>
                <w:r>
                  <w:rPr>
                    <w:color w:val="000000"/>
                    <w:szCs w:val="24"/>
                  </w:rPr>
                  <w:t xml:space="preserve">, kuriuo dėl vietinių patalpų šildytuvų energijos vartojimo efektyvumo ženklinimo reikalavimų nustatymo papildoma Europos Parlamento ir Tarybos direktyva </w:t>
                </w:r>
                <w:hyperlink r:id="rId88" w:tgtFrame="_blank" w:history="1">
                  <w:r>
                    <w:rPr>
                      <w:color w:val="0000FF" w:themeColor="hyperlink"/>
                      <w:szCs w:val="24"/>
                      <w:u w:val="single"/>
                    </w:rPr>
                    <w:t>2010/30/ES</w:t>
                  </w:r>
                </w:hyperlink>
                <w:r>
                  <w:rPr>
                    <w:color w:val="000000"/>
                    <w:szCs w:val="24"/>
                  </w:rPr>
                  <w:t>, su visais pakeitimais, ir</w:t>
                </w:r>
              </w:p>
              <w:p>
                <w:pPr>
                  <w:keepNext/>
                  <w:suppressAutoHyphens/>
                  <w:jc w:val="both"/>
                  <w:textAlignment w:val="center"/>
                  <w:rPr>
                    <w:color w:val="000000"/>
                    <w:szCs w:val="24"/>
                  </w:rPr>
                </w:pPr>
                <w:r>
                  <w:rPr>
                    <w:color w:val="000000"/>
                    <w:szCs w:val="24"/>
                  </w:rPr>
                  <w:t xml:space="preserve">2015 m. balandžio 24 d. Komisijos reglamentas </w:t>
                </w:r>
                <w:hyperlink r:id="rId89" w:tgtFrame="_blank" w:history="1">
                  <w:r>
                    <w:rPr>
                      <w:color w:val="0000FF" w:themeColor="hyperlink"/>
                      <w:szCs w:val="24"/>
                      <w:u w:val="single"/>
                    </w:rPr>
                    <w:t>(ES) 2015/1185</w:t>
                  </w:r>
                </w:hyperlink>
                <w:r>
                  <w:rPr>
                    <w:color w:val="000000"/>
                    <w:szCs w:val="24"/>
                  </w:rPr>
                  <w:t xml:space="preserve">, kuriuo įgyvendinant Europos Parlamento ir Tarybos direktyvą </w:t>
                </w:r>
                <w:hyperlink r:id="rId90" w:tgtFrame="_blank" w:history="1">
                  <w:r>
                    <w:rPr>
                      <w:color w:val="0000FF" w:themeColor="hyperlink"/>
                      <w:szCs w:val="24"/>
                      <w:u w:val="single"/>
                    </w:rPr>
                    <w:t>2009/125/EB</w:t>
                  </w:r>
                </w:hyperlink>
                <w:r>
                  <w:rPr>
                    <w:color w:val="000000"/>
                    <w:szCs w:val="24"/>
                  </w:rPr>
                  <w:t xml:space="preserve"> nustatomi kietojo kuro vietinių patalpų šildytuvų ekologinio projektavimo reikalavimai,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13.</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textAlignment w:val="center"/>
                  <w:rPr>
                    <w:color w:val="000000"/>
                    <w:szCs w:val="24"/>
                  </w:rPr>
                </w:pPr>
                <w:r>
                  <w:rPr>
                    <w:color w:val="000000"/>
                    <w:szCs w:val="24"/>
                  </w:rPr>
                  <w:t>Vandens šildytuvai, kurių vardinis šilumos atidavimas ≤ 70 kW, karšto vandens talpyklos (talpa ≤500 litrų) bei vandens šildytuvo (≤ 70 kW) ir saulės energijos įrenginio</w:t>
                </w:r>
                <w:r>
                  <w:rPr>
                    <w:b/>
                    <w:bCs/>
                    <w:color w:val="000000"/>
                    <w:szCs w:val="24"/>
                  </w:rPr>
                  <w:t xml:space="preserve"> </w:t>
                </w:r>
                <w:r>
                  <w:rPr>
                    <w:color w:val="000000"/>
                    <w:szCs w:val="24"/>
                  </w:rPr>
                  <w:t>komplektai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2013 m. vasario 18 d. Komisijos deleguotasis reglamentas </w:t>
                </w:r>
                <w:hyperlink r:id="rId91" w:tgtFrame="_blank" w:history="1">
                  <w:r>
                    <w:rPr>
                      <w:color w:val="0000FF" w:themeColor="hyperlink"/>
                      <w:szCs w:val="24"/>
                      <w:u w:val="single"/>
                    </w:rPr>
                    <w:t>(ES) Nr.  812/2013</w:t>
                  </w:r>
                </w:hyperlink>
                <w:r>
                  <w:rPr>
                    <w:color w:val="000000"/>
                    <w:szCs w:val="24"/>
                  </w:rPr>
                  <w:t xml:space="preserve">, kuriuo papildoma Europos Parlamento ir Tarybos direktyva </w:t>
                </w:r>
                <w:hyperlink r:id="rId92" w:tgtFrame="_blank" w:history="1">
                  <w:r>
                    <w:rPr>
                      <w:color w:val="0000FF" w:themeColor="hyperlink"/>
                      <w:szCs w:val="24"/>
                      <w:u w:val="single"/>
                    </w:rPr>
                    <w:t>2010/30/ES</w:t>
                  </w:r>
                </w:hyperlink>
                <w:r>
                  <w:rPr>
                    <w:color w:val="000000"/>
                    <w:szCs w:val="24"/>
                  </w:rPr>
                  <w:t xml:space="preserve">, nustatant vandens šildytuvų, karšto vandens talpyklų, taip pat vandens šildytuvo ir saulės energijos kolektoriaus komplektų energijos vartojimo efektyvumo ženklinimo reikalavimus, su visais pakeitimais </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14.</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Kietojo kuro katilai, kurių vardinė šiluminė galia ne didesnė kaip 70 kW, bei komplektai su šiais katilais, papildomaisiais šildytuvais, temperatūros reguliatoriais ir saulės energijos įrenginiais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jc w:val="both"/>
                  <w:textAlignment w:val="center"/>
                  <w:rPr>
                    <w:color w:val="000000"/>
                    <w:szCs w:val="24"/>
                  </w:rPr>
                </w:pPr>
                <w:r>
                  <w:rPr>
                    <w:color w:val="000000"/>
                    <w:szCs w:val="24"/>
                  </w:rPr>
                  <w:t xml:space="preserve">2015 m. balandžio 27 d. Komisijos deleguotasis reglamentas </w:t>
                </w:r>
                <w:hyperlink r:id="rId93" w:tgtFrame="_blank" w:history="1">
                  <w:r>
                    <w:rPr>
                      <w:color w:val="0000FF" w:themeColor="hyperlink"/>
                      <w:szCs w:val="24"/>
                      <w:u w:val="single"/>
                    </w:rPr>
                    <w:t>(ES) Nr. 2015/1187</w:t>
                  </w:r>
                </w:hyperlink>
                <w:r>
                  <w:rPr>
                    <w:color w:val="000000"/>
                    <w:szCs w:val="24"/>
                  </w:rPr>
                  <w:t xml:space="preserve">, kuriuo Europos Parlamento ir Tarybos direktyva </w:t>
                </w:r>
                <w:hyperlink r:id="rId94" w:tgtFrame="_blank" w:history="1">
                  <w:r>
                    <w:rPr>
                      <w:color w:val="0000FF" w:themeColor="hyperlink"/>
                      <w:szCs w:val="24"/>
                      <w:u w:val="single"/>
                    </w:rPr>
                    <w:t>2010/30/ES</w:t>
                  </w:r>
                </w:hyperlink>
                <w:r>
                  <w:rPr>
                    <w:color w:val="000000"/>
                    <w:szCs w:val="24"/>
                  </w:rPr>
                  <w:t xml:space="preserve"> papildoma nuostatomis dėl kietojo kuro katilų ir komplektų, kuriuos sudaro kietojo kuro katilas, papildomieji šildytuvai, temperatūros reguliatoriai ir saulės energijos įrenginiai, ženklinimo energijos vartojimo efektyvumo etikete reikalavimų,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15.</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Kompiuteriai, išskyrus kišeninius kompiuterius, serveriai ir internetiniai duomenų saugojimo gaminiai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color w:val="000000"/>
                    <w:szCs w:val="24"/>
                    <w:lang w:eastAsia="lt-LT"/>
                  </w:rPr>
                  <w:t xml:space="preserve">2013 m. birželio 26 d. Komisijos reglamentas </w:t>
                </w:r>
                <w:hyperlink r:id="rId95" w:tgtFrame="_blank" w:history="1">
                  <w:r>
                    <w:rPr>
                      <w:rFonts w:eastAsia="Calibri"/>
                      <w:color w:val="0000FF" w:themeColor="hyperlink"/>
                      <w:szCs w:val="24"/>
                      <w:u w:val="single"/>
                      <w:lang w:eastAsia="lt-LT"/>
                    </w:rPr>
                    <w:t>(ES) Nr. 617/2013</w:t>
                  </w:r>
                </w:hyperlink>
                <w:r>
                  <w:rPr>
                    <w:rFonts w:eastAsia="Calibri"/>
                    <w:color w:val="000000"/>
                    <w:szCs w:val="24"/>
                    <w:lang w:eastAsia="lt-LT"/>
                  </w:rPr>
                  <w:t xml:space="preserve">, </w:t>
                </w:r>
                <w:r>
                  <w:rPr>
                    <w:rFonts w:eastAsia="Calibri"/>
                    <w:bCs/>
                    <w:color w:val="000000"/>
                    <w:szCs w:val="24"/>
                    <w:lang w:eastAsia="lt-LT"/>
                  </w:rPr>
                  <w:t xml:space="preserve">kuriuo įgyvendinant Europos Parlamento ir Tarybos direktyvą </w:t>
                </w:r>
                <w:hyperlink r:id="rId96" w:tgtFrame="_blank" w:history="1">
                  <w:r>
                    <w:rPr>
                      <w:rFonts w:eastAsia="Calibri"/>
                      <w:bCs/>
                      <w:color w:val="0000FF" w:themeColor="hyperlink"/>
                      <w:szCs w:val="24"/>
                      <w:u w:val="single"/>
                      <w:lang w:eastAsia="lt-LT"/>
                    </w:rPr>
                    <w:t>2009/125/EB</w:t>
                  </w:r>
                </w:hyperlink>
                <w:r>
                  <w:rPr>
                    <w:rFonts w:eastAsia="Calibri"/>
                    <w:bCs/>
                    <w:color w:val="000000"/>
                    <w:szCs w:val="24"/>
                    <w:lang w:eastAsia="lt-LT"/>
                  </w:rPr>
                  <w:t xml:space="preserve"> nustatomi kompiuterių ir serverių ekologinio projektavimo reikalavimai, su visais pakeitimais, ir</w:t>
                </w:r>
              </w:p>
              <w:p>
                <w:pPr>
                  <w:jc w:val="both"/>
                  <w:rPr>
                    <w:rFonts w:eastAsia="Calibri"/>
                    <w:bCs/>
                    <w:color w:val="000000"/>
                    <w:szCs w:val="24"/>
                    <w:lang w:eastAsia="lt-LT"/>
                  </w:rPr>
                </w:pPr>
                <w:r>
                  <w:rPr>
                    <w:rFonts w:eastAsia="Calibri"/>
                    <w:bCs/>
                    <w:color w:val="000000"/>
                    <w:szCs w:val="24"/>
                    <w:lang w:eastAsia="lt-LT"/>
                  </w:rPr>
                  <w:t xml:space="preserve">2019 m. kovo 15 d. Komisijos reglamentas </w:t>
                </w:r>
                <w:hyperlink r:id="rId97" w:tgtFrame="_blank" w:history="1">
                  <w:r>
                    <w:rPr>
                      <w:rFonts w:eastAsia="Calibri"/>
                      <w:bCs/>
                      <w:color w:val="0000FF" w:themeColor="hyperlink"/>
                      <w:szCs w:val="24"/>
                      <w:u w:val="single"/>
                      <w:lang w:eastAsia="lt-LT"/>
                    </w:rPr>
                    <w:t>(ES) 2019/424</w:t>
                  </w:r>
                </w:hyperlink>
                <w:r>
                  <w:rPr>
                    <w:rFonts w:eastAsia="Calibri"/>
                    <w:bCs/>
                    <w:color w:val="000000"/>
                    <w:szCs w:val="24"/>
                    <w:lang w:eastAsia="lt-LT"/>
                  </w:rPr>
                  <w:t xml:space="preserve">, </w:t>
                </w:r>
                <w:r>
                  <w:rPr>
                    <w:rFonts w:eastAsia="Calibri"/>
                    <w:color w:val="000000"/>
                    <w:szCs w:val="24"/>
                    <w:lang w:eastAsia="lt-LT"/>
                  </w:rPr>
                  <w:t xml:space="preserve">kuriuo pagal Europos Parlamento ir Tarybos direktyvą </w:t>
                </w:r>
                <w:hyperlink r:id="rId98" w:tgtFrame="_blank" w:history="1">
                  <w:r>
                    <w:rPr>
                      <w:rFonts w:eastAsia="Calibri"/>
                      <w:color w:val="0000FF" w:themeColor="hyperlink"/>
                      <w:szCs w:val="24"/>
                      <w:u w:val="single"/>
                      <w:lang w:eastAsia="lt-LT"/>
                    </w:rPr>
                    <w:t>2009/125/EB</w:t>
                  </w:r>
                </w:hyperlink>
                <w:r>
                  <w:rPr>
                    <w:rFonts w:eastAsia="Calibri"/>
                    <w:color w:val="000000"/>
                    <w:szCs w:val="24"/>
                    <w:lang w:eastAsia="lt-LT"/>
                  </w:rPr>
                  <w:t xml:space="preserve"> nustatomi serveriams ir duomenų saugojimo gaminiams keliami ekologinio projektavimo reikalavimai ir iš dalies keičiamas Komisijos reglamentas </w:t>
                </w:r>
                <w:hyperlink r:id="rId99" w:tgtFrame="_blank" w:history="1">
                  <w:r>
                    <w:rPr>
                      <w:rFonts w:eastAsia="Calibri"/>
                      <w:color w:val="0000FF" w:themeColor="hyperlink"/>
                      <w:szCs w:val="24"/>
                      <w:u w:val="single"/>
                      <w:lang w:eastAsia="lt-LT"/>
                    </w:rPr>
                    <w:t>(ES) Nr. 617/2013</w:t>
                  </w:r>
                </w:hyperlink>
                <w:r>
                  <w:rPr>
                    <w:rFonts w:eastAsia="Calibri"/>
                    <w:color w:val="000000"/>
                    <w:szCs w:val="24"/>
                    <w:lang w:eastAsia="lt-LT"/>
                  </w:rPr>
                  <w:t>,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16.</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Mažos, vidutinės ir didelės galios transformatoriai, kurių galia ≥ 1 kVA</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color w:val="000000"/>
                    <w:szCs w:val="24"/>
                  </w:rPr>
                </w:pPr>
                <w:r>
                  <w:rPr>
                    <w:bCs/>
                    <w:color w:val="000000"/>
                    <w:szCs w:val="24"/>
                  </w:rPr>
                  <w:t xml:space="preserve">2019 m. spalio 1 d. Komisijos reglamentas </w:t>
                </w:r>
                <w:hyperlink r:id="rId100" w:tgtFrame="_blank" w:history="1">
                  <w:r>
                    <w:rPr>
                      <w:bCs/>
                      <w:color w:val="0000FF" w:themeColor="hyperlink"/>
                      <w:szCs w:val="24"/>
                      <w:u w:val="single"/>
                    </w:rPr>
                    <w:t>(ES) Nr. 2019/1783</w:t>
                  </w:r>
                </w:hyperlink>
                <w:r>
                  <w:rPr>
                    <w:bCs/>
                    <w:color w:val="000000"/>
                    <w:szCs w:val="24"/>
                  </w:rPr>
                  <w:t xml:space="preserve"> kuriuo iš dalies keičiamas 2014 m. gegužės 21 d. Reglamentas </w:t>
                </w:r>
                <w:hyperlink r:id="rId101" w:tgtFrame="_blank" w:history="1">
                  <w:r>
                    <w:rPr>
                      <w:bCs/>
                      <w:color w:val="0000FF" w:themeColor="hyperlink"/>
                      <w:szCs w:val="24"/>
                      <w:u w:val="single"/>
                    </w:rPr>
                    <w:t>(ES) Nr. 548/2014</w:t>
                  </w:r>
                </w:hyperlink>
                <w:r>
                  <w:rPr>
                    <w:bCs/>
                    <w:color w:val="000000"/>
                    <w:szCs w:val="24"/>
                  </w:rPr>
                  <w:t xml:space="preserve"> dėl Europos Parlamento ir Tarybos direktyvos </w:t>
                </w:r>
                <w:hyperlink r:id="rId102" w:tgtFrame="_blank" w:history="1">
                  <w:r>
                    <w:rPr>
                      <w:bCs/>
                      <w:color w:val="0000FF" w:themeColor="hyperlink"/>
                      <w:szCs w:val="24"/>
                      <w:u w:val="single"/>
                    </w:rPr>
                    <w:t>2009/125/EB</w:t>
                  </w:r>
                </w:hyperlink>
                <w:r>
                  <w:rPr>
                    <w:bCs/>
                    <w:color w:val="000000"/>
                    <w:szCs w:val="24"/>
                  </w:rPr>
                  <w:t xml:space="preserve"> nuostatų, susijusių su mažos, vidutinės ir didelės galios transformatoriais, įgyvendinimo.</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17.</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bCs/>
                    <w:color w:val="000000"/>
                    <w:szCs w:val="24"/>
                  </w:rPr>
                  <w:t xml:space="preserve">Autonominiai beriebokšliai  apytakiniai siurbliai ir į gaminius įmontuojami beriebokšliai apytakiniai siurbliai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rPr>
                  <w:t xml:space="preserve">2009 m. liepos 22 d. Komisijos reglamentas </w:t>
                </w:r>
                <w:hyperlink r:id="rId103" w:tgtFrame="_blank" w:history="1">
                  <w:r>
                    <w:rPr>
                      <w:bCs/>
                      <w:color w:val="0000FF" w:themeColor="hyperlink"/>
                      <w:szCs w:val="24"/>
                      <w:u w:val="single"/>
                    </w:rPr>
                    <w:t>(EB) Nr. 641/2009</w:t>
                  </w:r>
                </w:hyperlink>
                <w:r>
                  <w:rPr>
                    <w:bCs/>
                    <w:color w:val="000000"/>
                    <w:szCs w:val="24"/>
                  </w:rPr>
                  <w:t xml:space="preserve">, kuriuo įgyvendinant Europos Parlamento ir Tarybos direktyvą </w:t>
                </w:r>
                <w:hyperlink r:id="rId104" w:tgtFrame="_blank" w:history="1">
                  <w:r>
                    <w:rPr>
                      <w:bCs/>
                      <w:color w:val="0000FF" w:themeColor="hyperlink"/>
                      <w:szCs w:val="24"/>
                      <w:u w:val="single"/>
                    </w:rPr>
                    <w:t>2005/32/EB</w:t>
                  </w:r>
                </w:hyperlink>
                <w:r>
                  <w:rPr>
                    <w:bCs/>
                    <w:color w:val="000000"/>
                    <w:szCs w:val="24"/>
                  </w:rPr>
                  <w:t xml:space="preserve"> nustatomi autonominių beriebokšlių apytakinių siurblių ir į gaminius įmontuojamų beriebokšlių apytakinių siurblių ekologinio projektavimo reikalavimai, su visais pakeitimais</w:t>
                </w:r>
              </w:p>
              <w:p>
                <w:pPr>
                  <w:tabs>
                    <w:tab w:val="left" w:pos="321"/>
                  </w:tabs>
                  <w:suppressAutoHyphens/>
                  <w:jc w:val="both"/>
                  <w:textAlignment w:val="center"/>
                  <w:rPr>
                    <w:bCs/>
                    <w:color w:val="000000"/>
                    <w:szCs w:val="24"/>
                  </w:rPr>
                </w:pP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18.</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Gryno vandens siurbliai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bCs/>
                    <w:color w:val="000000"/>
                    <w:szCs w:val="24"/>
                  </w:rPr>
                </w:pPr>
                <w:r>
                  <w:rPr>
                    <w:bCs/>
                    <w:color w:val="000000"/>
                    <w:szCs w:val="24"/>
                  </w:rPr>
                  <w:t xml:space="preserve">2012 m. birželio 25 d. Komisijos reglamentas </w:t>
                </w:r>
                <w:hyperlink r:id="rId105" w:tgtFrame="_blank" w:history="1">
                  <w:r>
                    <w:rPr>
                      <w:bCs/>
                      <w:color w:val="0000FF" w:themeColor="hyperlink"/>
                      <w:szCs w:val="24"/>
                      <w:u w:val="single"/>
                    </w:rPr>
                    <w:t>(ES) Nr. 547/2012</w:t>
                  </w:r>
                </w:hyperlink>
                <w:r>
                  <w:rPr>
                    <w:bCs/>
                    <w:color w:val="000000"/>
                    <w:szCs w:val="24"/>
                  </w:rPr>
                  <w:t xml:space="preserve">, kuriuo įgyvendinant Europos Parlamento ir Tarybos direktyvą </w:t>
                </w:r>
                <w:hyperlink r:id="rId106" w:tgtFrame="_blank" w:history="1">
                  <w:r>
                    <w:rPr>
                      <w:bCs/>
                      <w:color w:val="0000FF" w:themeColor="hyperlink"/>
                      <w:szCs w:val="24"/>
                      <w:u w:val="single"/>
                    </w:rPr>
                    <w:t>2009/125/EB</w:t>
                  </w:r>
                </w:hyperlink>
                <w:r>
                  <w:rPr>
                    <w:bCs/>
                    <w:color w:val="000000"/>
                    <w:szCs w:val="24"/>
                  </w:rPr>
                  <w:t xml:space="preserve"> nustatomi vandens siurblių ekologinio projektavimo reikalavimai, su visais pakeitimais</w:t>
                </w:r>
              </w:p>
            </w:tc>
          </w:tr>
          <w:tr>
            <w:trPr>
              <w:trHeight w:val="1362"/>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19.</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Pramoniniai ventiliatoriai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bCs/>
                    <w:color w:val="000000"/>
                    <w:szCs w:val="24"/>
                    <w:lang w:eastAsia="lt-LT"/>
                  </w:rPr>
                  <w:t xml:space="preserve">2011 m. kovo 30 d. Komisijos reglamentas </w:t>
                </w:r>
                <w:hyperlink r:id="rId107" w:tgtFrame="_blank" w:history="1">
                  <w:r>
                    <w:rPr>
                      <w:rFonts w:eastAsia="Calibri"/>
                      <w:bCs/>
                      <w:color w:val="0000FF" w:themeColor="hyperlink"/>
                      <w:szCs w:val="24"/>
                      <w:u w:val="single"/>
                      <w:lang w:eastAsia="lt-LT"/>
                    </w:rPr>
                    <w:t>(ES) Nr. 327/2011</w:t>
                  </w:r>
                </w:hyperlink>
                <w:r>
                  <w:rPr>
                    <w:rFonts w:eastAsia="Calibri"/>
                    <w:bCs/>
                    <w:color w:val="000000"/>
                    <w:szCs w:val="24"/>
                    <w:lang w:eastAsia="lt-LT"/>
                  </w:rPr>
                  <w:t xml:space="preserve">, kuriuo įgyvendinant Europos Parlamento ir Tarybos direktyvą </w:t>
                </w:r>
                <w:hyperlink r:id="rId108" w:tgtFrame="_blank" w:history="1">
                  <w:r>
                    <w:rPr>
                      <w:rFonts w:eastAsia="Calibri"/>
                      <w:bCs/>
                      <w:color w:val="0000FF" w:themeColor="hyperlink"/>
                      <w:szCs w:val="24"/>
                      <w:u w:val="single"/>
                      <w:lang w:eastAsia="lt-LT"/>
                    </w:rPr>
                    <w:t>2009/125/EB</w:t>
                  </w:r>
                </w:hyperlink>
                <w:r>
                  <w:rPr>
                    <w:rFonts w:eastAsia="Calibri"/>
                    <w:bCs/>
                    <w:color w:val="000000"/>
                    <w:szCs w:val="24"/>
                    <w:lang w:eastAsia="lt-LT"/>
                  </w:rPr>
                  <w:t xml:space="preserve"> nustatomi ventiliatorių, varomų 125 W–500 kW įėjimo galios elektros varikliais, ekologinio projektavimo reikalavimai, su visais pakeitimais</w:t>
                </w:r>
              </w:p>
            </w:tc>
          </w:tr>
          <w:tr>
            <w:trPr>
              <w:trHeight w:val="1082"/>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20.</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Vėdinimo įrenginiai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bCs/>
                    <w:color w:val="000000"/>
                    <w:szCs w:val="24"/>
                    <w:lang w:eastAsia="lt-LT"/>
                  </w:rPr>
                  <w:t xml:space="preserve">2014 m. liepos 7 d. Komisijos reglamentas </w:t>
                </w:r>
                <w:hyperlink r:id="rId109" w:tgtFrame="_blank" w:history="1">
                  <w:r>
                    <w:rPr>
                      <w:rFonts w:eastAsia="Calibri"/>
                      <w:bCs/>
                      <w:color w:val="0000FF" w:themeColor="hyperlink"/>
                      <w:szCs w:val="24"/>
                      <w:u w:val="single"/>
                      <w:lang w:eastAsia="lt-LT"/>
                    </w:rPr>
                    <w:t>(ES) Nr. 1253/2014</w:t>
                  </w:r>
                </w:hyperlink>
                <w:r>
                  <w:rPr>
                    <w:rFonts w:eastAsia="Calibri"/>
                    <w:bCs/>
                    <w:color w:val="000000"/>
                    <w:szCs w:val="24"/>
                    <w:lang w:eastAsia="lt-LT"/>
                  </w:rPr>
                  <w:t xml:space="preserve">, kuriuo įgyvendinant Europos Parlamento ir Tarybos direktyvą </w:t>
                </w:r>
                <w:hyperlink r:id="rId110" w:tgtFrame="_blank" w:history="1">
                  <w:r>
                    <w:rPr>
                      <w:rFonts w:eastAsia="Calibri"/>
                      <w:bCs/>
                      <w:color w:val="0000FF" w:themeColor="hyperlink"/>
                      <w:szCs w:val="24"/>
                      <w:u w:val="single"/>
                      <w:lang w:eastAsia="lt-LT"/>
                    </w:rPr>
                    <w:t>2009/125/EB</w:t>
                  </w:r>
                </w:hyperlink>
                <w:r>
                  <w:rPr>
                    <w:rFonts w:eastAsia="Calibri"/>
                    <w:bCs/>
                    <w:color w:val="000000"/>
                    <w:szCs w:val="24"/>
                    <w:lang w:eastAsia="lt-LT"/>
                  </w:rPr>
                  <w:t xml:space="preserve"> nustatomi vėdinimo įrenginių ekologinio projektavimo reikalavimai, su visais pakeitimais</w:t>
                </w:r>
              </w:p>
            </w:tc>
          </w:tr>
          <w:tr>
            <w:trPr>
              <w:trHeight w:val="88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21.</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 xml:space="preserve">Oro šildymo gaminiai,  kurių vardinis šildymo pajėgumas </w:t>
                </w:r>
                <w:r>
                  <w:rPr>
                    <w:color w:val="000000"/>
                    <w:szCs w:val="24"/>
                    <w:shd w:val="clear" w:color="auto" w:fill="FFFFFF"/>
                  </w:rPr>
                  <w:t>ne didesnis kaip 1 MW</w:t>
                </w:r>
                <w:r>
                  <w:rPr>
                    <w:color w:val="000000"/>
                    <w:szCs w:val="24"/>
                  </w:rPr>
                  <w:t>, v</w:t>
                </w:r>
                <w:r>
                  <w:rPr>
                    <w:color w:val="000000"/>
                    <w:szCs w:val="24"/>
                    <w:shd w:val="clear" w:color="auto" w:fill="FFFFFF"/>
                  </w:rPr>
                  <w:t>ėsinimo gaminiai ir aukštatemperatūriai technologiniai aušintuvai, kurių vardinis vėsinimo pajėgumas ne didesnis kaip 2 MW</w:t>
                </w:r>
                <w:r>
                  <w:rPr>
                    <w:color w:val="000000"/>
                    <w:szCs w:val="24"/>
                  </w:rPr>
                  <w:t>, ventiliatoriniai konvektoriai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bCs/>
                    <w:color w:val="000000"/>
                    <w:szCs w:val="24"/>
                    <w:lang w:eastAsia="lt-LT"/>
                  </w:rPr>
                </w:pPr>
                <w:r>
                  <w:rPr>
                    <w:rFonts w:eastAsia="Calibri"/>
                    <w:color w:val="000000"/>
                    <w:szCs w:val="24"/>
                    <w:lang w:eastAsia="lt-LT"/>
                  </w:rPr>
                  <w:t xml:space="preserve">2016 m. lapkričio 30 d. Komisijos reglamentas </w:t>
                </w:r>
                <w:hyperlink r:id="rId111" w:tgtFrame="_blank" w:history="1">
                  <w:r>
                    <w:rPr>
                      <w:rFonts w:eastAsia="Calibri"/>
                      <w:color w:val="0000FF" w:themeColor="hyperlink"/>
                      <w:szCs w:val="24"/>
                      <w:u w:val="single"/>
                      <w:lang w:eastAsia="lt-LT"/>
                    </w:rPr>
                    <w:t>(ES) Nr. 2016/2281</w:t>
                  </w:r>
                </w:hyperlink>
                <w:r>
                  <w:rPr>
                    <w:rFonts w:eastAsia="Calibri"/>
                    <w:color w:val="000000"/>
                    <w:szCs w:val="24"/>
                    <w:lang w:eastAsia="lt-LT"/>
                  </w:rPr>
                  <w:t xml:space="preserve">, kuriuo, įgyvendinant Europos Parlamento ir Tarybos direktyvą </w:t>
                </w:r>
                <w:hyperlink r:id="rId112" w:tgtFrame="_blank" w:history="1">
                  <w:r>
                    <w:rPr>
                      <w:rFonts w:eastAsia="Calibri"/>
                      <w:color w:val="0000FF" w:themeColor="hyperlink"/>
                      <w:szCs w:val="24"/>
                      <w:u w:val="single"/>
                      <w:lang w:eastAsia="lt-LT"/>
                    </w:rPr>
                    <w:t>2009/125/EB</w:t>
                  </w:r>
                </w:hyperlink>
                <w:r>
                  <w:rPr>
                    <w:rFonts w:eastAsia="Calibri"/>
                    <w:color w:val="000000"/>
                    <w:szCs w:val="24"/>
                    <w:lang w:eastAsia="lt-LT"/>
                  </w:rPr>
                  <w:t>, nustatančią ekologinio projektavimo reikalavimų su energija susijusiems gaminiams nustatymo sistemą, nustatomi oro šildymo gaminių, vėsinimo gaminių ir aukštatemperatūrių technologinių aušintuvų ir ventiliatorinių konvektorių ekologinio projektavimo reikalavimai, su visais pakeitimais</w:t>
                </w:r>
              </w:p>
            </w:tc>
          </w:tr>
          <w:tr>
            <w:trPr>
              <w:trHeight w:val="1362"/>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22.</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shd w:val="clear" w:color="auto" w:fill="FFFFFF"/>
                  </w:rPr>
                  <w:t>Ne didesnės kaip 50 kW vardinės šiluminės galios buitiniai vietiniai patalpų šildytuvai ir ne didesnės kaip 300 kW (gaminio ar atskiro segmento) vardinės šiluminės galios komerciniai vietiniai patalpų šildytuvai</w:t>
                </w:r>
                <w:r>
                  <w:rPr>
                    <w:b/>
                    <w:bCs/>
                    <w:color w:val="000000"/>
                    <w:szCs w:val="24"/>
                    <w:shd w:val="clear" w:color="auto" w:fill="FFFFFF"/>
                  </w:rPr>
                  <w:t> </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000000"/>
                    <w:szCs w:val="24"/>
                    <w:lang w:eastAsia="lt-LT"/>
                  </w:rPr>
                </w:pPr>
                <w:r>
                  <w:rPr>
                    <w:rFonts w:eastAsia="Calibri"/>
                    <w:color w:val="000000"/>
                    <w:szCs w:val="24"/>
                    <w:lang w:eastAsia="lt-LT"/>
                  </w:rPr>
                  <w:t xml:space="preserve">2024 m. balandžio 18 d. Komisijos reglamentas </w:t>
                </w:r>
                <w:hyperlink r:id="rId113" w:tgtFrame="_blank" w:history="1">
                  <w:r>
                    <w:rPr>
                      <w:rFonts w:eastAsia="Calibri"/>
                      <w:color w:val="0000FF" w:themeColor="hyperlink"/>
                      <w:szCs w:val="24"/>
                      <w:u w:val="single"/>
                      <w:lang w:eastAsia="lt-LT"/>
                    </w:rPr>
                    <w:t>(ES) 2024/1103</w:t>
                  </w:r>
                </w:hyperlink>
                <w:r>
                  <w:rPr>
                    <w:rFonts w:eastAsia="Calibri"/>
                    <w:color w:val="000000"/>
                    <w:szCs w:val="24"/>
                    <w:lang w:eastAsia="lt-LT"/>
                  </w:rPr>
                  <w:t xml:space="preserve">, kuriuo įgyvendinant Europos Parlamento ir Tarybos direktyvą </w:t>
                </w:r>
                <w:hyperlink r:id="rId114" w:tgtFrame="_blank" w:history="1">
                  <w:r>
                    <w:rPr>
                      <w:rFonts w:eastAsia="Calibri"/>
                      <w:color w:val="0000FF" w:themeColor="hyperlink"/>
                      <w:szCs w:val="24"/>
                      <w:u w:val="single"/>
                      <w:lang w:eastAsia="lt-LT"/>
                    </w:rPr>
                    <w:t>2009/125/EB</w:t>
                  </w:r>
                </w:hyperlink>
                <w:r>
                  <w:rPr>
                    <w:rFonts w:eastAsia="Calibri"/>
                    <w:color w:val="000000"/>
                    <w:szCs w:val="24"/>
                    <w:lang w:eastAsia="lt-LT"/>
                  </w:rPr>
                  <w:t xml:space="preserve"> nustatomi vietinių patalpų šildytuvų ir atskirų jų valdymo įtaisų ekologinio projektavimo reikalavimai ir panaikinimas Komisijos reglamentas </w:t>
                </w:r>
                <w:hyperlink r:id="rId115" w:tgtFrame="_blank" w:history="1">
                  <w:r>
                    <w:rPr>
                      <w:rFonts w:eastAsia="Calibri"/>
                      <w:color w:val="0000FF" w:themeColor="hyperlink"/>
                      <w:szCs w:val="24"/>
                      <w:u w:val="single"/>
                      <w:lang w:eastAsia="lt-LT"/>
                    </w:rPr>
                    <w:t>(ES) 2015/1188</w:t>
                  </w:r>
                </w:hyperlink>
                <w:r>
                  <w:rPr>
                    <w:rFonts w:eastAsia="Calibri"/>
                    <w:color w:val="000000"/>
                    <w:szCs w:val="24"/>
                    <w:lang w:eastAsia="lt-LT"/>
                  </w:rPr>
                  <w:t>, su visais pakeitimais</w:t>
                </w:r>
              </w:p>
            </w:tc>
          </w:tr>
          <w:tr>
            <w:trPr>
              <w:trHeight w:val="1362"/>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23.</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shd w:val="clear" w:color="auto" w:fill="FFFFFF"/>
                  </w:rPr>
                  <w:t>Kietojo kuro katilai, kurių vardinis šilumos atidavimas ne didesnis kaip 500 kilovatų (kW), įskaitant katilus, integruotus į kietojo kuro katilo, papildomųjų šildytuvų, temperatūros reguliatorių ir saulės energijos įrenginių komplektus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000000"/>
                    <w:szCs w:val="24"/>
                    <w:lang w:eastAsia="lt-LT"/>
                  </w:rPr>
                </w:pPr>
                <w:r>
                  <w:rPr>
                    <w:rFonts w:eastAsia="Calibri"/>
                    <w:color w:val="000000"/>
                    <w:szCs w:val="24"/>
                    <w:lang w:eastAsia="lt-LT"/>
                  </w:rPr>
                  <w:t xml:space="preserve">2015 m. balandžio 28 d. Komisijos reglamentas </w:t>
                </w:r>
                <w:hyperlink r:id="rId116" w:tgtFrame="_blank" w:history="1">
                  <w:r>
                    <w:rPr>
                      <w:rFonts w:eastAsia="Calibri"/>
                      <w:color w:val="0000FF" w:themeColor="hyperlink"/>
                      <w:szCs w:val="24"/>
                      <w:u w:val="single"/>
                      <w:lang w:eastAsia="lt-LT"/>
                    </w:rPr>
                    <w:t>(ES) Nr. 2015/1189</w:t>
                  </w:r>
                </w:hyperlink>
                <w:r>
                  <w:rPr>
                    <w:rFonts w:eastAsia="Calibri"/>
                    <w:color w:val="000000"/>
                    <w:szCs w:val="24"/>
                    <w:lang w:eastAsia="lt-LT"/>
                  </w:rPr>
                  <w:t xml:space="preserve">, kuriuo įgyvendinant Europos Parlamento ir Tarybos direktyvą </w:t>
                </w:r>
                <w:hyperlink r:id="rId117" w:tgtFrame="_blank" w:history="1">
                  <w:r>
                    <w:rPr>
                      <w:rFonts w:eastAsia="Calibri"/>
                      <w:color w:val="0000FF" w:themeColor="hyperlink"/>
                      <w:szCs w:val="24"/>
                      <w:u w:val="single"/>
                      <w:lang w:eastAsia="lt-LT"/>
                    </w:rPr>
                    <w:t>2009/125/EB</w:t>
                  </w:r>
                </w:hyperlink>
                <w:r>
                  <w:rPr>
                    <w:rFonts w:eastAsia="Calibri"/>
                    <w:color w:val="000000"/>
                    <w:szCs w:val="24"/>
                    <w:lang w:eastAsia="lt-LT"/>
                  </w:rPr>
                  <w:t xml:space="preserve"> nustatomi kietojo kuro katilų ekologinio projektavimo reikalavimai, su visais pakeitimais</w:t>
                </w:r>
              </w:p>
            </w:tc>
          </w:tr>
          <w:tr>
            <w:trPr>
              <w:trHeight w:val="2494"/>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24.</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Elektros varikliai ir pavaros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color w:val="333333"/>
                    <w:szCs w:val="24"/>
                    <w:shd w:val="clear" w:color="auto" w:fill="FFFFFF"/>
                    <w:lang w:eastAsia="lt-LT"/>
                  </w:rPr>
                </w:pPr>
                <w:r>
                  <w:rPr>
                    <w:rFonts w:eastAsia="Calibri"/>
                    <w:color w:val="333333"/>
                    <w:szCs w:val="24"/>
                    <w:shd w:val="clear" w:color="auto" w:fill="FFFFFF"/>
                    <w:lang w:eastAsia="lt-LT"/>
                  </w:rPr>
                  <w:t xml:space="preserve">2019 m. spalio 1 d. Komisijos reglamentas </w:t>
                </w:r>
                <w:hyperlink r:id="rId118" w:tgtFrame="_blank" w:history="1">
                  <w:r>
                    <w:rPr>
                      <w:rFonts w:eastAsia="Calibri"/>
                      <w:color w:val="0000FF" w:themeColor="hyperlink"/>
                      <w:szCs w:val="24"/>
                      <w:u w:val="single"/>
                      <w:shd w:val="clear" w:color="auto" w:fill="FFFFFF"/>
                      <w:lang w:eastAsia="lt-LT"/>
                    </w:rPr>
                    <w:t>(ES) 2019/1781</w:t>
                  </w:r>
                </w:hyperlink>
                <w:r>
                  <w:rPr>
                    <w:rFonts w:eastAsia="Calibri"/>
                    <w:color w:val="333333"/>
                    <w:szCs w:val="24"/>
                    <w:shd w:val="clear" w:color="auto" w:fill="FFFFFF"/>
                    <w:lang w:eastAsia="lt-LT"/>
                  </w:rPr>
                  <w:t xml:space="preserve">, kuriuo pagal Europos Parlamento ir Tarybos direktyvą </w:t>
                </w:r>
                <w:hyperlink r:id="rId119" w:tgtFrame="_blank" w:history="1">
                  <w:r>
                    <w:rPr>
                      <w:rFonts w:eastAsia="Calibri"/>
                      <w:color w:val="0000FF" w:themeColor="hyperlink"/>
                      <w:szCs w:val="24"/>
                      <w:u w:val="single"/>
                      <w:shd w:val="clear" w:color="auto" w:fill="FFFFFF"/>
                      <w:lang w:eastAsia="lt-LT"/>
                    </w:rPr>
                    <w:t>2009/125/EB</w:t>
                  </w:r>
                </w:hyperlink>
                <w:r>
                  <w:rPr>
                    <w:rFonts w:eastAsia="Calibri"/>
                    <w:color w:val="333333"/>
                    <w:szCs w:val="24"/>
                    <w:shd w:val="clear" w:color="auto" w:fill="FFFFFF"/>
                    <w:lang w:eastAsia="lt-LT"/>
                  </w:rPr>
                  <w:t xml:space="preserve"> nustatomi elektros variklių ir tolydžiojo reguliavimo pavarų ekologinio projektavimo reikalavimai, iš dalies keičiamas Reglamentas </w:t>
                </w:r>
                <w:hyperlink r:id="rId120" w:tgtFrame="_blank" w:history="1">
                  <w:r>
                    <w:rPr>
                      <w:rFonts w:eastAsia="Calibri"/>
                      <w:color w:val="0000FF" w:themeColor="hyperlink"/>
                      <w:szCs w:val="24"/>
                      <w:u w:val="single"/>
                      <w:shd w:val="clear" w:color="auto" w:fill="FFFFFF"/>
                      <w:lang w:eastAsia="lt-LT"/>
                    </w:rPr>
                    <w:t>(EB) Nr. 641/2009</w:t>
                  </w:r>
                </w:hyperlink>
                <w:r>
                  <w:rPr>
                    <w:rFonts w:eastAsia="Calibri"/>
                    <w:color w:val="333333"/>
                    <w:szCs w:val="24"/>
                    <w:shd w:val="clear" w:color="auto" w:fill="FFFFFF"/>
                    <w:lang w:eastAsia="lt-LT"/>
                  </w:rPr>
                  <w:t xml:space="preserve">, kuriuo nustatomi autonominių beriebokšlių apytakinių siurblių ir į gaminius įmontuojamų beriebokšlių apytakinių siurblių ekologinio projektavimo reikalavimai, ir panaikinamas Komisijos reglamentas </w:t>
                </w:r>
                <w:hyperlink r:id="rId121" w:tgtFrame="_blank" w:history="1">
                  <w:r>
                    <w:rPr>
                      <w:rFonts w:eastAsia="Calibri"/>
                      <w:color w:val="0000FF" w:themeColor="hyperlink"/>
                      <w:szCs w:val="24"/>
                      <w:u w:val="single"/>
                      <w:shd w:val="clear" w:color="auto" w:fill="FFFFFF"/>
                      <w:lang w:eastAsia="lt-LT"/>
                    </w:rPr>
                    <w:t>(EB) Nr.  640/2009</w:t>
                  </w:r>
                </w:hyperlink>
                <w:r>
                  <w:rPr>
                    <w:rFonts w:eastAsia="Calibri"/>
                    <w:color w:val="333333"/>
                    <w:szCs w:val="24"/>
                    <w:shd w:val="clear" w:color="auto" w:fill="FFFFFF"/>
                    <w:lang w:eastAsia="lt-LT"/>
                  </w:rPr>
                  <w:t>,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25.</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Išoriniai maitinimo šaltiniai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color w:val="000000"/>
                    <w:szCs w:val="24"/>
                  </w:rPr>
                </w:pPr>
                <w:r>
                  <w:rPr>
                    <w:szCs w:val="24"/>
                    <w:shd w:val="clear" w:color="auto" w:fill="FFFFFF"/>
                  </w:rPr>
                  <w:t xml:space="preserve">2019 m. spalio 1 d. Komisijos reglamentas </w:t>
                </w:r>
                <w:hyperlink r:id="rId122" w:tgtFrame="_blank" w:history="1">
                  <w:r>
                    <w:rPr>
                      <w:color w:val="0000FF" w:themeColor="hyperlink"/>
                      <w:szCs w:val="24"/>
                      <w:u w:val="single"/>
                      <w:shd w:val="clear" w:color="auto" w:fill="FFFFFF"/>
                    </w:rPr>
                    <w:t>(ES) 2019/1782</w:t>
                  </w:r>
                </w:hyperlink>
                <w:r>
                  <w:rPr>
                    <w:szCs w:val="24"/>
                    <w:shd w:val="clear" w:color="auto" w:fill="FFFFFF"/>
                  </w:rPr>
                  <w:t xml:space="preserve">, kuriuo pagal Europos Parlamento ir Tarybos direktyvą </w:t>
                </w:r>
                <w:hyperlink r:id="rId123" w:tgtFrame="_blank" w:history="1">
                  <w:r>
                    <w:rPr>
                      <w:color w:val="0000FF" w:themeColor="hyperlink"/>
                      <w:szCs w:val="24"/>
                      <w:u w:val="single"/>
                      <w:shd w:val="clear" w:color="auto" w:fill="FFFFFF"/>
                    </w:rPr>
                    <w:t>2009/125/EB</w:t>
                  </w:r>
                </w:hyperlink>
                <w:r>
                  <w:rPr>
                    <w:szCs w:val="24"/>
                    <w:shd w:val="clear" w:color="auto" w:fill="FFFFFF"/>
                  </w:rPr>
                  <w:t xml:space="preserve"> nustatomi išorinių maitinimo šaltinių ekologinio projektavimo reikalavimai ir panaikinamas Komisijos reglamentas </w:t>
                </w:r>
                <w:hyperlink r:id="rId124" w:tgtFrame="_blank" w:history="1">
                  <w:r>
                    <w:rPr>
                      <w:color w:val="0000FF" w:themeColor="hyperlink"/>
                      <w:szCs w:val="24"/>
                      <w:u w:val="single"/>
                      <w:shd w:val="clear" w:color="auto" w:fill="FFFFFF"/>
                    </w:rPr>
                    <w:t>(EB) Nr. 278/2009</w:t>
                  </w:r>
                </w:hyperlink>
                <w:r>
                  <w:rPr>
                    <w:szCs w:val="24"/>
                    <w:shd w:val="clear" w:color="auto" w:fill="FFFFFF"/>
                  </w:rPr>
                  <w:t>,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26.</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Išmanieji telefonai, mobilieji telefonai, kurie nėra išmanieji telefonai, belaidžiai telefonai ir kišeniniai kompiuteriai</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jc w:val="both"/>
                  <w:rPr>
                    <w:rFonts w:eastAsia="Calibri"/>
                    <w:szCs w:val="24"/>
                  </w:rPr>
                </w:pPr>
                <w:r>
                  <w:rPr>
                    <w:rFonts w:eastAsia="Calibri"/>
                    <w:szCs w:val="24"/>
                  </w:rPr>
                  <w:t xml:space="preserve">2023 m. birželio 16 d. Komisijos deleguotasis reglamentas </w:t>
                </w:r>
                <w:hyperlink r:id="rId125" w:tgtFrame="_blank" w:history="1">
                  <w:r>
                    <w:rPr>
                      <w:rFonts w:eastAsia="Calibri"/>
                      <w:color w:val="0000FF" w:themeColor="hyperlink"/>
                      <w:szCs w:val="24"/>
                      <w:u w:val="single"/>
                    </w:rPr>
                    <w:t>(ES) 2023/1669</w:t>
                  </w:r>
                </w:hyperlink>
                <w:r>
                  <w:rPr>
                    <w:rFonts w:eastAsia="Calibri"/>
                    <w:szCs w:val="24"/>
                  </w:rPr>
                  <w:t xml:space="preserve">, kuriuo Europos Parlamento ir Tarybos reglamentas </w:t>
                </w:r>
                <w:hyperlink r:id="rId126" w:tgtFrame="_blank" w:history="1">
                  <w:r>
                    <w:rPr>
                      <w:rFonts w:eastAsia="Calibri"/>
                      <w:color w:val="0000FF" w:themeColor="hyperlink"/>
                      <w:szCs w:val="24"/>
                      <w:u w:val="single"/>
                    </w:rPr>
                    <w:t>(ES) 2017/1369</w:t>
                  </w:r>
                </w:hyperlink>
                <w:r>
                  <w:rPr>
                    <w:rFonts w:eastAsia="Calibri"/>
                    <w:szCs w:val="24"/>
                  </w:rPr>
                  <w:t xml:space="preserve"> papildomas nuostatomis dėl išmaniųjų telefonų ir kišeninių kompiuterių energijos vartojimo efektyvumo ženklinimo, su visais pakeitimais, ir</w:t>
                </w:r>
              </w:p>
              <w:p>
                <w:pPr>
                  <w:jc w:val="both"/>
                  <w:rPr>
                    <w:rFonts w:eastAsia="Calibri"/>
                    <w:szCs w:val="24"/>
                  </w:rPr>
                </w:pPr>
                <w:r>
                  <w:rPr>
                    <w:rFonts w:eastAsia="Calibri"/>
                    <w:szCs w:val="24"/>
                  </w:rPr>
                  <w:t xml:space="preserve">2023 m. birželio 16 d. Komisijos reglamentas </w:t>
                </w:r>
                <w:hyperlink r:id="rId127" w:tgtFrame="_blank" w:history="1">
                  <w:r>
                    <w:rPr>
                      <w:rFonts w:eastAsia="Calibri"/>
                      <w:color w:val="0000FF" w:themeColor="hyperlink"/>
                      <w:szCs w:val="24"/>
                      <w:u w:val="single"/>
                    </w:rPr>
                    <w:t>(ES) 2023/1670</w:t>
                  </w:r>
                </w:hyperlink>
                <w:r>
                  <w:rPr>
                    <w:rFonts w:eastAsia="Calibri"/>
                    <w:szCs w:val="24"/>
                  </w:rPr>
                  <w:t xml:space="preserve">, kuriuo pagal Europos Parlamento ir Tarybos direktyvą </w:t>
                </w:r>
                <w:hyperlink r:id="rId128" w:tgtFrame="_blank" w:history="1">
                  <w:r>
                    <w:rPr>
                      <w:rFonts w:eastAsia="Calibri"/>
                      <w:color w:val="0000FF" w:themeColor="hyperlink"/>
                      <w:szCs w:val="24"/>
                      <w:u w:val="single"/>
                    </w:rPr>
                    <w:t>2009/125/EB</w:t>
                  </w:r>
                </w:hyperlink>
                <w:r>
                  <w:rPr>
                    <w:rFonts w:eastAsia="Calibri"/>
                    <w:szCs w:val="24"/>
                  </w:rPr>
                  <w:t xml:space="preserve"> nustatomi išmaniųjų telefonų, mobiliųjų telefonų, kurie nėra išmanieji telefonai, belaidžių telefonų ir kišeninių kompiuterių ekologinio projektavimo reikalavimai ir iš dalies keičiamas Komisijos reglamentas </w:t>
                </w:r>
                <w:hyperlink r:id="rId129" w:tgtFrame="_blank" w:history="1">
                  <w:r>
                    <w:rPr>
                      <w:rFonts w:eastAsia="Calibri"/>
                      <w:color w:val="0000FF" w:themeColor="hyperlink"/>
                      <w:szCs w:val="24"/>
                      <w:u w:val="single"/>
                    </w:rPr>
                    <w:t>(ES) 2023/826</w:t>
                  </w:r>
                </w:hyperlink>
                <w:r>
                  <w:rPr>
                    <w:rFonts w:eastAsia="Calibri"/>
                    <w:szCs w:val="24"/>
                  </w:rPr>
                  <w:t>,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27.</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highlight w:val="yellow"/>
                  </w:rPr>
                </w:pPr>
                <w:r>
                  <w:rPr>
                    <w:color w:val="000000"/>
                    <w:szCs w:val="24"/>
                    <w:shd w:val="clear" w:color="auto" w:fill="FFFFFF"/>
                  </w:rPr>
                  <w:t>Elektros ir elektroninė buitinė ir biuro įranga</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color w:val="000000"/>
                    <w:szCs w:val="24"/>
                  </w:rPr>
                </w:pPr>
                <w:r>
                  <w:rPr>
                    <w:rFonts w:eastAsia="Calibri"/>
                    <w:bCs/>
                    <w:szCs w:val="24"/>
                    <w:lang w:eastAsia="lt-LT"/>
                  </w:rPr>
                  <w:t xml:space="preserve">2023 m. balandžio 17 d. Komisijos reglamentas </w:t>
                </w:r>
                <w:hyperlink r:id="rId130" w:tgtFrame="_blank" w:history="1">
                  <w:r>
                    <w:rPr>
                      <w:rFonts w:eastAsia="Calibri"/>
                      <w:bCs/>
                      <w:color w:val="0000FF" w:themeColor="hyperlink"/>
                      <w:szCs w:val="24"/>
                      <w:u w:val="single"/>
                      <w:lang w:eastAsia="lt-LT"/>
                    </w:rPr>
                    <w:t>(ES) 2023/826</w:t>
                  </w:r>
                </w:hyperlink>
                <w:r>
                  <w:rPr>
                    <w:rFonts w:eastAsia="Calibri"/>
                    <w:bCs/>
                    <w:szCs w:val="24"/>
                    <w:lang w:eastAsia="lt-LT"/>
                  </w:rPr>
                  <w:t xml:space="preserve">, kuriuo pagal Europos Parlamento ir Tarybos direktyvą </w:t>
                </w:r>
                <w:hyperlink r:id="rId131" w:tgtFrame="_blank" w:history="1">
                  <w:r>
                    <w:rPr>
                      <w:rFonts w:eastAsia="Calibri"/>
                      <w:bCs/>
                      <w:color w:val="0000FF" w:themeColor="hyperlink"/>
                      <w:szCs w:val="24"/>
                      <w:u w:val="single"/>
                      <w:lang w:eastAsia="lt-LT"/>
                    </w:rPr>
                    <w:t>2009/125/EB</w:t>
                  </w:r>
                </w:hyperlink>
                <w:r>
                  <w:rPr>
                    <w:rFonts w:eastAsia="Calibri"/>
                    <w:bCs/>
                    <w:szCs w:val="24"/>
                    <w:lang w:eastAsia="lt-LT"/>
                  </w:rPr>
                  <w:t xml:space="preserve"> nustatomi elektros ir elektroninės buitinės ir biuro įrangos ekologinio projektavimo reikalavimai, susiję su išjungties veiksenos, budėjimo veiksenos ir tinklinės budėjimo veiksenos energijos sąnaudomis, ir panaikinami Komisijos reglamentai </w:t>
                </w:r>
                <w:hyperlink r:id="rId132" w:tgtFrame="_blank" w:history="1">
                  <w:r>
                    <w:rPr>
                      <w:rFonts w:eastAsia="Calibri"/>
                      <w:bCs/>
                      <w:color w:val="0000FF" w:themeColor="hyperlink"/>
                      <w:szCs w:val="24"/>
                      <w:u w:val="single"/>
                      <w:lang w:eastAsia="lt-LT"/>
                    </w:rPr>
                    <w:t>(EB) Nr. 1275/2008</w:t>
                  </w:r>
                </w:hyperlink>
                <w:r>
                  <w:rPr>
                    <w:rFonts w:eastAsia="Calibri"/>
                    <w:bCs/>
                    <w:szCs w:val="24"/>
                    <w:lang w:eastAsia="lt-LT"/>
                  </w:rPr>
                  <w:t xml:space="preserve"> ir </w:t>
                </w:r>
                <w:hyperlink r:id="rId133" w:tgtFrame="_blank" w:history="1">
                  <w:r>
                    <w:rPr>
                      <w:rFonts w:eastAsia="Calibri"/>
                      <w:bCs/>
                      <w:color w:val="0000FF" w:themeColor="hyperlink"/>
                      <w:szCs w:val="24"/>
                      <w:u w:val="single"/>
                      <w:lang w:eastAsia="lt-LT"/>
                    </w:rPr>
                    <w:t>(EB) Nr.  107/2009</w:t>
                  </w:r>
                </w:hyperlink>
                <w:r>
                  <w:rPr>
                    <w:rFonts w:eastAsia="Calibri"/>
                    <w:bCs/>
                    <w:szCs w:val="24"/>
                    <w:lang w:eastAsia="lt-LT"/>
                  </w:rPr>
                  <w:t>,</w:t>
                </w:r>
                <w:r>
                  <w:rPr>
                    <w:color w:val="000000"/>
                    <w:szCs w:val="24"/>
                  </w:rPr>
                  <w:t xml:space="preserve">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28.</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Padangos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000000"/>
                    <w:szCs w:val="24"/>
                    <w:lang w:eastAsia="lt-LT"/>
                  </w:rPr>
                </w:pPr>
                <w:r>
                  <w:rPr>
                    <w:rFonts w:eastAsia="Calibri"/>
                    <w:color w:val="333333"/>
                    <w:szCs w:val="24"/>
                    <w:shd w:val="clear" w:color="auto" w:fill="FFFFFF"/>
                  </w:rPr>
                  <w:t xml:space="preserve">2020 m. gegužės 25 d. Europos Parlamento ir Tarybos reglamentas </w:t>
                </w:r>
                <w:hyperlink r:id="rId134" w:tgtFrame="_blank" w:history="1">
                  <w:r>
                    <w:rPr>
                      <w:rFonts w:eastAsia="Calibri"/>
                      <w:color w:val="0000FF" w:themeColor="hyperlink"/>
                      <w:szCs w:val="24"/>
                      <w:u w:val="single"/>
                      <w:shd w:val="clear" w:color="auto" w:fill="FFFFFF"/>
                    </w:rPr>
                    <w:t>(ES) 2020/740</w:t>
                  </w:r>
                </w:hyperlink>
                <w:r>
                  <w:rPr>
                    <w:rFonts w:eastAsia="Calibri"/>
                    <w:color w:val="333333"/>
                    <w:szCs w:val="24"/>
                    <w:shd w:val="clear" w:color="auto" w:fill="FFFFFF"/>
                  </w:rPr>
                  <w:t xml:space="preserve"> dėl padangų ženklinimo pagal degalų naudojimo efektyvumą ir kitus parametrus, kuriuo iš dalies keičiamas Reglamentas </w:t>
                </w:r>
                <w:hyperlink r:id="rId135" w:tgtFrame="_blank" w:history="1">
                  <w:r>
                    <w:rPr>
                      <w:rFonts w:eastAsia="Calibri"/>
                      <w:color w:val="0000FF" w:themeColor="hyperlink"/>
                      <w:szCs w:val="24"/>
                      <w:u w:val="single"/>
                      <w:shd w:val="clear" w:color="auto" w:fill="FFFFFF"/>
                    </w:rPr>
                    <w:t>(ES) 2017/1369</w:t>
                  </w:r>
                </w:hyperlink>
                <w:r>
                  <w:rPr>
                    <w:rFonts w:eastAsia="Calibri"/>
                    <w:color w:val="333333"/>
                    <w:szCs w:val="24"/>
                    <w:shd w:val="clear" w:color="auto" w:fill="FFFFFF"/>
                  </w:rPr>
                  <w:t xml:space="preserve"> ir panaikinamas Reglamentas </w:t>
                </w:r>
                <w:hyperlink r:id="rId136" w:tgtFrame="_blank" w:history="1">
                  <w:r>
                    <w:rPr>
                      <w:rFonts w:eastAsia="Calibri"/>
                      <w:color w:val="0000FF" w:themeColor="hyperlink"/>
                      <w:szCs w:val="24"/>
                      <w:u w:val="single"/>
                      <w:shd w:val="clear" w:color="auto" w:fill="FFFFFF"/>
                    </w:rPr>
                    <w:t>(EB) Nr. 1222/2009</w:t>
                  </w:r>
                </w:hyperlink>
                <w:r>
                  <w:rPr>
                    <w:rFonts w:eastAsia="Calibri"/>
                    <w:color w:val="333333"/>
                    <w:szCs w:val="24"/>
                    <w:shd w:val="clear" w:color="auto" w:fill="FFFFFF"/>
                  </w:rPr>
                  <w:t>,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29.</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both"/>
                  <w:textAlignment w:val="center"/>
                  <w:rPr>
                    <w:color w:val="000000"/>
                    <w:szCs w:val="24"/>
                  </w:rPr>
                </w:pPr>
                <w:r>
                  <w:rPr>
                    <w:color w:val="000000"/>
                    <w:szCs w:val="24"/>
                  </w:rPr>
                  <w:t>Dulkių siurbliai, įskaitant hibridinius dulkių siurblius</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333333"/>
                    <w:szCs w:val="24"/>
                    <w:shd w:val="clear" w:color="auto" w:fill="FFFFFF"/>
                  </w:rPr>
                </w:pPr>
                <w:r>
                  <w:rPr>
                    <w:rFonts w:eastAsia="Calibri"/>
                    <w:szCs w:val="24"/>
                  </w:rPr>
                  <w:t xml:space="preserve">2013 m. liepos 8 d. Komisijos reglamentas </w:t>
                </w:r>
                <w:hyperlink r:id="rId137" w:tgtFrame="_blank" w:history="1">
                  <w:r>
                    <w:rPr>
                      <w:rFonts w:eastAsia="Calibri"/>
                      <w:color w:val="0000FF" w:themeColor="hyperlink"/>
                      <w:szCs w:val="24"/>
                      <w:u w:val="single"/>
                    </w:rPr>
                    <w:t>(ES) Nr. 666/2013</w:t>
                  </w:r>
                </w:hyperlink>
                <w:r>
                  <w:rPr>
                    <w:rFonts w:eastAsia="Calibri"/>
                    <w:szCs w:val="24"/>
                  </w:rPr>
                  <w:t xml:space="preserve">, kuriuo įgyvendinant Europos Parlamento ir Tarybos direktyvą </w:t>
                </w:r>
                <w:hyperlink r:id="rId138" w:tgtFrame="_blank" w:history="1">
                  <w:r>
                    <w:rPr>
                      <w:rFonts w:eastAsia="Calibri"/>
                      <w:color w:val="0000FF" w:themeColor="hyperlink"/>
                      <w:szCs w:val="24"/>
                      <w:u w:val="single"/>
                    </w:rPr>
                    <w:t>2009/125/EB</w:t>
                  </w:r>
                </w:hyperlink>
                <w:r>
                  <w:rPr>
                    <w:rFonts w:eastAsia="Calibri"/>
                    <w:szCs w:val="24"/>
                  </w:rPr>
                  <w:t xml:space="preserve"> nustatomi dulkių siurblių ekologinio projektavimo reikalavimai,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30.</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Vandens šildytuvai, kurių vardinis šilumos atidavimas ≤ 400 kW, ir karšto vandens talpyklos, kurių talpa ≤ 2 000 litrų</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333333"/>
                    <w:szCs w:val="24"/>
                    <w:shd w:val="clear" w:color="auto" w:fill="FFFFFF"/>
                  </w:rPr>
                </w:pPr>
                <w:r>
                  <w:rPr>
                    <w:rFonts w:eastAsia="Calibri"/>
                    <w:szCs w:val="24"/>
                  </w:rPr>
                  <w:t xml:space="preserve">2013 m. rugpjūčio 2 d. Komisijos reglamentas </w:t>
                </w:r>
                <w:hyperlink r:id="rId139" w:tgtFrame="_blank" w:history="1">
                  <w:r>
                    <w:rPr>
                      <w:rFonts w:eastAsia="Calibri"/>
                      <w:color w:val="0000FF" w:themeColor="hyperlink"/>
                      <w:szCs w:val="24"/>
                      <w:u w:val="single"/>
                    </w:rPr>
                    <w:t>(ES) Nr. 814/2013</w:t>
                  </w:r>
                </w:hyperlink>
                <w:r>
                  <w:rPr>
                    <w:rFonts w:eastAsia="Calibri"/>
                    <w:szCs w:val="24"/>
                  </w:rPr>
                  <w:t xml:space="preserve">, kuriuo įgyvendinant Europos Parlamento ir Tarybos direktyvą </w:t>
                </w:r>
                <w:hyperlink r:id="rId140" w:tgtFrame="_blank" w:history="1">
                  <w:r>
                    <w:rPr>
                      <w:rFonts w:eastAsia="Calibri"/>
                      <w:color w:val="0000FF" w:themeColor="hyperlink"/>
                      <w:szCs w:val="24"/>
                      <w:u w:val="single"/>
                    </w:rPr>
                    <w:t>2009/125/EB</w:t>
                  </w:r>
                </w:hyperlink>
                <w:r>
                  <w:rPr>
                    <w:rFonts w:eastAsia="Calibri"/>
                    <w:szCs w:val="24"/>
                  </w:rPr>
                  <w:t xml:space="preserve"> nustatomi vandens šildytuvų ir karšto vandens talpyklų ekologinio projektavimo reikalavimai,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31.</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Patalpų šildytuvai ir kombinuotieji šildytuvai, kurių vardinis šilumos atidavimas ≤ 400 kW</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333333"/>
                    <w:szCs w:val="24"/>
                    <w:shd w:val="clear" w:color="auto" w:fill="FFFFFF"/>
                  </w:rPr>
                </w:pPr>
                <w:r>
                  <w:rPr>
                    <w:rFonts w:eastAsia="Calibri"/>
                    <w:szCs w:val="24"/>
                  </w:rPr>
                  <w:t xml:space="preserve">2013 m. rugpjūčio 2 d. Komisijos reglamentas </w:t>
                </w:r>
                <w:hyperlink r:id="rId141" w:tgtFrame="_blank" w:history="1">
                  <w:r>
                    <w:rPr>
                      <w:rFonts w:eastAsia="Calibri"/>
                      <w:color w:val="0000FF" w:themeColor="hyperlink"/>
                      <w:szCs w:val="24"/>
                      <w:u w:val="single"/>
                    </w:rPr>
                    <w:t>(ES) Nr. 813/2013</w:t>
                  </w:r>
                </w:hyperlink>
                <w:r>
                  <w:rPr>
                    <w:rFonts w:eastAsia="Calibri"/>
                    <w:szCs w:val="24"/>
                  </w:rPr>
                  <w:t xml:space="preserve">, kuriuo įgyvendinant Europos Parlamento ir Tarybos direktyvą </w:t>
                </w:r>
                <w:hyperlink r:id="rId142" w:tgtFrame="_blank" w:history="1">
                  <w:r>
                    <w:rPr>
                      <w:rFonts w:eastAsia="Calibri"/>
                      <w:color w:val="0000FF" w:themeColor="hyperlink"/>
                      <w:szCs w:val="24"/>
                      <w:u w:val="single"/>
                    </w:rPr>
                    <w:t>2009/125/EB</w:t>
                  </w:r>
                </w:hyperlink>
                <w:r>
                  <w:rPr>
                    <w:rFonts w:eastAsia="Calibri"/>
                    <w:szCs w:val="24"/>
                  </w:rPr>
                  <w:t xml:space="preserve"> nustatomi patalpų šildytuvų ir kombinuotųjų šildytuvų ekologinio projektavimo reikalavimai, su visais pakeitimais</w:t>
                </w:r>
              </w:p>
            </w:tc>
          </w:tr>
          <w:tr>
            <w:trPr>
              <w:trHeight w:val="60"/>
              <w:jc w:val="center"/>
            </w:trPr>
            <w:tc>
              <w:tcPr>
                <w:tcW w:w="306"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textAlignment w:val="center"/>
                  <w:rPr>
                    <w:color w:val="000000"/>
                    <w:szCs w:val="24"/>
                  </w:rPr>
                </w:pPr>
                <w:r>
                  <w:rPr>
                    <w:color w:val="000000"/>
                    <w:szCs w:val="24"/>
                  </w:rPr>
                  <w:t>32.</w:t>
                </w:r>
              </w:p>
            </w:tc>
            <w:tc>
              <w:tcPr>
                <w:tcW w:w="1194"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textAlignment w:val="center"/>
                  <w:rPr>
                    <w:color w:val="000000"/>
                    <w:szCs w:val="24"/>
                  </w:rPr>
                </w:pPr>
                <w:r>
                  <w:rPr>
                    <w:color w:val="000000"/>
                    <w:szCs w:val="24"/>
                  </w:rPr>
                  <w:t>Suvirinimo įranga</w:t>
                </w:r>
              </w:p>
            </w:tc>
            <w:tc>
              <w:tcPr>
                <w:tcW w:w="3501"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tabs>
                    <w:tab w:val="left" w:pos="321"/>
                  </w:tabs>
                  <w:suppressAutoHyphens/>
                  <w:jc w:val="both"/>
                  <w:textAlignment w:val="center"/>
                  <w:rPr>
                    <w:rFonts w:eastAsia="Calibri"/>
                    <w:color w:val="000000"/>
                    <w:szCs w:val="24"/>
                    <w:shd w:val="clear" w:color="auto" w:fill="FFFFFF"/>
                  </w:rPr>
                </w:pPr>
                <w:r>
                  <w:rPr>
                    <w:rFonts w:eastAsia="Calibri"/>
                    <w:color w:val="333333"/>
                    <w:szCs w:val="24"/>
                    <w:shd w:val="clear" w:color="auto" w:fill="FFFFFF"/>
                  </w:rPr>
                  <w:t xml:space="preserve">2019 m. spalio 1 d. Komisijos reglamentas </w:t>
                </w:r>
                <w:hyperlink r:id="rId143" w:tgtFrame="_blank" w:history="1">
                  <w:r>
                    <w:rPr>
                      <w:rFonts w:eastAsia="Calibri"/>
                      <w:color w:val="0000FF" w:themeColor="hyperlink"/>
                      <w:szCs w:val="24"/>
                      <w:u w:val="single"/>
                      <w:shd w:val="clear" w:color="auto" w:fill="FFFFFF"/>
                    </w:rPr>
                    <w:t>(ES) 2019/1784</w:t>
                  </w:r>
                </w:hyperlink>
                <w:r>
                  <w:rPr>
                    <w:rFonts w:eastAsia="Calibri"/>
                    <w:color w:val="333333"/>
                    <w:szCs w:val="24"/>
                    <w:shd w:val="clear" w:color="auto" w:fill="FFFFFF"/>
                  </w:rPr>
                  <w:t xml:space="preserve">, </w:t>
                </w:r>
                <w:r>
                  <w:rPr>
                    <w:rFonts w:eastAsia="Calibri"/>
                    <w:color w:val="000000"/>
                    <w:szCs w:val="24"/>
                    <w:shd w:val="clear" w:color="auto" w:fill="FFFFFF"/>
                  </w:rPr>
                  <w:t xml:space="preserve">kuriuo pagal Europos Parlamento ir Tarybos direktyvą </w:t>
                </w:r>
                <w:hyperlink r:id="rId144" w:tgtFrame="_blank" w:history="1">
                  <w:r>
                    <w:rPr>
                      <w:rFonts w:eastAsia="Calibri"/>
                      <w:color w:val="0000FF" w:themeColor="hyperlink"/>
                      <w:szCs w:val="24"/>
                      <w:u w:val="single"/>
                      <w:shd w:val="clear" w:color="auto" w:fill="FFFFFF"/>
                    </w:rPr>
                    <w:t>2009/125/EB</w:t>
                  </w:r>
                </w:hyperlink>
                <w:r>
                  <w:rPr>
                    <w:rFonts w:eastAsia="Calibri"/>
                    <w:color w:val="000000"/>
                    <w:szCs w:val="24"/>
                    <w:shd w:val="clear" w:color="auto" w:fill="FFFFFF"/>
                  </w:rPr>
                  <w:t xml:space="preserve"> nustatomi suvirinimo įrangos ekologinio projektavimo reikalavimai, su visais pakeitimais</w:t>
                </w:r>
              </w:p>
            </w:tc>
          </w:tr>
        </w:tbl>
        <w:p>
          <w:pPr>
            <w:pBdr>
              <w:bottom w:val="single" w:sz="4" w:space="1" w:color="auto"/>
            </w:pBdr>
            <w:suppressAutoHyphens/>
            <w:ind w:right="-1"/>
            <w:jc w:val="center"/>
            <w:textAlignment w:val="center"/>
            <w:rPr>
              <w:caps/>
              <w:color w:val="000000"/>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42aff0686d11e7827cd63159af616c">
            <w:r w:rsidRPr="00532B9F">
              <w:rPr>
                <w:rFonts w:ascii="Times New Roman" w:eastAsia="MS Mincho" w:hAnsi="Times New Roman"/>
                <w:sz w:val="20"/>
                <w:iCs/>
                <w:color w:val="0000FF" w:themeColor="hyperlink"/>
                <w:u w:val="single"/>
              </w:rPr>
              <w:t>1-186</w:t>
            </w:r>
          </w:fldSimple>
          <w:r>
            <w:rPr>
              <w:rFonts w:ascii="Times New Roman" w:eastAsia="MS Mincho" w:hAnsi="Times New Roman"/>
              <w:sz w:val="20"/>
              <w:iCs/>
            </w:rPr>
            <w:t>,
2017-07-14,
paskelbta TAR 2017-07-17, i. k. 2017-12292                </w:t>
          </w:r>
        </w:p>
        <w:p>
          <w:pPr>
            <w:jc w:val="both"/>
            <w:rPr>
              <w:rFonts w:ascii="Times New Roman" w:hAnsi="Times New Roman"/>
            </w:rPr>
          </w:pPr>
          <w:r>
            <w:rPr>
              <w:rFonts w:ascii="Times New Roman" w:hAnsi="Times New Roman"/>
              <w:sz w:val="20"/>
            </w:rPr>
            <w:t>Dėl Lietuvos Respublikos energetikos ministro 2015 m. birželio 18 d. įsakymo Nr. 1-154 „Dėl Prekių, išskyrus kelių transporto priemones, kurioms viešųjų pirkimų metu taikomi energijos vartojimo efektyvumo reikalavimai,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0f8b10828c11ed8df094f359a60216">
            <w:r w:rsidRPr="00532B9F">
              <w:rPr>
                <w:rFonts w:ascii="Times New Roman" w:eastAsia="MS Mincho" w:hAnsi="Times New Roman"/>
                <w:sz w:val="20"/>
                <w:iCs/>
                <w:color w:val="0000FF" w:themeColor="hyperlink"/>
                <w:u w:val="single"/>
              </w:rPr>
              <w:t>1-466</w:t>
            </w:r>
          </w:fldSimple>
          <w:r>
            <w:rPr>
              <w:rFonts w:ascii="Times New Roman" w:eastAsia="MS Mincho" w:hAnsi="Times New Roman"/>
              <w:sz w:val="20"/>
              <w:iCs/>
            </w:rPr>
            <w:t>,
2022-12-19,
paskelbta TAR 2022-12-23, i. k. 2022-26614                </w:t>
          </w:r>
        </w:p>
        <w:p>
          <w:pPr>
            <w:jc w:val="both"/>
            <w:rPr>
              <w:rFonts w:ascii="Times New Roman" w:hAnsi="Times New Roman"/>
            </w:rPr>
          </w:pPr>
          <w:r>
            <w:rPr>
              <w:rFonts w:ascii="Times New Roman" w:hAnsi="Times New Roman"/>
              <w:sz w:val="20"/>
            </w:rPr>
            <w:t>Dėl Lietuvos Respublikos energetikos ministro 2015 m. birželio 18 d. įsakymo Nr. 1-154 „Dėl Prekių, išskyrus kelių transporto priemones, kurioms viešųjų pirkimų metu taikomi energijos vartojimo efektyvumo reikalavimai,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dbf1d44ab611f180c9c618618421ed">
            <w:r w:rsidRPr="00532B9F">
              <w:rPr>
                <w:rFonts w:ascii="Times New Roman" w:eastAsia="MS Mincho" w:hAnsi="Times New Roman"/>
                <w:sz w:val="20"/>
                <w:iCs/>
                <w:color w:val="0000FF" w:themeColor="hyperlink"/>
                <w:u w:val="single"/>
              </w:rPr>
              <w:t>1-117</w:t>
            </w:r>
          </w:fldSimple>
          <w:r>
            <w:rPr>
              <w:rFonts w:ascii="Times New Roman" w:eastAsia="MS Mincho" w:hAnsi="Times New Roman"/>
              <w:sz w:val="20"/>
              <w:iCs/>
            </w:rPr>
            <w:t>,
2026-05-08,
paskelbta TAR 2026-05-08, i. k. 2026-07822                </w:t>
          </w:r>
        </w:p>
        <w:p>
          <w:pPr>
            <w:jc w:val="both"/>
            <w:rPr>
              <w:rFonts w:ascii="Times New Roman" w:hAnsi="Times New Roman"/>
            </w:rPr>
          </w:pPr>
          <w:r>
            <w:rPr>
              <w:rFonts w:ascii="Times New Roman" w:hAnsi="Times New Roman"/>
              <w:sz w:val="20"/>
            </w:rPr>
            <w:t>Dėl energetikos ministro 2015 m. birželio 18 d. įsakymo Nr. 1-154 „Dėl Prekių, išskyrus kelių transporto priemones, kurioms viešųjų pirkimų ir perkančiųjų subjektų atliekamų pirkimų metu taikomi energijos vartojimo efektyvumo reikalavimai,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rFonts w:ascii="Calibri" w:eastAsia="Calibri" w:hAnsi="Calibri"/>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200" w:line="276" w:lineRule="auto"/>
      <w:rPr>
        <w:rFonts w:ascii="Calibri" w:eastAsia="Calibri" w:hAnsi="Calibri"/>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78" w:lineRule="auto"/>
      <w:rPr>
        <w:kern w:val="2"/>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kern w:val="2"/>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pacing w:after="160" w:line="278" w:lineRule="auto"/>
      <w:jc w:val="center"/>
      <w:rPr>
        <w:kern w:val="2"/>
        <w:szCs w:val="24"/>
        <w:lang w:eastAsia="lt-LT"/>
      </w:rPr>
    </w:pPr>
    <w:r>
      <w:rPr>
        <w:kern w:val="2"/>
        <w:szCs w:val="24"/>
        <w:lang w:eastAsia="lt-LT"/>
      </w:rPr>
      <w:fldChar w:fldCharType="begin"/>
    </w:r>
    <w:r>
      <w:rPr>
        <w:kern w:val="2"/>
        <w:szCs w:val="24"/>
        <w:lang w:eastAsia="lt-LT"/>
      </w:rPr>
      <w:instrText>PAGE   \* MERGEFORMAT</w:instrText>
    </w:r>
    <w:r>
      <w:rPr>
        <w:kern w:val="2"/>
        <w:szCs w:val="24"/>
        <w:lang w:eastAsia="lt-LT"/>
      </w:rPr>
      <w:fldChar w:fldCharType="separate"/>
    </w:r>
    <w:r>
      <w:rPr>
        <w:kern w:val="2"/>
        <w:szCs w:val="24"/>
        <w:lang w:eastAsia="lt-LT"/>
      </w:rPr>
      <w:t>14</w:t>
    </w:r>
    <w:r>
      <w:rPr>
        <w:kern w:val="2"/>
        <w:szCs w:val="24"/>
        <w:lang w:eastAsia="lt-LT"/>
      </w:rPr>
      <w:fldChar w:fldCharType="end"/>
    </w:r>
  </w:p>
  <w:p>
    <w:pPr>
      <w:tabs>
        <w:tab w:val="center" w:pos="4819"/>
        <w:tab w:val="right" w:pos="9638"/>
      </w:tabs>
      <w:spacing w:after="200" w:line="276" w:lineRule="auto"/>
      <w:rPr>
        <w:rFonts w:ascii="Calibri" w:eastAsia="Calibri" w:hAnsi="Calibri"/>
        <w:kern w:val="2"/>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78" w:lineRule="auto"/>
      <w:rPr>
        <w:kern w:val="2"/>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200" w:line="276" w:lineRule="auto"/>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54D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CA23E3"/>
  <w15:docId w15:val="{2B97043E-7F1F-4C5C-8437-B1C497BD5C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56064620">
      <w:bodyDiv w:val="1"/>
      <w:marLeft w:val="390"/>
      <w:marRight w:val="39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er" Target="footer4.xml"/>
  <Relationship Id="rId100" Type="http://schemas.openxmlformats.org/officeDocument/2006/relationships/hyperlink" TargetMode="External" Target="http://eur-lex.europa.eu/legal-content/LIT/TXT/?uri=CELEX:33783R2019&amp;locale=lt"/>
  <Relationship Id="rId101" Type="http://schemas.openxmlformats.org/officeDocument/2006/relationships/hyperlink" TargetMode="External" Target="http://eur-lex.europa.eu/legal-content/LIT/TXT/?uri=CELEX:32014R0548&amp;locale=lt"/>
  <Relationship Id="rId102" Type="http://schemas.openxmlformats.org/officeDocument/2006/relationships/hyperlink" TargetMode="External" Target="http://eur-lex.europa.eu/legal-content/LIT/TXT/?uri=CELEX:32009L0125&amp;locale=lt"/>
  <Relationship Id="rId103" Type="http://schemas.openxmlformats.org/officeDocument/2006/relationships/hyperlink" TargetMode="External" Target="http://eur-lex.europa.eu/legal-content/LIT/TXT/?uri=CELEX:32009R0641&amp;locale=lt"/>
  <Relationship Id="rId104" Type="http://schemas.openxmlformats.org/officeDocument/2006/relationships/hyperlink" TargetMode="External" Target="http://eur-lex.europa.eu/legal-content/LIT/TXT/?uri=CELEX:32005L0032&amp;locale=lt"/>
  <Relationship Id="rId105" Type="http://schemas.openxmlformats.org/officeDocument/2006/relationships/hyperlink" TargetMode="External" Target="http://eur-lex.europa.eu/legal-content/LIT/TXT/?uri=CELEX:32012R0547&amp;locale=lt"/>
  <Relationship Id="rId106" Type="http://schemas.openxmlformats.org/officeDocument/2006/relationships/hyperlink" TargetMode="External" Target="http://eur-lex.europa.eu/legal-content/LIT/TXT/?uri=CELEX:32009L0125&amp;locale=lt"/>
  <Relationship Id="rId107" Type="http://schemas.openxmlformats.org/officeDocument/2006/relationships/hyperlink" TargetMode="External" Target="http://eur-lex.europa.eu/legal-content/LIT/TXT/?uri=CELEX:32011R0327&amp;locale=lt"/>
  <Relationship Id="rId108" Type="http://schemas.openxmlformats.org/officeDocument/2006/relationships/hyperlink" TargetMode="External" Target="http://eur-lex.europa.eu/legal-content/LIT/TXT/?uri=CELEX:32009L0125&amp;locale=lt"/>
  <Relationship Id="rId109" Type="http://schemas.openxmlformats.org/officeDocument/2006/relationships/hyperlink" TargetMode="External" Target="http://eur-lex.europa.eu/legal-content/LIT/TXT/?uri=CELEX:32014R1253&amp;locale=lt"/>
  <Relationship Id="rId11" Type="http://schemas.openxmlformats.org/officeDocument/2006/relationships/footer" Target="footer5.xml"/>
  <Relationship Id="rId110" Type="http://schemas.openxmlformats.org/officeDocument/2006/relationships/hyperlink" TargetMode="External" Target="http://eur-lex.europa.eu/legal-content/LIT/TXT/?uri=CELEX:32009L0125&amp;locale=lt"/>
  <Relationship Id="rId111" Type="http://schemas.openxmlformats.org/officeDocument/2006/relationships/hyperlink" TargetMode="External" Target="http://eur-lex.europa.eu/legal-content/LIT/TXT/?uri=CELEX:32281R2016&amp;locale=lt"/>
  <Relationship Id="rId112" Type="http://schemas.openxmlformats.org/officeDocument/2006/relationships/hyperlink" TargetMode="External" Target="http://eur-lex.europa.eu/legal-content/LIT/TXT/?uri=CELEX:32009L0125&amp;locale=lt"/>
  <Relationship Id="rId113" Type="http://schemas.openxmlformats.org/officeDocument/2006/relationships/hyperlink" TargetMode="External" Target="http://eur-lex.europa.eu/legal-content/LIT/TXT/?uri=CELEX:32024R1103&amp;locale=lt"/>
  <Relationship Id="rId114" Type="http://schemas.openxmlformats.org/officeDocument/2006/relationships/hyperlink" TargetMode="External" Target="http://eur-lex.europa.eu/legal-content/LIT/TXT/?uri=CELEX:32009L0125&amp;locale=lt"/>
  <Relationship Id="rId115" Type="http://schemas.openxmlformats.org/officeDocument/2006/relationships/hyperlink" TargetMode="External" Target="http://eur-lex.europa.eu/legal-content/LIT/TXT/?uri=CELEX:32015R1188&amp;locale=lt"/>
  <Relationship Id="rId116" Type="http://schemas.openxmlformats.org/officeDocument/2006/relationships/hyperlink" TargetMode="External" Target="http://eur-lex.europa.eu/legal-content/LIT/TXT/?uri=CELEX:33189R2015&amp;locale=lt"/>
  <Relationship Id="rId117" Type="http://schemas.openxmlformats.org/officeDocument/2006/relationships/hyperlink" TargetMode="External" Target="http://eur-lex.europa.eu/legal-content/LIT/TXT/?uri=CELEX:32009L0125&amp;locale=lt"/>
  <Relationship Id="rId118" Type="http://schemas.openxmlformats.org/officeDocument/2006/relationships/hyperlink" TargetMode="External" Target="http://eur-lex.europa.eu/legal-content/LIT/TXT/?uri=CELEX:32019R1781&amp;locale=lt"/>
  <Relationship Id="rId119" Type="http://schemas.openxmlformats.org/officeDocument/2006/relationships/hyperlink" TargetMode="External" Target="http://eur-lex.europa.eu/legal-content/LIT/TXT/?uri=CELEX:32009L0125&amp;locale=lt"/>
  <Relationship Id="rId12" Type="http://schemas.openxmlformats.org/officeDocument/2006/relationships/footer" Target="footer6.xml"/>
  <Relationship Id="rId120" Type="http://schemas.openxmlformats.org/officeDocument/2006/relationships/hyperlink" TargetMode="External" Target="http://eur-lex.europa.eu/legal-content/LIT/TXT/?uri=CELEX:32009R0641&amp;locale=lt"/>
  <Relationship Id="rId121" Type="http://schemas.openxmlformats.org/officeDocument/2006/relationships/hyperlink" TargetMode="External" Target="http://eur-lex.europa.eu/legal-content/LIT/TXT/?uri=CELEX:32009R0640&amp;locale=lt"/>
  <Relationship Id="rId122" Type="http://schemas.openxmlformats.org/officeDocument/2006/relationships/hyperlink" TargetMode="External" Target="http://eur-lex.europa.eu/legal-content/LIT/TXT/?uri=CELEX:32019R1782&amp;locale=lt"/>
  <Relationship Id="rId123" Type="http://schemas.openxmlformats.org/officeDocument/2006/relationships/hyperlink" TargetMode="External" Target="http://eur-lex.europa.eu/legal-content/LIT/TXT/?uri=CELEX:32009L0125&amp;locale=lt"/>
  <Relationship Id="rId124" Type="http://schemas.openxmlformats.org/officeDocument/2006/relationships/hyperlink" TargetMode="External" Target="http://eur-lex.europa.eu/legal-content/LIT/TXT/?uri=CELEX:32009R0278&amp;locale=lt"/>
  <Relationship Id="rId125" Type="http://schemas.openxmlformats.org/officeDocument/2006/relationships/hyperlink" TargetMode="External" Target="http://eur-lex.europa.eu/legal-content/LIT/TXT/?uri=CELEX:32023R1669&amp;locale=lt"/>
  <Relationship Id="rId126" Type="http://schemas.openxmlformats.org/officeDocument/2006/relationships/hyperlink" TargetMode="External" Target="http://eur-lex.europa.eu/legal-content/LIT/TXT/?uri=CELEX:32017R1369&amp;locale=lt"/>
  <Relationship Id="rId127" Type="http://schemas.openxmlformats.org/officeDocument/2006/relationships/hyperlink" TargetMode="External" Target="http://eur-lex.europa.eu/legal-content/LIT/TXT/?uri=CELEX:32023R1670&amp;locale=lt"/>
  <Relationship Id="rId128" Type="http://schemas.openxmlformats.org/officeDocument/2006/relationships/hyperlink" TargetMode="External" Target="http://eur-lex.europa.eu/legal-content/LIT/TXT/?uri=CELEX:32009L0125&amp;locale=lt"/>
  <Relationship Id="rId129" Type="http://schemas.openxmlformats.org/officeDocument/2006/relationships/hyperlink" TargetMode="External" Target="http://eur-lex.europa.eu/legal-content/LIT/TXT/?uri=CELEX:32023R0826&amp;locale=lt"/>
  <Relationship Id="rId13" Type="http://schemas.openxmlformats.org/officeDocument/2006/relationships/footnotes" Target="footnotes.xml"/>
  <Relationship Id="rId130" Type="http://schemas.openxmlformats.org/officeDocument/2006/relationships/hyperlink" TargetMode="External" Target="http://eur-lex.europa.eu/legal-content/LIT/TXT/?uri=CELEX:32023R0826&amp;locale=lt"/>
  <Relationship Id="rId131" Type="http://schemas.openxmlformats.org/officeDocument/2006/relationships/hyperlink" TargetMode="External" Target="http://eur-lex.europa.eu/legal-content/LIT/TXT/?uri=CELEX:32009L0125&amp;locale=lt"/>
  <Relationship Id="rId132" Type="http://schemas.openxmlformats.org/officeDocument/2006/relationships/hyperlink" TargetMode="External" Target="http://eur-lex.europa.eu/legal-content/LIT/TXT/?uri=CELEX:32008R1275&amp;locale=lt"/>
  <Relationship Id="rId133" Type="http://schemas.openxmlformats.org/officeDocument/2006/relationships/hyperlink" TargetMode="External" Target="http://eur-lex.europa.eu/legal-content/LIT/TXT/?uri=CELEX:32009R0107&amp;locale=lt"/>
  <Relationship Id="rId134" Type="http://schemas.openxmlformats.org/officeDocument/2006/relationships/hyperlink" TargetMode="External" Target="http://eur-lex.europa.eu/legal-content/LIT/TXT/?uri=CELEX:32020R0740&amp;locale=lt"/>
  <Relationship Id="rId135" Type="http://schemas.openxmlformats.org/officeDocument/2006/relationships/hyperlink" TargetMode="External" Target="http://eur-lex.europa.eu/legal-content/LIT/TXT/?uri=CELEX:32017R1369&amp;locale=lt"/>
  <Relationship Id="rId136" Type="http://schemas.openxmlformats.org/officeDocument/2006/relationships/hyperlink" TargetMode="External" Target="http://eur-lex.europa.eu/legal-content/LIT/TXT/?uri=CELEX:32009R1222&amp;locale=lt"/>
  <Relationship Id="rId137" Type="http://schemas.openxmlformats.org/officeDocument/2006/relationships/hyperlink" TargetMode="External" Target="http://eur-lex.europa.eu/legal-content/LIT/TXT/?uri=CELEX:32013R0666&amp;locale=lt"/>
  <Relationship Id="rId138" Type="http://schemas.openxmlformats.org/officeDocument/2006/relationships/hyperlink" TargetMode="External" Target="http://eur-lex.europa.eu/legal-content/LIT/TXT/?uri=CELEX:32009L0125&amp;locale=lt"/>
  <Relationship Id="rId139" Type="http://schemas.openxmlformats.org/officeDocument/2006/relationships/hyperlink" TargetMode="External" Target="http://eur-lex.europa.eu/legal-content/LIT/TXT/?uri=CELEX:32013R0814&amp;locale=lt"/>
  <Relationship Id="rId14" Type="http://schemas.openxmlformats.org/officeDocument/2006/relationships/header" Target="header4.xml"/>
  <Relationship Id="rId140" Type="http://schemas.openxmlformats.org/officeDocument/2006/relationships/hyperlink" TargetMode="External" Target="http://eur-lex.europa.eu/legal-content/LIT/TXT/?uri=CELEX:32009L0125&amp;locale=lt"/>
  <Relationship Id="rId141" Type="http://schemas.openxmlformats.org/officeDocument/2006/relationships/hyperlink" TargetMode="External" Target="http://eur-lex.europa.eu/legal-content/LIT/TXT/?uri=CELEX:32013R0813&amp;locale=lt"/>
  <Relationship Id="rId142" Type="http://schemas.openxmlformats.org/officeDocument/2006/relationships/hyperlink" TargetMode="External" Target="http://eur-lex.europa.eu/legal-content/LIT/TXT/?uri=CELEX:32009L0125&amp;locale=lt"/>
  <Relationship Id="rId143" Type="http://schemas.openxmlformats.org/officeDocument/2006/relationships/hyperlink" TargetMode="External" Target="http://eur-lex.europa.eu/legal-content/LIT/TXT/?uri=CELEX:32019R1784&amp;locale=lt"/>
  <Relationship Id="rId144" Type="http://schemas.openxmlformats.org/officeDocument/2006/relationships/hyperlink" TargetMode="External" Target="http://eur-lex.europa.eu/legal-content/LIT/TXT/?uri=CELEX:32009L0125&amp;locale=lt"/>
  <Relationship Id="rId145" Type="http://schemas.openxmlformats.org/officeDocument/2006/relationships/hyperlink" TargetMode="External" Target="http://eur-lex.europa.eu/legal-content/LIT/TXT/?uri=CELEX:32023L1791&amp;locale=lt"/>
  <Relationship Id="rId146" Type="http://schemas.openxmlformats.org/officeDocument/2006/relationships/hyperlink" TargetMode="External" Target="http://eur-lex.europa.eu/legal-content/LIT/TXT/?uri=CELEX:32023R0955&amp;locale=lt"/>
  <Relationship Id="rId147" Type="http://schemas.openxmlformats.org/officeDocument/2006/relationships/header" Target="header20.xml"/>
  <Relationship Id="rId148" Type="http://schemas.openxmlformats.org/officeDocument/2006/relationships/header" Target="header21.xml"/>
  <Relationship Id="rId149" Type="http://schemas.openxmlformats.org/officeDocument/2006/relationships/footer" Target="footer19.xml"/>
  <Relationship Id="rId15" Type="http://schemas.openxmlformats.org/officeDocument/2006/relationships/header" Target="header5.xml"/>
  <Relationship Id="rId150" Type="http://schemas.openxmlformats.org/officeDocument/2006/relationships/footer" Target="footer20.xml"/>
  <Relationship Id="rId151" Type="http://schemas.openxmlformats.org/officeDocument/2006/relationships/header" Target="header22.xml"/>
  <Relationship Id="rId152" Type="http://schemas.openxmlformats.org/officeDocument/2006/relationships/footer" Target="footer21.xml"/>
  <Relationship Id="rId153" Type="http://schemas.openxmlformats.org/officeDocument/2006/relationships/hyperlink" TargetMode="External" Target="http://eur-lex.europa.eu/legal-content/LIT/TXT/?uri=CELEX:32017R1369&amp;locale=lt"/>
  <Relationship Id="rId154" Type="http://schemas.openxmlformats.org/officeDocument/2006/relationships/hyperlink" TargetMode="External" Target="http://eur-lex.europa.eu/legal-content/LIT/TXT/?uri=CELEX:32010L0030&amp;locale=lt"/>
  <Relationship Id="rId155" Type="http://schemas.openxmlformats.org/officeDocument/2006/relationships/hyperlink" TargetMode="External" Target="http://eur-lex.europa.eu/legal-content/LIT/TXT/?uri=CELEX:32020R0740&amp;locale=lt"/>
  <Relationship Id="rId156" Type="http://schemas.openxmlformats.org/officeDocument/2006/relationships/hyperlink" TargetMode="External" Target="http://eur-lex.europa.eu/legal-content/LIT/TXT/?uri=CELEX:32017R1369&amp;locale=lt"/>
  <Relationship Id="rId157" Type="http://schemas.openxmlformats.org/officeDocument/2006/relationships/hyperlink" TargetMode="External" Target="http://eur-lex.europa.eu/legal-content/LIT/TXT/?uri=CELEX:32009R1222&amp;locale=lt"/>
  <Relationship Id="rId158" Type="http://schemas.openxmlformats.org/officeDocument/2006/relationships/customXml" Target="../customXml/item2.xml"/>
  <Relationship Id="rId16" Type="http://schemas.openxmlformats.org/officeDocument/2006/relationships/header" Target="header6.xml"/>
  <Relationship Id="rId17" Type="http://schemas.openxmlformats.org/officeDocument/2006/relationships/settings" Target="settings.xml"/>
  <Relationship Id="rId18" Type="http://schemas.openxmlformats.org/officeDocument/2006/relationships/styles" Target="styles.xml"/>
  <Relationship Id="rId19" Type="http://schemas.openxmlformats.org/officeDocument/2006/relationships/theme" Target="theme/theme1.xml"/>
  <Relationship Id="rId2" Type="http://schemas.openxmlformats.org/officeDocument/2006/relationships/header" Target="header14.xml"/>
  <Relationship Id="rId20" Type="http://schemas.openxmlformats.org/officeDocument/2006/relationships/webSettings" Target="webSettings.xml"/>
  <Relationship Id="rId21" Type="http://schemas.openxmlformats.org/officeDocument/2006/relationships/header" Target="header19.xml"/>
  <Relationship Id="rId22" Type="http://schemas.openxmlformats.org/officeDocument/2006/relationships/hyperlink" TargetMode="External" Target="http://eur-lex.europa.eu/legal-content/LIT/TXT/?uri=CELEX:32019R2014&amp;locale=lt"/>
  <Relationship Id="rId23" Type="http://schemas.openxmlformats.org/officeDocument/2006/relationships/hyperlink" TargetMode="External" Target="http://eur-lex.europa.eu/legal-content/LIT/TXT/?uri=CELEX:32017R1369&amp;locale=lt"/>
  <Relationship Id="rId24" Type="http://schemas.openxmlformats.org/officeDocument/2006/relationships/hyperlink" TargetMode="External" Target="http://eur-lex.europa.eu/legal-content/LIT/TXT/?uri=CELEX:32010R1061&amp;locale=lt"/>
  <Relationship Id="rId25" Type="http://schemas.openxmlformats.org/officeDocument/2006/relationships/hyperlink" TargetMode="External" Target="http://eur-lex.europa.eu/legal-content/LIT/TXT/?uri=CELEX:31996L0060&amp;locale=lt"/>
  <Relationship Id="rId26" Type="http://schemas.openxmlformats.org/officeDocument/2006/relationships/hyperlink" TargetMode="External" Target="http://eur-lex.europa.eu/legal-content/LIT/TXT/?uri=CELEX:32019R2023&amp;locale=lt"/>
  <Relationship Id="rId27" Type="http://schemas.openxmlformats.org/officeDocument/2006/relationships/hyperlink" TargetMode="External" Target="http://eur-lex.europa.eu/legal-content/LIT/TXT/?uri=CELEX:32009L0125&amp;locale=lt"/>
  <Relationship Id="rId28" Type="http://schemas.openxmlformats.org/officeDocument/2006/relationships/hyperlink" TargetMode="External" Target="http://eur-lex.europa.eu/legal-content/LIT/TXT/?uri=CELEX:32008R1275&amp;locale=lt"/>
  <Relationship Id="rId29" Type="http://schemas.openxmlformats.org/officeDocument/2006/relationships/hyperlink" TargetMode="External" Target="http://eur-lex.europa.eu/legal-content/LIT/TXT/?uri=CELEX:32010R1015&amp;locale=lt"/>
  <Relationship Id="rId3" Type="http://schemas.openxmlformats.org/officeDocument/2006/relationships/footer" Target="footer13.xml"/>
  <Relationship Id="rId30" Type="http://schemas.openxmlformats.org/officeDocument/2006/relationships/hyperlink" TargetMode="External" Target="http://eur-lex.europa.eu/legal-content/LIT/TXT/?uri=CELEX:32023R2534&amp;locale=lt"/>
  <Relationship Id="rId31" Type="http://schemas.openxmlformats.org/officeDocument/2006/relationships/hyperlink" TargetMode="External" Target="http://eur-lex.europa.eu/legal-content/LIT/TXT/?uri=CELEX:32017R1369&amp;locale=lt"/>
  <Relationship Id="rId32" Type="http://schemas.openxmlformats.org/officeDocument/2006/relationships/hyperlink" TargetMode="External" Target="http://eur-lex.europa.eu/legal-content/LIT/TXT/?uri=CELEX:32012R0392&amp;locale=lt"/>
  <Relationship Id="rId33" Type="http://schemas.openxmlformats.org/officeDocument/2006/relationships/hyperlink" TargetMode="External" Target="http://eur-lex.europa.eu/legal-content/LIT/TXT/?uri=CELEX:32023R2533&amp;locale=lt"/>
  <Relationship Id="rId34" Type="http://schemas.openxmlformats.org/officeDocument/2006/relationships/hyperlink" TargetMode="External" Target="http://eur-lex.europa.eu/legal-content/LIT/TXT/?uri=CELEX:32009L0125&amp;locale=lt"/>
  <Relationship Id="rId35" Type="http://schemas.openxmlformats.org/officeDocument/2006/relationships/hyperlink" TargetMode="External" Target="http://eur-lex.europa.eu/legal-content/LIT/TXT/?uri=CELEX:32023R0826&amp;locale=lt"/>
  <Relationship Id="rId36" Type="http://schemas.openxmlformats.org/officeDocument/2006/relationships/hyperlink" TargetMode="External" Target="http://eur-lex.europa.eu/legal-content/LIT/TXT/?uri=CELEX:32012R0932&amp;locale=lt"/>
  <Relationship Id="rId37" Type="http://schemas.openxmlformats.org/officeDocument/2006/relationships/hyperlink" TargetMode="External" Target="http://eur-lex.europa.eu/legal-content/LIT/TXT/?uri=CELEX:32019R2016&amp;locale=lt"/>
  <Relationship Id="rId38" Type="http://schemas.openxmlformats.org/officeDocument/2006/relationships/hyperlink" TargetMode="External" Target="http://eur-lex.europa.eu/legal-content/LIT/TXT/?uri=CELEX:32017R1369&amp;locale=lt"/>
  <Relationship Id="rId39" Type="http://schemas.openxmlformats.org/officeDocument/2006/relationships/hyperlink" TargetMode="External" Target="http://eur-lex.europa.eu/legal-content/LIT/TXT/?uri=CELEX:32010R1060&amp;locale=lt"/>
  <Relationship Id="rId4" Type="http://schemas.openxmlformats.org/officeDocument/2006/relationships/footer" Target="footer14.xml"/>
  <Relationship Id="rId40" Type="http://schemas.openxmlformats.org/officeDocument/2006/relationships/hyperlink" TargetMode="External" Target="http://eur-lex.europa.eu/legal-content/LIT/TXT/?uri=CELEX:32019R2018&amp;locale=lt"/>
  <Relationship Id="rId41" Type="http://schemas.openxmlformats.org/officeDocument/2006/relationships/hyperlink" TargetMode="External" Target="http://eur-lex.europa.eu/legal-content/LIT/TXT/?uri=CELEX:32017R1369&amp;locale=lt"/>
  <Relationship Id="rId42" Type="http://schemas.openxmlformats.org/officeDocument/2006/relationships/hyperlink" TargetMode="External" Target="http://eur-lex.europa.eu/legal-content/LIT/TXT/?uri=CELEX:32019R2019&amp;locale=lt"/>
  <Relationship Id="rId43" Type="http://schemas.openxmlformats.org/officeDocument/2006/relationships/hyperlink" TargetMode="External" Target="http://eur-lex.europa.eu/legal-content/LIT/TXT/?uri=CELEX:32009L0125&amp;locale=lt"/>
  <Relationship Id="rId44" Type="http://schemas.openxmlformats.org/officeDocument/2006/relationships/hyperlink" TargetMode="External" Target="http://eur-lex.europa.eu/legal-content/LIT/TXT/?uri=CELEX:32009R0643&amp;locale=lt"/>
  <Relationship Id="rId45" Type="http://schemas.openxmlformats.org/officeDocument/2006/relationships/hyperlink" TargetMode="External" Target="http://eur-lex.europa.eu/legal-content/LIT/TXT/?uri=CELEX:32019R2024&amp;locale=lt"/>
  <Relationship Id="rId46" Type="http://schemas.openxmlformats.org/officeDocument/2006/relationships/hyperlink" TargetMode="External" Target="http://eur-lex.europa.eu/legal-content/LIT/TXT/?uri=CELEX:32009L0125&amp;locale=lt"/>
  <Relationship Id="rId47" Type="http://schemas.openxmlformats.org/officeDocument/2006/relationships/hyperlink" TargetMode="External" Target="http://eur-lex.europa.eu/legal-content/LIT/TXT/?uri=CELEX:32015R1094&amp;locale=lt"/>
  <Relationship Id="rId48" Type="http://schemas.openxmlformats.org/officeDocument/2006/relationships/hyperlink" TargetMode="External" Target="http://eur-lex.europa.eu/legal-content/LIT/TXT/?uri=CELEX:32010L0030&amp;locale=lt"/>
  <Relationship Id="rId49" Type="http://schemas.openxmlformats.org/officeDocument/2006/relationships/hyperlink" TargetMode="External" Target="http://eur-lex.europa.eu/legal-content/LIT/TXT/?uri=CELEX:32015R1095&amp;locale=lt"/>
  <Relationship Id="rId5" Type="http://schemas.openxmlformats.org/officeDocument/2006/relationships/header" Target="header15.xml"/>
  <Relationship Id="rId50" Type="http://schemas.openxmlformats.org/officeDocument/2006/relationships/hyperlink" TargetMode="External" Target="http://eur-lex.europa.eu/legal-content/LIT/TXT/?uri=CELEX:32009L0125&amp;locale=lt"/>
  <Relationship Id="rId51" Type="http://schemas.openxmlformats.org/officeDocument/2006/relationships/hyperlink" TargetMode="External" Target="http://eur-lex.europa.eu/legal-content/LIT/TXT/?uri=CELEX:32019R2017&amp;locale=lt"/>
  <Relationship Id="rId52" Type="http://schemas.openxmlformats.org/officeDocument/2006/relationships/hyperlink" TargetMode="External" Target="http://eur-lex.europa.eu/legal-content/LIT/TXT/?uri=CELEX:32017R1369&amp;locale=lt"/>
  <Relationship Id="rId53" Type="http://schemas.openxmlformats.org/officeDocument/2006/relationships/hyperlink" TargetMode="External" Target="http://eur-lex.europa.eu/legal-content/LIT/TXT/?uri=CELEX:32010R1059&amp;locale=lt"/>
  <Relationship Id="rId54" Type="http://schemas.openxmlformats.org/officeDocument/2006/relationships/hyperlink" TargetMode="External" Target="http://eur-lex.europa.eu/legal-content/LIT/TXT/?uri=CELEX:32019R2022&amp;locale=lt"/>
  <Relationship Id="rId55" Type="http://schemas.openxmlformats.org/officeDocument/2006/relationships/hyperlink" TargetMode="External" Target="http://eur-lex.europa.eu/legal-content/LIT/TXT/?uri=CELEX:32009L0125&amp;locale=lt"/>
  <Relationship Id="rId56" Type="http://schemas.openxmlformats.org/officeDocument/2006/relationships/hyperlink" TargetMode="External" Target="http://eur-lex.europa.eu/legal-content/LIT/TXT/?uri=CELEX:32008R1275&amp;locale=lt"/>
  <Relationship Id="rId57" Type="http://schemas.openxmlformats.org/officeDocument/2006/relationships/hyperlink" TargetMode="External" Target="http://eur-lex.europa.eu/legal-content/LIT/TXT/?uri=CELEX:32010R1016&amp;locale=lt"/>
  <Relationship Id="rId58" Type="http://schemas.openxmlformats.org/officeDocument/2006/relationships/hyperlink" TargetMode="External" Target="http://eur-lex.europa.eu/legal-content/LIT/TXT/?uri=CELEX:32014R0065&amp;locale=lt"/>
  <Relationship Id="rId59" Type="http://schemas.openxmlformats.org/officeDocument/2006/relationships/hyperlink" TargetMode="External" Target="http://eur-lex.europa.eu/legal-content/LIT/TXT/?uri=CELEX:32010L0030&amp;locale=lt"/>
  <Relationship Id="rId6" Type="http://schemas.openxmlformats.org/officeDocument/2006/relationships/footer" Target="footer15.xml"/>
  <Relationship Id="rId60" Type="http://schemas.openxmlformats.org/officeDocument/2006/relationships/hyperlink" TargetMode="External" Target="http://eur-lex.europa.eu/legal-content/LIT/TXT/?uri=CELEX:32014R0066&amp;locale=lt"/>
  <Relationship Id="rId61" Type="http://schemas.openxmlformats.org/officeDocument/2006/relationships/hyperlink" TargetMode="External" Target="http://eur-lex.europa.eu/legal-content/LIT/TXT/?uri=CELEX:32009L0125&amp;locale=lt"/>
  <Relationship Id="rId62" Type="http://schemas.openxmlformats.org/officeDocument/2006/relationships/hyperlink" TargetMode="External" Target="http://eur-lex.europa.eu/legal-content/LIT/TXT/?uri=CELEX:32019R2013&amp;locale=lt"/>
  <Relationship Id="rId63" Type="http://schemas.openxmlformats.org/officeDocument/2006/relationships/hyperlink" TargetMode="External" Target="http://eur-lex.europa.eu/legal-content/LIT/TXT/?uri=CELEX:32017R1369&amp;locale=lt"/>
  <Relationship Id="rId64" Type="http://schemas.openxmlformats.org/officeDocument/2006/relationships/hyperlink" TargetMode="External" Target="http://eur-lex.europa.eu/legal-content/LIT/TXT/?uri=CELEX:32010R1062&amp;locale=lt"/>
  <Relationship Id="rId65" Type="http://schemas.openxmlformats.org/officeDocument/2006/relationships/hyperlink" TargetMode="External" Target="http://eur-lex.europa.eu/legal-content/LIT/TXT/?uri=CELEX:32019R2021&amp;locale=lt"/>
  <Relationship Id="rId66" Type="http://schemas.openxmlformats.org/officeDocument/2006/relationships/hyperlink" TargetMode="External" Target="http://eur-lex.europa.eu/legal-content/LIT/TXT/?uri=CELEX:32009L0125&amp;locale=lt"/>
  <Relationship Id="rId67" Type="http://schemas.openxmlformats.org/officeDocument/2006/relationships/hyperlink" TargetMode="External" Target="http://eur-lex.europa.eu/legal-content/LIT/TXT/?uri=CELEX:32008R1275&amp;locale=lt"/>
  <Relationship Id="rId68" Type="http://schemas.openxmlformats.org/officeDocument/2006/relationships/hyperlink" TargetMode="External" Target="http://eur-lex.europa.eu/legal-content/LIT/TXT/?uri=CELEX:32009R0642&amp;locale=lt"/>
  <Relationship Id="rId69" Type="http://schemas.openxmlformats.org/officeDocument/2006/relationships/hyperlink" TargetMode="External" Target="http://eur-lex.europa.eu/legal-content/LIT/TXT/?uri=CELEX:32019R2015&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17R1369&amp;locale=lt"/>
  <Relationship Id="rId71" Type="http://schemas.openxmlformats.org/officeDocument/2006/relationships/hyperlink" TargetMode="External" Target="http://eur-lex.europa.eu/legal-content/LIT/TXT/?uri=CELEX:32012R0874&amp;locale=lt"/>
  <Relationship Id="rId72" Type="http://schemas.openxmlformats.org/officeDocument/2006/relationships/hyperlink" TargetMode="External" Target="http://eur-lex.europa.eu/legal-content/LIT/TXT/?uri=CELEX:32019R2020&amp;locale=lt"/>
  <Relationship Id="rId73" Type="http://schemas.openxmlformats.org/officeDocument/2006/relationships/hyperlink" TargetMode="External" Target="http://eur-lex.europa.eu/legal-content/LIT/TXT/?uri=CELEX:32009L0125&amp;locale=lt"/>
  <Relationship Id="rId74" Type="http://schemas.openxmlformats.org/officeDocument/2006/relationships/hyperlink" TargetMode="External" Target="http://eur-lex.europa.eu/legal-content/LIT/TXT/?uri=CELEX:32009R0244&amp;locale=lt"/>
  <Relationship Id="rId75" Type="http://schemas.openxmlformats.org/officeDocument/2006/relationships/hyperlink" TargetMode="External" Target="http://eur-lex.europa.eu/legal-content/LIT/TXT/?uri=CELEX:32009R0245&amp;locale=lt"/>
  <Relationship Id="rId76" Type="http://schemas.openxmlformats.org/officeDocument/2006/relationships/hyperlink" TargetMode="External" Target="http://eur-lex.europa.eu/legal-content/LIT/TXT/?uri=CELEX:32012R1194&amp;locale=lt"/>
  <Relationship Id="rId77" Type="http://schemas.openxmlformats.org/officeDocument/2006/relationships/hyperlink" TargetMode="External" Target="http://eur-lex.europa.eu/legal-content/LIT/TXT/?uri=CELEX:32011R0626&amp;locale=lt"/>
  <Relationship Id="rId78" Type="http://schemas.openxmlformats.org/officeDocument/2006/relationships/hyperlink" TargetMode="External" Target="http://eur-lex.europa.eu/legal-content/LIT/TXT/?uri=CELEX:32010L0030&amp;locale=lt"/>
  <Relationship Id="rId79" Type="http://schemas.openxmlformats.org/officeDocument/2006/relationships/hyperlink" TargetMode="External" Target="http://eur-lex.europa.eu/legal-content/LIT/TXT/?uri=CELEX:32012R0206&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09L0125&amp;locale=lt"/>
  <Relationship Id="rId81" Type="http://schemas.openxmlformats.org/officeDocument/2006/relationships/hyperlink" TargetMode="External" Target="http://eur-lex.europa.eu/legal-content/LIT/TXT/?uri=CELEX:32014R1254&amp;locale=lt"/>
  <Relationship Id="rId82" Type="http://schemas.openxmlformats.org/officeDocument/2006/relationships/hyperlink" TargetMode="External" Target="http://eur-lex.europa.eu/legal-content/LIT/TXT/?uri=CELEX:32010L0030&amp;locale=lt"/>
  <Relationship Id="rId83" Type="http://schemas.openxmlformats.org/officeDocument/2006/relationships/hyperlink" TargetMode="External" Target="http://eur-lex.europa.eu/legal-content/LIT/TXT/?uri=CELEX:32014R1253&amp;locale=lt"/>
  <Relationship Id="rId84" Type="http://schemas.openxmlformats.org/officeDocument/2006/relationships/hyperlink" TargetMode="External" Target="http://eur-lex.europa.eu/legal-content/LIT/TXT/?uri=CELEX:32009L0125&amp;locale=lt"/>
  <Relationship Id="rId85" Type="http://schemas.openxmlformats.org/officeDocument/2006/relationships/hyperlink" TargetMode="External" Target="http://eur-lex.europa.eu/legal-content/LIT/TXT/?uri=CELEX:32013R0811&amp;locale=lt"/>
  <Relationship Id="rId86" Type="http://schemas.openxmlformats.org/officeDocument/2006/relationships/hyperlink" TargetMode="External" Target="http://eur-lex.europa.eu/legal-content/LIT/TXT/?uri=CELEX:32010L0030&amp;locale=lt"/>
  <Relationship Id="rId87" Type="http://schemas.openxmlformats.org/officeDocument/2006/relationships/hyperlink" TargetMode="External" Target="http://eur-lex.europa.eu/legal-content/LIT/TXT/?uri=CELEX:33186R2015&amp;locale=lt"/>
  <Relationship Id="rId88" Type="http://schemas.openxmlformats.org/officeDocument/2006/relationships/hyperlink" TargetMode="External" Target="http://eur-lex.europa.eu/legal-content/LIT/TXT/?uri=CELEX:32010L0030&amp;locale=lt"/>
  <Relationship Id="rId89" Type="http://schemas.openxmlformats.org/officeDocument/2006/relationships/hyperlink" TargetMode="External" Target="http://eur-lex.europa.eu/legal-content/LIT/TXT/?uri=CELEX:32015R1185&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L0125&amp;locale=lt"/>
  <Relationship Id="rId91" Type="http://schemas.openxmlformats.org/officeDocument/2006/relationships/hyperlink" TargetMode="External" Target="http://eur-lex.europa.eu/legal-content/LIT/TXT/?uri=CELEX:32013R0812&amp;locale=lt"/>
  <Relationship Id="rId92" Type="http://schemas.openxmlformats.org/officeDocument/2006/relationships/hyperlink" TargetMode="External" Target="http://eur-lex.europa.eu/legal-content/LIT/TXT/?uri=CELEX:32010L0030&amp;locale=lt"/>
  <Relationship Id="rId93" Type="http://schemas.openxmlformats.org/officeDocument/2006/relationships/hyperlink" TargetMode="External" Target="http://eur-lex.europa.eu/legal-content/LIT/TXT/?uri=CELEX:33187R2015&amp;locale=lt"/>
  <Relationship Id="rId94" Type="http://schemas.openxmlformats.org/officeDocument/2006/relationships/hyperlink" TargetMode="External" Target="http://eur-lex.europa.eu/legal-content/LIT/TXT/?uri=CELEX:32010L0030&amp;locale=lt"/>
  <Relationship Id="rId95" Type="http://schemas.openxmlformats.org/officeDocument/2006/relationships/hyperlink" TargetMode="External" Target="http://eur-lex.europa.eu/legal-content/LIT/TXT/?uri=CELEX:32013R0617&amp;locale=lt"/>
  <Relationship Id="rId96" Type="http://schemas.openxmlformats.org/officeDocument/2006/relationships/hyperlink" TargetMode="External" Target="http://eur-lex.europa.eu/legal-content/LIT/TXT/?uri=CELEX:32009L0125&amp;locale=lt"/>
  <Relationship Id="rId97" Type="http://schemas.openxmlformats.org/officeDocument/2006/relationships/hyperlink" TargetMode="External" Target="http://eur-lex.europa.eu/legal-content/LIT/TXT/?uri=CELEX:32019R0424&amp;locale=lt"/>
  <Relationship Id="rId98" Type="http://schemas.openxmlformats.org/officeDocument/2006/relationships/hyperlink" TargetMode="External" Target="http://eur-lex.europa.eu/legal-content/LIT/TXT/?uri=CELEX:32009L0125&amp;locale=lt"/>
  <Relationship Id="rId99" Type="http://schemas.openxmlformats.org/officeDocument/2006/relationships/hyperlink" TargetMode="External" Target="http://eur-lex.europa.eu/legal-content/LIT/TXT/?uri=CELEX:32013R0617&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5a1430f4f8c645e6992730936b05bc2c" PartId="e6d50a20d7bb4d61a157aed6eeda15e0">
    <Part Type="preambule" DocPartId="c7cdf67ef2ad4c8cbadfc732e4611587" PartId="dae6371452f14a6183ebbf5d8110804d"/>
    <Part Type="pastraipa" DocPartId="551b8b166b5441908322f5652da06abb" PartId="17ac192c06784c3ea71e570819d843bf"/>
    <Part Type="signatura" DocPartId="f99268a36e09488ca8735b3de3320061" PartId="0211abb1940d43619da3d9d1103ee7fe"/>
  </Part>
  <Part Type="patvirtinta" Title="PREKĖMS, IŠSKYRUS KELIŲ TRANSPORTO PRIEMONES, PASLAUGOMS, DARBAMS IR PASTATAMS, ĮSIGYJAMIEMS VIEŠŲJŲ PIRKIMŲ, PERKANČIŲJŲ SUBJEKTŲ ATLIEKAMŲ PIRKIMŲ IR KONCESIJŲ SUTEIKIMO PROCEDŪRŲ METU, KELIAMŲ ENERGIJOS VARTOJIMO EFEKTYVUMO RODIKLIŲ IR (AR) TAIKYTINŲ REIKALAVIMŲ (KRITERIJŲ) IR JŲ TAIKYMO TVARKOS APRAŠAS" DocPartId="b9791cf7fc8345c4b1118676badd3c37" PartId="0f9b5cf5b9834a3d89a400f87d9df9af">
    <Part Type="skyrius" Nr="1" Title="BENDROSIOS NUOSTATOS" DocPartId="d0aa6cc6749f4caa9338ebab591214a5" PartId="1beafb51acb24e10940938c74a3208fc">
      <Part Type="punktas" Nr="1" Abbr="1 p." DocPartId="783dc43b99814fce9a9de8e253023106" PartId="b5f6d493ceb241c98497ff76c05b04d5"/>
      <Part Type="punktas" Nr="2" Abbr="2 p." DocPartId="a40e0d337a8f4676867edabd5ef167ed" PartId="1c417ab8f330493a95ebae0ba8078cb1"/>
      <Part Type="punktas" Nr="3" Abbr="3 p." DocPartId="00e7a789570642b68a756e201403852b" PartId="5f97c786e9c641edb9a34212e9d22914"/>
    </Part>
    <Part Type="skyrius" Nr="2" Title="ENERGIJOS VARTOJIMO EFEKTYVUMO REIKALAVIMAI PREKĖMS, PASLAUGOMS, DARBAMS IR PASTATAMS" DocPartId="68df25d00c1c4c58bfdbc2e2bf073fbd" PartId="1181a5d101014bceb88d8b2a1c1ec56b">
      <Part Type="punktas" Nr="4" Abbr="4 p." DocPartId="de81915f2fbe485b93ffc02c7b4d4001" PartId="e0ebe605d4d843aa830b18624c57ef2f">
        <Part Type="papunktis" Nr="4.1" Abbr="4.1 pp." DocPartId="25d9799a2ef34f1f9e42a1d284934cfc" PartId="f3ce24bcd0eb43ccbf1b62c8f7d0cb69"/>
        <Part Type="papunktis" Nr="4.2" Abbr="4.2 pp." DocPartId="b594aed270854141846a42b9bea48a60" PartId="f0b90f35943c4220b8d8a7fb3ba04d06">
          <Part Type="papunktis" Nr="4.2.1" Abbr="4.2.1 pp." DocPartId="b237421b7a6e4a5a9e3b50484470abc1" PartId="e6c0c8ca12094befb7c529ba24afe7b6"/>
          <Part Type="papunktis" Nr="4.2.2" Abbr="4.2.2 pp." DocPartId="bc1f9281bcef47af8a1076ba99ac40b1" PartId="0e3c39e517734ed781a34ca8ea9e0e78"/>
        </Part>
        <Part Type="papunktis" Nr="4.3" Abbr="4.3 pp." DocPartId="f11c7939a96b40b28358a7f28a0e4036" PartId="988524c5cc8f4afe9372fc6ef77b543f"/>
        <Part Type="papunktis" Nr="4.4" Abbr="4.4 pp." DocPartId="98115360a58d4c9ab4590f79cb06cb98" PartId="b5e83b32a1d14fa2b662eeac17b022f3"/>
      </Part>
      <Part Type="punktas" Nr="5" Abbr="5 p." DocPartId="9f605ff58d1a4253be3777190cc4a48c" PartId="6a24c8266efe439e9ac5a3a30f3ae786">
        <Part Type="papunktis" Nr="5.1" Abbr="5.1 pp." DocPartId="6a0c2f198cb34011a7e721c42f3369db" PartId="75926f0de7074b019213063729032691"/>
        <Part Type="papunktis" Nr="5.2" Abbr="5.2 pp." DocPartId="3cb8ca910af541c3a1bc4a512a044b78" PartId="9bf64192e50349e590f8e4f77276a71b"/>
        <Part Type="papunktis" Nr="5.3" Abbr="5.3 pp." DocPartId="7818818244cf47bdadc2c76aa2040e16" PartId="b3b60dddc297451ab8451abcd10c63f5"/>
      </Part>
      <Part Type="punktas" Nr="6" Abbr="6 p." DocPartId="d35c7fcccf69487d9938088c498679c0" PartId="b68ccae3f90845aa8cd8c4efbe63280d"/>
      <Part Type="punktas" Nr="7" Abbr="7 p." DocPartId="410bb87449374dc6be8e5b2a6966b7c6" PartId="36c12ca3a5d040668e3608afc1d3c944"/>
      <Part Type="punktas" Nr="8" Abbr="8 p." DocPartId="7a22061f796c48cd819a833895e58e36" PartId="c29a762afd6d44c38fb359e784777800"/>
      <Part Type="punktas" Nr="9" Abbr="9 p." DocPartId="dd450fc1cbcf454c85e36ce8d0a0b0f5" PartId="11b75f8c749e43d69c5a6a46cce9b639"/>
    </Part>
    <Part Type="skyrius" Nr="3" Title="BAIGIAMOSIOS NUOSTATOS" DocPartId="a0e475b88a614e5087ef7a1120b5a44d" PartId="76d8928265434e46be108af289ce66a9">
      <Part Type="punktas" Nr="10" Abbr="10 p." DocPartId="d2c5f95da9fb4dfcac724cf7a56706ae" PartId="0e9612ac160a439b9248354f350f516f"/>
      <Part Type="punktas" Nr="11" Abbr="11 p." DocPartId="399470c54786438580c5f5e82522d137" PartId="562458ba760e472eb5311be73b354ca2"/>
      <Part Type="punktas" Nr="12" Abbr="12 p." DocPartId="af0e47d405aa480fa5559515d1054344" PartId="6507e73069f9437a8c5f106fee630f12"/>
      <Part Type="punktas" Nr="13" Abbr="13 p." DocPartId="e512eeadef8c43f5b80d6c8864d7df58" PartId="6d20dbbba7ba4e08866ddb66cad1569f"/>
    </Part>
    <Part Type="pabaiga" DocPartId="cf4ec94dfd0d4098827ba93d69cd7e27" PartId="451f2379933f43779acd33845fa669ac"/>
  </Part>
  <Part Type="patvirtinta" Title="PREKIŲ, IŠSKYRUS KELIŲ TRANSPORTO PRIEMONES, KURIOMS VIEŠŲJŲ PIRKIMŲ, PERKANČIŲJŲ SUBJEKTŲ ATLIEKAMŲ PIRKIMŲ IR KONCESIJŲ SUTEIKIMO METU TAIKOMI ENERGIJOS VARTOJIMO EFEKTYVUMO REIKALAVIMAI, SĄRAŠAS" DocPartId="ae9df7ed9c75459cab477fe9fb57139f" PartId="369a997516674cc29c922f9156896f49"/>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2BE90B4-11B1-4F3E-ABB5-5DD13FFC47DD}">
  <ds:schemaRefs>
    <ds:schemaRef ds:uri="http://schemas.openxmlformats.org/officeDocument/2006/bibliography"/>
  </ds:schemaRefs>
</ds:datastoreItem>
</file>

<file path=customXml/itemProps2.xml><?xml version="1.0" encoding="utf-8"?>
<ds:datastoreItem xmlns:ds="http://schemas.openxmlformats.org/officeDocument/2006/customXml" ds:itemID="{1D9A2A02-D5D6-415B-AADE-B7C4961B6AE0}">
  <ds:schemaRefs>
    <ds:schemaRef ds:uri="http://lrs.lt/TAIS/DocParts"/>
  </ds:schemaRefs>
</ds:datastoreItem>
</file>

<file path=customXml/itemProps3.xml><?xml version="1.0" encoding="utf-8"?>
<ds:datastoreItem xmlns:ds="http://schemas.openxmlformats.org/officeDocument/2006/customXml" ds:itemID="{92BE90B4-11B1-4F3E-ABB5-5DD13FFC47DD}">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8</TotalTime>
  <Pages>20</Pages>
  <Words>42219</Words>
  <Characters>24066</Characters>
  <Application>Microsoft Office Word</Application>
  <DocSecurity>0</DocSecurity>
  <Lines>200</Lines>
  <Paragraphs>132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66153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2015-06-22T08:42:00Z</dcterms:created>
  <dc:creator>ŠAULYTĖ SKAIRIENĖ Dalia</dc:creator>
  <lastModifiedBy>PABIJŪNĖ Agnė</lastModifiedBy>
  <lastPrinted>2015-05-21T12:09:00Z</lastPrinted>
  <dcterms:modified xsi:type="dcterms:W3CDTF">2026-05-13T12:57:00Z</dcterms:modified>
  <revision>11</revision>
</coreProperties>
</file>