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2f4ffc2e9c14885abdb0708b464d6f8"/>
        <w:lock w:val="sdtLocked"/>
        <w:richText/>
      </w:sdtPr>
      <w:sdtContent>
        <w:p>
          <w:pPr>
            <w:jc w:val="both"/>
            <w:rPr>
              <w:rFonts w:ascii="Times New Roman" w:hAnsi="Times New Roman"/>
            </w:rPr>
          </w:pPr>
          <w:r>
            <w:rPr>
              <w:rFonts w:ascii="Times New Roman" w:hAnsi="Times New Roman"/>
              <w:b/>
              <w:i/>
            </w:rPr>
            <w:t>Suvestinė redakcija nuo 2017-07-18 iki 2022-12-23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2015-06-22, i. k. 2015-10022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2017-07-18:</w:t>
          </w:r>
        </w:p>
        <w:p>
          <w:pPr>
            <w:rPr>
              <w:rFonts w:ascii="Times New Roman" w:hAnsi="Times New Roman"/>
              <w:sz w:val="20"/>
              <w:i/>
            </w:rPr>
          </w:pPr>
          <w:r>
            <w:rPr>
              <w:rFonts w:ascii="Times New Roman" w:hAnsi="Times New Roman"/>
              <w:sz w:val="20"/>
              <w:i/>
            </w:rPr>
            <w:t xml:space="preserve">Nr. </w:t>
          </w:r>
          <w:fldSimple w:instr="HYPERLINK https://www.e-tar.lt/portal/legalAct.html?documentId=5442aff0686d11e7827cd63159af616c">
            <w:r w:rsidRPr="00532B9F">
              <w:rPr>
                <w:rFonts w:ascii="Times New Roman" w:eastAsia="MS Mincho" w:hAnsi="Times New Roman"/>
                <w:sz w:val="20"/>
                <w:i/>
                <w:iCs/>
                <w:color w:val="0000FF" w:themeColor="hyperlink"/>
                <w:u w:val="single"/>
              </w:rPr>
              <w:t>1-186</w:t>
            </w:r>
          </w:fldSimple>
          <w:r>
            <w:rPr>
              <w:rFonts w:ascii="Times New Roman" w:eastAsia="MS Mincho" w:hAnsi="Times New Roman"/>
              <w:sz w:val="20"/>
              <w:i/>
              <w:iCs/>
            </w:rPr>
            <w:t>,
2017-07-14,
paskelbta TAR 2017-07-17, i. k. 2017-12292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ENERGETIKOS MINISTRAS</w:t>
          </w:r>
        </w:p>
        <w:p>
          <w:pPr>
            <w:jc w:val="center"/>
            <w:rPr>
              <w:b/>
              <w:color w:val="000000"/>
              <w:szCs w:val="24"/>
              <w:lang w:eastAsia="lt-LT"/>
            </w:rPr>
          </w:pPr>
          <w:r>
            <w:rPr>
              <w:b/>
              <w:color w:val="000000"/>
              <w:szCs w:val="24"/>
              <w:lang w:eastAsia="lt-LT"/>
            </w:rPr>
            <w:t>ĮSAKYMAS</w:t>
          </w:r>
        </w:p>
        <w:p>
          <w:pPr>
            <w:jc w:val="center"/>
            <w:rPr>
              <w:color w:val="000000"/>
              <w:szCs w:val="24"/>
              <w:lang w:eastAsia="lt-LT"/>
            </w:rPr>
          </w:pPr>
        </w:p>
        <w:p>
          <w:pPr>
            <w:jc w:val="center"/>
            <w:rPr>
              <w:color w:val="000000"/>
              <w:szCs w:val="24"/>
              <w:lang w:eastAsia="lt-LT"/>
            </w:rPr>
          </w:pPr>
          <w:r>
            <w:rPr>
              <w:b/>
              <w:bCs/>
              <w:color w:val="000000"/>
              <w:szCs w:val="24"/>
              <w:lang w:eastAsia="lt-LT"/>
            </w:rPr>
            <w:t>DĖL PREKIŲ, IŠSKYRUS KELIŲ TRANSPORTO PRIEMONES, KURIOMS VIEŠŲJŲ PIRKIMŲ IR PERKANČIŲJŲ SUBJEKTŲ ATLIEKAMŲ PIRKIMŲ METU TAIKOMI ENERGIJOS VARTOJIMO EFEKTYVUMO REIKALAVIMAI, SĄRAŠO PATVIRTINIMO</w:t>
          </w:r>
        </w:p>
        <w:p>
          <w:pPr>
            <w:jc w:val="center"/>
            <w:rPr>
              <w:color w:val="000000"/>
              <w:szCs w:val="24"/>
              <w:lang w:eastAsia="lt-LT"/>
            </w:rPr>
          </w:pPr>
        </w:p>
        <w:p>
          <w:pPr>
            <w:jc w:val="center"/>
            <w:rPr>
              <w:color w:val="000000"/>
              <w:szCs w:val="24"/>
              <w:lang w:eastAsia="lt-LT"/>
            </w:rPr>
          </w:pPr>
          <w:r>
            <w:rPr>
              <w:color w:val="000000"/>
              <w:szCs w:val="24"/>
              <w:lang w:eastAsia="lt-LT"/>
            </w:rPr>
            <w:t>2015 m. birželio 18 d. Nr. 1-154</w:t>
          </w:r>
        </w:p>
        <w:p>
          <w:pPr>
            <w:jc w:val="center"/>
            <w:rPr>
              <w:color w:val="000000"/>
              <w:szCs w:val="24"/>
              <w:lang w:eastAsia="lt-LT"/>
            </w:rPr>
          </w:pPr>
          <w:r>
            <w:rPr>
              <w:color w:val="000000"/>
              <w:szCs w:val="24"/>
              <w:lang w:eastAsia="lt-LT"/>
            </w:rPr>
            <w:t>Vilnius</w:t>
          </w:r>
        </w:p>
        <w:p>
          <w:pPr>
            <w:jc w:val="center"/>
            <w:rPr>
              <w:color w:val="000000"/>
              <w:szCs w:val="24"/>
              <w:lang w:eastAsia="lt-LT"/>
            </w:rPr>
          </w:pPr>
        </w:p>
        <w:p>
          <w:pPr>
            <w:jc w:val="both"/>
            <w:rPr>
              <w:color w:val="000000"/>
              <w:szCs w:val="24"/>
              <w:lang w:eastAsia="lt-LT"/>
            </w:rPr>
          </w:pPr>
        </w:p>
        <w:sdt>
          <w:sdtPr>
            <w:alias w:val="preambule"/>
            <w:tag w:val="part_dc29fdca329b43228dbcd3aa6f21cb6a"/>
            <w:lock w:val="sdtLocked"/>
            <w:richText/>
          </w:sdtPr>
          <w:sdtContent>
            <w:p>
              <w:pPr>
                <w:ind w:firstLine="720"/>
                <w:jc w:val="both"/>
                <w:rPr>
                  <w:color w:val="000000"/>
                  <w:szCs w:val="24"/>
                  <w:lang w:eastAsia="lt-LT"/>
                </w:rPr>
              </w:pPr>
              <w:r>
                <w:rPr>
                  <w:rFonts w:eastAsia="Calibri"/>
                  <w:szCs w:val="24"/>
                </w:rPr>
                <w:t>Įgyvendindamas 2012 m. spalio 25 d. Europos Parlamento ir Tarybos direktyvos Nr. 2012/27/ES dėl energijos vartojimo efektyvumo, kuria iš dalies keičiamos direktyvos 2009/125/EB ir 2010/30/ES bei kuria panaikinamos direktyvos 2004/8/EB ir 2006/32/EB (OL 2012 L 315, p.1), 6 straipsnio ir III priedo reikalavimus ir vadovaudamasis Lietuvos Respublikos Vyriausybės 2006 m. sausio 30 d. nutarimo Nr. 92 „Dėl Lietuvos Respublikos viešųjų pirkimų įstatymo įgyvendinimo“ 7.1 papunkčiu:</w:t>
              </w:r>
            </w:p>
          </w:sdtContent>
        </w:sdt>
        <w:sdt>
          <w:sdtPr>
            <w:alias w:val="1 p."/>
            <w:tag w:val="part_9e33a144ff22449d83fd388215f84547"/>
            <w:lock w:val="sdtLocked"/>
            <w:richText/>
          </w:sdtPr>
          <w:sdtContent>
            <w:p>
              <w:pPr>
                <w:ind w:firstLine="720"/>
                <w:jc w:val="both"/>
                <w:rPr>
                  <w:color w:val="000000"/>
                  <w:szCs w:val="24"/>
                  <w:lang w:eastAsia="lt-LT"/>
                </w:rPr>
              </w:pPr>
              <w:sdt>
                <w:sdtPr>
                  <w:alias w:val="Numeris"/>
                  <w:tag w:val="nr_9e33a144ff22449d83fd388215f84547"/>
                  <w:lock w:val="sdtLocked"/>
                  <w:richText/>
                </w:sdtPr>
                <w:sdtContent>
                  <w:r>
                    <w:rPr>
                      <w:color w:val="000000"/>
                      <w:szCs w:val="24"/>
                      <w:lang w:eastAsia="lt-LT"/>
                    </w:rPr>
                    <w:t>1</w:t>
                  </w:r>
                </w:sdtContent>
              </w:sdt>
              <w:r>
                <w:rPr>
                  <w:color w:val="000000"/>
                  <w:szCs w:val="24"/>
                  <w:lang w:eastAsia="lt-LT"/>
                </w:rPr>
                <w:t>. Tvirtinu Prekių, išskyrus kelių transporto priemones, kurioms viešųjų pirkimų ir perkančiųjų subjektų atliekamų pirkimų metu taikomi energijos vartojimo efektyvumo reikalavimai, sąrašą (pridedama).</w:t>
              </w:r>
            </w:p>
          </w:sdtContent>
        </w:sdt>
        <w:sdt>
          <w:sdtPr>
            <w:alias w:val="2 p."/>
            <w:tag w:val="part_1c729fd869734148a526e1fb86307dc5"/>
            <w:lock w:val="sdtLocked"/>
            <w:richText/>
          </w:sdtPr>
          <w:sdtContent>
            <w:p>
              <w:pPr>
                <w:ind w:firstLine="720"/>
                <w:jc w:val="both"/>
              </w:pPr>
              <w:sdt>
                <w:sdtPr>
                  <w:alias w:val="Numeris"/>
                  <w:tag w:val="nr_1c729fd869734148a526e1fb86307dc5"/>
                  <w:lock w:val="sdtLocked"/>
                  <w:richText/>
                </w:sdtPr>
                <w:sdtContent>
                  <w:r>
                    <w:rPr>
                      <w:color w:val="000000"/>
                      <w:szCs w:val="24"/>
                      <w:lang w:eastAsia="lt-LT"/>
                    </w:rPr>
                    <w:t>2</w:t>
                  </w:r>
                </w:sdtContent>
              </w:sdt>
              <w:r>
                <w:rPr>
                  <w:color w:val="000000"/>
                  <w:szCs w:val="24"/>
                  <w:lang w:eastAsia="lt-LT"/>
                </w:rPr>
                <w:t>. Siūlau, kad perkant prekių rinkinį, kuriam kaip visumai taikomi energijos vartojimo efektyvumo reikalavimai, pirmenybė būtų teikiama bendram rinkinio energijos vartojimo efektyvumui, o ne atskirų, tokį rinkinį sudarančių prekių energijos vartojimo efektyvumui.</w:t>
              </w:r>
            </w:p>
          </w:sdtContent>
        </w:sdt>
        <w:sdt>
          <w:sdtPr>
            <w:alias w:val="signatura"/>
            <w:tag w:val="part_477fba93dc09475399fca301d58ad7a2"/>
            <w:lock w:val="sdtLocked"/>
            <w:richText/>
          </w:sdtPr>
          <w:sdtContent>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rPr>
                  <w:caps/>
                  <w:color w:val="000000"/>
                  <w:szCs w:val="24"/>
                </w:rPr>
              </w:pPr>
              <w:r>
                <w:rPr>
                  <w:color w:val="000000"/>
                  <w:szCs w:val="24"/>
                </w:rPr>
                <w:t>Energetikos ministras</w:t>
                <w:tab/>
                <w:t>Rokas Masiulis</w:t>
              </w:r>
            </w:p>
          </w:sdtContent>
        </w:sdt>
        <w:p/>
      </w:sdtContent>
    </w:sdt>
    <w:sdt>
      <w:sdtPr>
        <w:alias w:val="patvirtinta"/>
        <w:tag w:val="part_f5fc68efd793478a9246faf456c522f9"/>
        <w:lock w:val="sdtLocked"/>
        <w:richText/>
      </w:sdtPr>
      <w:sdtContent>
        <w:p>
          <w:pPr>
            <w:keepLines/>
            <w:tabs>
              <w:tab w:val="left" w:pos="1304"/>
              <w:tab w:val="left" w:pos="1457"/>
              <w:tab w:val="left" w:pos="1604"/>
              <w:tab w:val="left" w:pos="1757"/>
            </w:tabs>
            <w:suppressAutoHyphens/>
            <w:ind w:left="5387"/>
            <w:textAlignment w:val="center"/>
          </w:pPr>
          <w:r>
            <w:br w:type="page"/>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br/>
            <w:t>Lietuvos Respublikos energetikos ministro 2015 m. birželio 18 d. įsakymu Nr. 1-154</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 xml:space="preserve">(Lietuvos Respublikos energetikos ministro </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2017 m. liepos 14 d. įsakymo Nr. 1-186</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redakcija)</w:t>
          </w:r>
        </w:p>
        <w:p>
          <w:pPr>
            <w:suppressAutoHyphens/>
            <w:ind w:left="4962"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f5fc68efd793478a9246faf456c522f9"/>
              <w:lock w:val="sdtLocked"/>
              <w:richText/>
            </w:sdtPr>
            <w:sdtContent>
              <w:r>
                <w:rPr>
                  <w:b/>
                  <w:bCs/>
                  <w:caps/>
                  <w:color w:val="000000"/>
                  <w:szCs w:val="24"/>
                </w:rPr>
                <w:t>Prekių, išskyrus kelių transporto priemones, kurioms viešųjų pirkimų ir perkančiųjų subjektų atliekamų pirkimų metu taikomi energijos vartojimo efektyvumo reikalavimai, sąrašAS</w:t>
              </w:r>
            </w:sdtContent>
          </w:sdt>
        </w:p>
        <w:p>
          <w:pPr>
            <w:suppressAutoHyphens/>
            <w:ind w:firstLine="312"/>
            <w:jc w:val="both"/>
            <w:textAlignment w:val="center"/>
            <w:rPr>
              <w:color w:val="000000"/>
              <w:szCs w:val="24"/>
            </w:rPr>
          </w:pPr>
        </w:p>
        <w:tbl>
          <w:tblPr>
            <w:tblW w:w="5000" w:type="pct"/>
            <w:jc w:val="center"/>
            <w:tblLayout w:type="fixed"/>
            <w:tblCellMar>
              <w:left w:w="0" w:type="dxa"/>
              <w:right w:w="0" w:type="dxa"/>
            </w:tblCellMar>
            <w:tblLook w:val="0000" w:firstRow="0" w:lastRow="0" w:firstColumn="0" w:lastColumn="0" w:noHBand="0" w:noVBand="0"/>
          </w:tblPr>
          <w:tblGrid>
            <w:gridCol w:w="595"/>
            <w:gridCol w:w="2329"/>
            <w:gridCol w:w="6828"/>
          </w:tblGrid>
          <w:tr>
            <w:trPr>
              <w:trHeight w:val="60"/>
              <w:tblHeader/>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Eil. Nr.</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Prekės pavadinimas*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Teisės aktas, nustatantis energijos vartojimo efektyvumo reikalavimus</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Buitinės skalbyklės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2010 m. rugsėjo 28 d. Komisijos deleguotasis reglamentas (ES) Nr. 1061/2010, kuriuo papildoma Europos Parlamento ir Tarybos direktyva 2010/30/ES nustatant buitinių skalbyklių ženklinimo energijos vartojimo efektyvumo etikete reikalavimus (OL 2010 L 314, p. 47)</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Buitinės būgninės džiovyklės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2012 m. kovo 1 d. Komisijos deleguotasis reglamentas (ES) Nr. 392/2012, kuriuo papildoma Europos Parlamento ir Tarybos direktyva 2010/30/ES nustatant buitinių būgninių džiovyklių energijos vartojimo efektyvumo ženklinimo reikalavimus (OL 2012 L 123,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Buitiniai šaldymo aparatai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 xml:space="preserve">2010 m. rugsėjo 28 d.  Komisijos deleguotasis reglamentas (ES) Nr. 1060/2010, kuriuo papildoma Europos Parlamento ir Tarybos direktyva 2010/30/ES nustatant buitinių šaldymo aparatų ženklinimo energijos vartojimo efektyvumo etikete reikalavimus (OL 2010 L 314, p. 17)</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4.</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Pramoninės šaldymo spintos, jungiamos į elektros tinklą</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2015 m. gegužės 5 d. Komisijos deleguotasis reglamentas (ES) 2015/1094, kuriuo papildoma Europos Parlamento ir Tarybos direktyva 2010/30/ES nustatant pramoninių šaldymo spintų ženklinimo energijos vartojimo efektyvumo etikete reikalavimus (OL 2015 L 177, p. 2)</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5.</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Buitinės indaplovės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2010 m. rugsėjo 28 d. Komisijos deleguotasis reglamentas (ES) Nr. 1059/2010, kuriuo papildoma Europos Parlamento ir Tarybos direktyva 2010/30/ES nustatant buitinių indaplovių ženklinimo energijos vartojimo efektyvumo etikete reikalavimus (OL 2010 L 314,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6.</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bCs/>
                    <w:color w:val="000000"/>
                    <w:szCs w:val="24"/>
                  </w:rPr>
                  <w:t>Buitinės elektrinės ir dujinės orkaitės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2013 m. spalio 1 d. Komisijos deleguotasis reglamentas (ES) Nr. 65/2014, kuriuo papildoma Europos Parlamento ir Tarybos direktyva 2010/30/ES nustatant buitinių orkaičių ir gartraukių ženklinimo energijos vartojimo efektyvumo etikete reikalavimus (OL 2014 L 29,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7.</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Buitinės kaitvietės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bCs/>
                    <w:color w:val="000000"/>
                    <w:szCs w:val="24"/>
                  </w:rPr>
                  <w:t>2014 m. sausio 14 d. Komisijos reglamentas (ES) Nr. 66/2014, kuriuo įgyvendinant Europos Parlamento ir Tarybos direktyvą 2009/125/EB nustatomi buitinių orkaičių, kaitviečių ir gartraukių ekologinio projektavimo reikalavimai (OL 2014 L 29, p. 33)</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8.</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bCs/>
                    <w:color w:val="000000"/>
                    <w:szCs w:val="24"/>
                  </w:rPr>
                  <w:t>Buitiniai elektriniai gartraukiai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2013 m. spalio 1 d. Komisijos deleguotasis reglamentas (ES) Nr. 65/2014, kuriuo papildoma Europos Parlamento ir Tarybos direktyva 2010/30/ES nustatant buitinių orkaičių ir gartraukių ženklinimo energijos vartojimo efektyvumo etikete reikalavimus (OL 2014 L 29,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9.</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Televizoriai ir televizijos monitoriai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2010 m. rugsėjo 28 d. Komisijos deleguotasis reglamentas (ES) Nr. 1062/2010, kuriuo papildoma Europos Parlamento ir Tarybos direktyva 2010/30/ES nustatant televizijos aparatų ženklinimo energijos vartojimo efektyvumo etikete reikalavimus (OL 2010 L 314, p. 64)</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10.</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Buitiniai sausojo valymo dulkių siurbliai, jungiami į elektros tinklą</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2013 m. gegužės 3 d. Komisijos deleguotasis reglamentas (ES) Nr. 665/2013, kuriuo dėl dulkių siurblių energijos vartojimo efektyvumo ženklinimo reikalavimų nustatymo papildoma Europos Parlamento ir Tarybos direktyva 2010/30/ES (OL 2013 L 192,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11.</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Elektros lempos ir šviestuvai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2012 m. liepos 12 d. Komisijos deleguotasis reglamentas (ES) Nr. 874/2012, kuriuo papildoma Europos Parlamento ir Tarybos direktyva 2010/30/ES nustatant elektros lempų ir šviestuvų energijos vartojimo efektyvumo ženklinimo reikalavimus (OL 2012 L 258,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12.</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rFonts w:eastAsia="Calibri"/>
                    <w:color w:val="000000"/>
                    <w:szCs w:val="24"/>
                    <w:lang w:eastAsia="lt-LT"/>
                  </w:rPr>
                </w:pPr>
                <w:r>
                  <w:rPr>
                    <w:rFonts w:eastAsia="Calibri"/>
                    <w:szCs w:val="24"/>
                    <w:lang w:eastAsia="lt-LT"/>
                  </w:rPr>
                  <w:t>Elektriniai oro kondicionieriai, kurių vardinė galia ≤ 12 kW</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2011 m. gegužės 4 d. Komisijos deleguotasis reglamentas (ES) Nr. 626/2011, kuriuo papildoma Europos Parlamento ir Tarybos direktyva 2010/30/ES nustatant oro kondicionierių energijos vartojimo efektyvumo ženklinimo reikalavimus (OL 2011 L 178,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13.</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Gyvenamųjų patalpų vėdinimo įrenginiai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2014 m. liepos 11 d. Komisijos deleguotasis reglamentas (ES) Nr. 1254/2014, kuriuo Europos Parlamento ir Tarybos direktyva 2010/30/ES papildoma gyvenamųjų patalpų vėdinimo įrenginių energijos vartojimo efektyvumo ženklinimo reikalavimais (OL 2014 L 337, p. 27)</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14.</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bCs/>
                    <w:color w:val="000000"/>
                    <w:szCs w:val="24"/>
                  </w:rPr>
                  <w:t xml:space="preserve">Patalpų šildytuvai, kombinuotieji šildytuvai, kurių </w:t>
                </w:r>
                <w:r>
                  <w:rPr>
                    <w:color w:val="000000"/>
                    <w:szCs w:val="24"/>
                  </w:rPr>
                  <w:t xml:space="preserve">vardinė galia ≤ 70 kW </w:t>
                </w:r>
                <w:r>
                  <w:rPr>
                    <w:bCs/>
                    <w:color w:val="000000"/>
                    <w:szCs w:val="24"/>
                  </w:rPr>
                  <w:t>patalpų šildytuvo (</w:t>
                </w:r>
                <w:r>
                  <w:rPr>
                    <w:color w:val="000000"/>
                    <w:szCs w:val="24"/>
                  </w:rPr>
                  <w:t>≤70 kW)</w:t>
                </w:r>
                <w:r>
                  <w:rPr>
                    <w:bCs/>
                    <w:color w:val="000000"/>
                    <w:szCs w:val="24"/>
                  </w:rPr>
                  <w:t xml:space="preserve">, temperatūros reguliatoriaus ir saulės energijos įrenginio komplektai </w:t>
                </w:r>
              </w:p>
              <w:p>
                <w:pPr>
                  <w:keepNext/>
                  <w:suppressAutoHyphens/>
                  <w:ind w:firstLine="62"/>
                  <w:textAlignment w:val="center"/>
                  <w:rPr>
                    <w:color w:val="000000"/>
                    <w:szCs w:val="24"/>
                  </w:rPr>
                </w:pPr>
                <w:r>
                  <w:rPr>
                    <w:bCs/>
                    <w:color w:val="000000"/>
                    <w:szCs w:val="24"/>
                  </w:rPr>
                  <w:t>ir kombinuotojo šildytuvo (</w:t>
                </w:r>
                <w:r>
                  <w:rPr>
                    <w:color w:val="000000"/>
                    <w:szCs w:val="24"/>
                  </w:rPr>
                  <w:t>≤ 70 kW)</w:t>
                </w:r>
                <w:r>
                  <w:rPr>
                    <w:bCs/>
                    <w:color w:val="000000"/>
                    <w:szCs w:val="24"/>
                  </w:rPr>
                  <w:t>, temperatūros reguliatoriaus ir saulės energijos įrenginio komplektai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2013 m. vasario 18 d. Komisijos deleguotasis reglamentas (ES) Nr. 811/2013, kuriuo papildomos Europos Parlamento ir Tarybos direktyvos 2010/30/ES nuostatos</w:t>
                </w:r>
                <w:r>
                  <w:rPr>
                    <w:bCs/>
                    <w:color w:val="000000"/>
                    <w:szCs w:val="24"/>
                  </w:rPr>
                  <w:t xml:space="preserve"> dėl patalpų šildytuvų, kombinuotųjų šildytuvų, patalpų šildytuvo, temperatūros reguliatoriaus ir saulės energijos įrenginio komplektų, taip pat kombinuotojo šildytuvo, temperatūros reguliatoriaus ir saulės energijos įrenginio komplektų energijos vartojimo efektyvumo ženklinimo</w:t>
                </w:r>
                <w:r>
                  <w:rPr>
                    <w:color w:val="000000"/>
                    <w:szCs w:val="24"/>
                  </w:rPr>
                  <w:t xml:space="preserve"> (OL 2013 L 239,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15.</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color w:val="000000"/>
                    <w:szCs w:val="24"/>
                  </w:rPr>
                  <w:t>Kietojo kuro, skystojo kuro ar dujiniai vietiniai patalpų šildytuvai, kurių vardinė šiluminė galia ≤50 kW</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2015 m. balandžio 24 d. Komisijos deleguotasis reglamentas (ES) Nr. 2015/1186, kuriuo dėl vietinių patalpų šildytuvų energijos vartojimo efektyvumo ženklinimo reikalavimų nustatymo papildoma Europos Parlamento ir Tarybos direktyva 2010/30/ES (OL 2015 L 193, p. 20) </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16.</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Vandens šildytuvai, kurių vardinis šilumos atidavimas ≤ 70 kW, karšto vandens talpyklos (talpa ≤500 litrų) bei vandens šildytuvo (≤ 70 kW) ir saulės energijos kolektoriaus komplektai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2013 m. vasario 18 d. Komisijos deleguotasis reglamentas (ES) Nr. 812/2013, kuriuo papildoma Europos Parlamento ir Tarybos direktyva 2010/30/ES, nustatant vandens šildytuvų, karšto vandens talpyklų, taip pat vandens šildytuvo ir saulės energijos kolektoriaus komplektų energijos vartojimo efektyvumo ženklinimo reikalavimus (OL 2013 L 239, p. 83)</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17.</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Kietojo iškastinio kuro ir medienos biomasės katilai, kurių vardinė šiluminė galia ≤70 kW bei komplektai su šiais katilais, papildomaisiais šildytuvais, temperatūros reguliatoriais ir saulės energijos įrenginiais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2015 m. balandžio 27 d. Komisijos deleguotasis reglamentas (ES) Nr. 2015/1187, kuriuo Europos Parlamento ir Tarybos direktyva 2010/30/ES papildoma nuostatomis dėl kietojo kuro katilų ir komplektų, kuriuos sudaro kietojo kuro katilas, papildomieji šildytuvai, temperatūros reguliatoriai ir saulės energijos įrenginiai, ženklinimo energijos vartojimo efektyvumo etikete reikalavimų (OL 2015 L 193, p. 43)</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18.</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Biuro įranga</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ind w:right="127"/>
                  <w:jc w:val="both"/>
                  <w:textAlignment w:val="center"/>
                  <w:rPr>
                    <w:bCs/>
                    <w:color w:val="000000"/>
                    <w:szCs w:val="24"/>
                  </w:rPr>
                </w:pPr>
                <w:r>
                  <w:rPr>
                    <w:color w:val="000000"/>
                    <w:szCs w:val="24"/>
                  </w:rPr>
                  <w:t>Įranga, paženklinta „Energy Star“ ženklu, kuriai taikomas 2006 m. gruodžio 18 d. Tarybos sprendimas dėl Jungtinių Amerikos Valstijų Vyriausybės ir Europos bendrijos susitarimo dėl raštinės įrangos energijos vartojimo efektyvumo ženklinimo programų suderinimo sudarymo (OL 2006 L 381, p. 24), arba įranga, kuri atitinka ne mažiau griežtus energijos vartojimo efektyvumo reikalavimus nei išvardyti sprendimo C priede</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19.</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Kompiuteriai ir kompiuteriniai serveriai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color w:val="000000"/>
                    <w:szCs w:val="24"/>
                    <w:lang w:eastAsia="lt-LT"/>
                  </w:rPr>
                  <w:t xml:space="preserve">2013 m. birželio 26 d. Komisijos reglamentas (ES) Nr. 617/2013, </w:t>
                </w:r>
                <w:r>
                  <w:rPr>
                    <w:rFonts w:eastAsia="Calibri"/>
                    <w:bCs/>
                    <w:color w:val="000000"/>
                    <w:szCs w:val="24"/>
                    <w:lang w:eastAsia="lt-LT"/>
                  </w:rPr>
                  <w:t>kuriuo įgyvendinant Europos Parlamento ir Tarybos direktyvą 2009/125/EB nustatomi kompiuterių ir serverių ekologinio projektavimo reikalavimai (OL 2013 L 175, p. 13)</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20.</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Mažos, vidutinės ir didelės galios transformatoriai, kurių galia ≥ 1 kVA</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bCs/>
                    <w:color w:val="000000"/>
                    <w:szCs w:val="24"/>
                  </w:rPr>
                  <w:t>2014 m. gegužės 21 d. Komisijos reglamentas (ES) Nr. 548/2014 dėl Europos Parlamento ir Tarybos direktyvos 2009/125/EB nuostatų, susijusių su mažos, vidutinės ir didelės galios transformatoriais, įgyvendinimo (OL 2014 L 152,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21.</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bCs/>
                    <w:color w:val="000000"/>
                    <w:szCs w:val="24"/>
                  </w:rPr>
                  <w:t xml:space="preserve">Autonominiai beriebokšliniai  apytakiniai siurbliai ir į gaminius įmontuojami beriebokšliniai apytakiniai siurbliai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2009 m. liepos 22 d. Komisijos reglamentas (EB) Nr. 641/2009, kuriuo įgyvendinant Europos Parlamento ir Tarybos direktyvą 2005/32/EB nustatomi autonominių beriebokšlių apytakinių siurblių ir į gaminius įmontuojamų beriebokšlių apytakinių siurblių ekologinio projektavimo reikalavimai (OL 2009 L 191, p. 35) ir</w:t>
                </w:r>
              </w:p>
              <w:p>
                <w:pPr>
                  <w:tabs>
                    <w:tab w:val="left" w:pos="321"/>
                  </w:tabs>
                  <w:suppressAutoHyphens/>
                  <w:jc w:val="both"/>
                  <w:textAlignment w:val="center"/>
                  <w:rPr>
                    <w:bCs/>
                    <w:color w:val="000000"/>
                    <w:szCs w:val="24"/>
                  </w:rPr>
                </w:pPr>
                <w:r>
                  <w:rPr>
                    <w:bCs/>
                    <w:color w:val="000000"/>
                    <w:szCs w:val="24"/>
                  </w:rPr>
                  <w:t>2012 m. liepos 11 d. Komisijos reglamentas (ES) Nr. 622/2012, kuriuo iš dalies keičiamos Komisijos reglamento (EB) Nr. 641/2009 nuostatos dėl autonominių beriebokšlių apytakinių siurblių ir į gaminius įmontuojamų beriebokšlių apytakinių siurblių ekologinio projektavimo reikalavimų (OL 2012 L 180, p. 4)</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22.</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Gryno vandens siurbliai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2012 m. birželio 25 d. Komisijos reglamentas (ES) Nr. 547/2012, kuriuo įgyvendinant Europos Parlamento ir Tarybos direktyvą 2009/125/EB nustatomi vandens siurblių ekologinio projektavimo reikalavimai (OL 2012, L 165, p. 28)</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23.</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Buitiniai ventiliatoriai, kurių elektrinė vartojamoji galia ≤125 W</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2012 m. kovo 6 d. Komisijos reglamentas (ES) Nr. 206/2012, kuriuo įgyvendinant Europos Parlamento ir Tarybos direktyvą 2009/125/EB nustatomi oro kondicionierių ir patogumo ventiliatorių ekologinio projektavimo reikalavimai (OL 2012 L 72, p. 7)</w:t>
                </w:r>
              </w:p>
            </w:tc>
          </w:tr>
          <w:tr>
            <w:trPr>
              <w:trHeight w:val="1362"/>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24.</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Pramoniniai ventiliatoriai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2011 m. kovo 30 d. Komisijos reglamentas (ES) Nr. 327/2011, kuriuo įgyvendinant Europos Parlamento ir Tarybos direktyvą 2009/125/EB nustatomi ventiliatorių, varomų 125 W – 500 kW įėjimo galios elektros varikliais, ekologinio projektavimo reikalavimai (OL 2011 L 90, p. 8)</w:t>
                </w:r>
              </w:p>
            </w:tc>
          </w:tr>
          <w:tr>
            <w:trPr>
              <w:trHeight w:val="1362"/>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25.</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Negyvenamųjų patalpų vėdinimo įrenginiai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2014 m. liepos 7 d. Komisijos reglamentas (ES) Nr. 1253/2014, kuriuo įgyvendinant Europos Parlamento ir Tarybos direktyvą 2009/125/EB nustatomi vėdinimo įrenginių ekologinio projektavimo reikalavimai (OL 2014 L 337, p. 8)</w:t>
                </w:r>
              </w:p>
            </w:tc>
          </w:tr>
          <w:tr>
            <w:trPr>
              <w:trHeight w:val="1362"/>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26.</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Šilto oro šildytuvai, šilumos siurbliai, kurių vardinis šildymo pajėgumas ≤1 MW, oro kondicionieriai, komfortiniai vėsintuvai ir aukštatemperatūriniai technologiniai aušintuvai, kurių vardinis vėsinimo pajėgumas ≤2 MW, ir ventiliatoriniai konvektoriai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color w:val="000000"/>
                    <w:szCs w:val="24"/>
                    <w:lang w:eastAsia="lt-LT"/>
                  </w:rPr>
                  <w:t>2016 m. lapkričio 30 d. Komisijos reglamentas (ES) Nr. 2016/2281, kuriuo, įgyvendinant Europos Parlamento ir Tarybos direktyvą 2009/125/EB, nustatančią ekologinio projektavimo reikalavimų su energija susijusiems gaminiams nustatymo sistemą, nustatomi oro šildymo gaminių, vėsinimo gaminių ir aukštatemperatūrių technologinių aušintuvų ir ventiliatorinių konvektorių ekologinio projektavimo reikalavimai (OL 2016 L 346, p. 1)</w:t>
                </w:r>
              </w:p>
            </w:tc>
          </w:tr>
          <w:tr>
            <w:trPr>
              <w:trHeight w:val="1362"/>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27.</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Elektriniai, dujiniai ar skystojo kuro vietiniai patalpų šildytuvai: buitiniai, kurių vardinė šiluminė galia ≤50 kW ir komerciniai, kurių vardinė šiluminė galia ≤120 kW</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2015 m. balandžio 28 d. Komisijos reglamentas (ES) Nr. 2015/1188, kuriuo įgyvendinant Europos Parlamento ir Tarybos direktyvą 2009/125/EB nustatomi vietinių patalpų šildytuvų ekologinio projektavimo reikalavimai (OL 2015 L 193, p. 76)</w:t>
                </w:r>
              </w:p>
            </w:tc>
          </w:tr>
          <w:tr>
            <w:trPr>
              <w:trHeight w:val="1362"/>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28.</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Kietojo iškastinio kuro ir medienos biomasės katilai, kurių vardinė šiluminė galia &gt;70 ir ≤500 kW bei komplektai su šiais katilais, papildomaisiais šildytuvais, temperatūros reguliatoriais ir saulės energijos įrenginiais</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2015 m. balandžio 28 d. Komisijos reglamentas (ES) Nr. 2015/1189, kuriuo įgyvendinant Europos Parlamento ir Tarybos direktyvą 2009/125/EB nustatomi kietojo kuro katilų ekologinio projektavimo reikalavimai (OL 2015 L 193, p. 100)</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29.</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Elektros varikliai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2009 m. liepos 22 d. Komisijos reglamentas (EB) Nr. 640/2009, kuriuo įgyvendinant Europos Parlamento ir Tarybos direktyvą 2005/32/EB nustatomi elektros variklių ekologinio projektavimo reikalavimai (OL 2009, L 191, p. 26) ir</w:t>
                </w:r>
              </w:p>
              <w:p>
                <w:pPr>
                  <w:jc w:val="both"/>
                  <w:rPr>
                    <w:rFonts w:eastAsia="Calibri"/>
                    <w:color w:val="000000"/>
                    <w:szCs w:val="24"/>
                    <w:lang w:eastAsia="lt-LT"/>
                  </w:rPr>
                </w:pPr>
                <w:r>
                  <w:rPr>
                    <w:rFonts w:eastAsia="Calibri"/>
                    <w:bCs/>
                    <w:color w:val="000000"/>
                    <w:szCs w:val="24"/>
                    <w:lang w:eastAsia="lt-LT"/>
                  </w:rPr>
                  <w:t>2014 m. sausio 6 d. Komisijos reglamentas (ES) Nr. 4/2014, kuriuo iš dalies keičiamas Reglamentas (EB) Nr. 640/2009, kuriuo įgyvendinant Europos Parlamento ir Tarybos direktyvą 2005/32/EB nustatomi elektros variklių ekologinio projektavimo reikalavimai (OL 2014 L 2, p. 1)</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30.</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Išoriniai maitinimo šaltiniai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bCs/>
                    <w:color w:val="000000"/>
                    <w:szCs w:val="24"/>
                  </w:rPr>
                  <w:t>2009 m. balandžio 6 d. Komisijos reglamentas (EB)</w:t>
                </w:r>
                <w:r>
                  <w:rPr>
                    <w:bCs/>
                    <w:color w:val="000000"/>
                    <w:szCs w:val="24"/>
                    <w:lang w:eastAsia="lt-LT"/>
                  </w:rPr>
                  <w:t xml:space="preserve"> </w:t>
                </w:r>
                <w:r>
                  <w:rPr>
                    <w:bCs/>
                    <w:color w:val="000000"/>
                    <w:szCs w:val="24"/>
                  </w:rPr>
                  <w:t>Nr. 278/2009, kuriuo įgyvendinant Europos Parlamento ir Tarybos direktyvą 2005/32/EB nustatomi išorinių maitinimo šaltinių elektros energijos suvartojimo be apkrovos ir vidutinio efektyvumo aktyviuoju režimu ekologinio projektavimo reikalavimai (OL 2009 L 93, p. 3)</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31.</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Paprastieji televizorių priedėliai</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szCs w:val="24"/>
                  </w:rPr>
                </w:pPr>
                <w:r>
                  <w:rPr>
                    <w:rFonts w:eastAsia="Calibri"/>
                    <w:bCs/>
                    <w:szCs w:val="24"/>
                    <w:lang w:eastAsia="lt-LT"/>
                  </w:rPr>
                  <w:t>2009 m. vasario 4 d.</w:t>
                </w:r>
                <w:r>
                  <w:rPr>
                    <w:rFonts w:eastAsia="Calibri"/>
                    <w:bCs/>
                    <w:szCs w:val="24"/>
                  </w:rPr>
                  <w:t xml:space="preserve"> Komisijos reglamentas (EB)</w:t>
                </w:r>
                <w:r>
                  <w:rPr>
                    <w:rFonts w:eastAsia="Calibri"/>
                    <w:bCs/>
                    <w:szCs w:val="24"/>
                    <w:lang w:eastAsia="lt-LT"/>
                  </w:rPr>
                  <w:t xml:space="preserve"> Nr. 107/2009, kuriuo įgyvendinama Europos Parlamento ir Tarybos direktyva 2005/32/EB, nustatant paprastųjų televizoriaus priedėlių ekologinio projektavimo reikalavimus (OL 2009 L 36, p. 8)</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32.</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highlight w:val="yellow"/>
                  </w:rPr>
                </w:pPr>
                <w:r>
                  <w:rPr>
                    <w:color w:val="000000"/>
                    <w:szCs w:val="24"/>
                  </w:rPr>
                  <w:t>Buitinė ir biuro elektros ir elektroninė įranga, išjungta ir veikianti budėjimo režimu</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2013 m. rugpjūčio 22 d. Komisijos reglamentas (ES) Nr. 801/2013, kuriuo iš dalies keičiamas Reglamentas (EB) Nr. 1275/2008, kuriuo nustatomi išjungtos ir budėjimo režimu veikiančios elektros ir elektroninės buitinės ir biuro įrangos elektros energijos suvartojimo ekologinio projektavimo reikalavimai, ir iš dalies keičiamas Reglamentas (EB) Nr. 642/2009, kuriuo nustatomi televizijos aparatų ekologinio projektavimo reikalavimai (OL 2013 L 225, p. 1) ir</w:t>
                </w:r>
              </w:p>
              <w:p>
                <w:pPr>
                  <w:jc w:val="both"/>
                  <w:rPr>
                    <w:rFonts w:eastAsia="Calibri"/>
                    <w:szCs w:val="24"/>
                  </w:rPr>
                </w:pPr>
                <w:r>
                  <w:rPr>
                    <w:rFonts w:eastAsia="Calibri"/>
                    <w:bCs/>
                    <w:szCs w:val="24"/>
                    <w:lang w:eastAsia="lt-LT"/>
                  </w:rPr>
                  <w:t xml:space="preserve">2008 m. gruodžio 17 d. </w:t>
                </w:r>
                <w:r>
                  <w:rPr>
                    <w:rFonts w:eastAsia="Calibri"/>
                    <w:bCs/>
                    <w:szCs w:val="24"/>
                  </w:rPr>
                  <w:t xml:space="preserve">Komisijos reglamentas (EB) </w:t>
                </w:r>
                <w:r>
                  <w:rPr>
                    <w:rFonts w:eastAsia="Calibri"/>
                    <w:bCs/>
                    <w:szCs w:val="24"/>
                    <w:lang w:eastAsia="lt-LT"/>
                  </w:rPr>
                  <w:t>Nr. 1275/2008, kuriuo įgyvendinama Europos Parlamento ir Tarybos direktyva 2005/32/EB, nustatant išjungtos ir budėjimo režimu veikiančios elektros ir elektroninės buitinės ir biuro įrangos elektros energijos suvartojimo ekologinio projektavimo reikalavimus</w:t>
                </w:r>
                <w:r>
                  <w:rPr>
                    <w:rFonts w:eastAsia="Calibri"/>
                    <w:szCs w:val="24"/>
                  </w:rPr>
                  <w:t xml:space="preserve"> </w:t>
                </w:r>
                <w:r>
                  <w:rPr>
                    <w:rFonts w:eastAsia="Calibri"/>
                    <w:bCs/>
                    <w:szCs w:val="24"/>
                    <w:lang w:eastAsia="lt-LT"/>
                  </w:rPr>
                  <w:t>(OL 2008 L 339, p. 45)</w:t>
                </w:r>
              </w:p>
            </w:tc>
          </w:tr>
          <w:tr>
            <w:trPr>
              <w:trHeight w:val="60"/>
              <w:jc w:val="center"/>
            </w:trPr>
            <w:tc>
              <w:tcPr>
                <w:tcW w:w="5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33.</w:t>
                </w:r>
              </w:p>
            </w:tc>
            <w:tc>
              <w:tcPr>
                <w:tcW w:w="23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Padangos</w:t>
                </w:r>
                <w:r>
                  <w:rPr>
                    <w:bCs/>
                    <w:color w:val="000000"/>
                    <w:szCs w:val="24"/>
                    <w:lang w:eastAsia="lt-LT"/>
                  </w:rPr>
                  <w:t>**</w:t>
                </w:r>
              </w:p>
            </w:tc>
            <w:tc>
              <w:tcPr>
                <w:tcW w:w="686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lang w:eastAsia="lt-LT"/>
                  </w:rPr>
                  <w:t>2009 m. lapkričio 25 d.</w:t>
                </w:r>
                <w:r>
                  <w:rPr>
                    <w:bCs/>
                    <w:color w:val="000000"/>
                    <w:szCs w:val="24"/>
                  </w:rPr>
                  <w:t xml:space="preserve"> </w:t>
                </w:r>
                <w:r>
                  <w:rPr>
                    <w:bCs/>
                    <w:color w:val="000000"/>
                    <w:szCs w:val="24"/>
                    <w:lang w:eastAsia="lt-LT"/>
                  </w:rPr>
                  <w:t>Europos Parlamento ir Tarybos</w:t>
                </w:r>
                <w:r>
                  <w:rPr>
                    <w:bCs/>
                    <w:color w:val="000000"/>
                    <w:szCs w:val="24"/>
                  </w:rPr>
                  <w:t xml:space="preserve"> reglamentas (EB)</w:t>
                </w:r>
                <w:r>
                  <w:rPr>
                    <w:bCs/>
                    <w:color w:val="000000"/>
                    <w:szCs w:val="24"/>
                    <w:lang w:eastAsia="lt-LT"/>
                  </w:rPr>
                  <w:t xml:space="preserve"> Nr. 1222/2009 dėl padangų ženklinimo atsižvelgiant į degalų naudojimo efektyvumą ir kitus esminius parametrus (OL 2009 L 342, p. 46)</w:t>
                </w:r>
              </w:p>
            </w:tc>
          </w:tr>
        </w:tbl>
        <w:p>
          <w:pPr>
            <w:suppressAutoHyphens/>
            <w:ind w:right="-1" w:firstLine="709"/>
            <w:jc w:val="both"/>
            <w:textAlignment w:val="center"/>
            <w:rPr>
              <w:color w:val="000000"/>
              <w:szCs w:val="24"/>
            </w:rPr>
          </w:pPr>
          <w:r>
            <w:rPr>
              <w:color w:val="000000"/>
              <w:szCs w:val="24"/>
            </w:rPr>
            <w:t>* Detalus prekių aprašymas, kurioms yra taikomi energijos vartojimo efektyvumo reikalavimai, yra nustatytas reglamentų straipsnyje „Dalykas“ arba „Dalykas ir taikymo sritis“, arba „Tikslas ir taikymo sritis“, arba „Taikymo sritis“.</w:t>
          </w:r>
        </w:p>
        <w:p>
          <w:pPr>
            <w:suppressAutoHyphens/>
            <w:ind w:right="-1" w:firstLine="709"/>
            <w:jc w:val="both"/>
            <w:textAlignment w:val="center"/>
            <w:rPr>
              <w:color w:val="000000"/>
              <w:szCs w:val="24"/>
            </w:rPr>
          </w:pPr>
          <w:r>
            <w:rPr>
              <w:color w:val="000000"/>
              <w:szCs w:val="24"/>
            </w:rPr>
            <w:t>** Nėra draudžiama pirkti aukščiausios sukibimo su šlapia danga klasės arba išorinio riedėjimo triukšmo klasės padangų, jei tai pagrįsta dėl saugos ar visuomenės sveikatos priežasčių.</w:t>
          </w:r>
        </w:p>
        <w:p>
          <w:pPr>
            <w:suppressAutoHyphens/>
            <w:jc w:val="center"/>
            <w:textAlignment w:val="center"/>
            <w:rPr>
              <w:color w:val="000000"/>
              <w:szCs w:val="24"/>
            </w:rPr>
          </w:pPr>
        </w:p>
        <w:sdt>
          <w:sdtPr>
            <w:alias w:val="pabaiga"/>
            <w:tag w:val="part_3940ca1188f34e7ea8348de91946b449"/>
            <w:lock w:val="sdtLocked"/>
            <w:richText/>
          </w:sdtPr>
          <w:sdtContent>
            <w:p>
              <w:pPr>
                <w:suppressAutoHyphens/>
                <w:jc w:val="center"/>
                <w:textAlignment w:val="center"/>
                <w:rPr>
                  <w:color w:val="000000"/>
                  <w:szCs w:val="24"/>
                </w:rPr>
              </w:pPr>
              <w:r>
                <w:rPr>
                  <w:color w:val="000000"/>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42aff0686d11e7827cd63159af616c">
            <w:r w:rsidRPr="00532B9F">
              <w:rPr>
                <w:rFonts w:ascii="Times New Roman" w:eastAsia="MS Mincho" w:hAnsi="Times New Roman"/>
                <w:sz w:val="20"/>
                <w:iCs/>
                <w:color w:val="0000FF" w:themeColor="hyperlink"/>
                <w:u w:val="single"/>
              </w:rPr>
              <w:t>1-186</w:t>
            </w:r>
          </w:fldSimple>
          <w:r>
            <w:rPr>
              <w:rFonts w:ascii="Times New Roman" w:eastAsia="MS Mincho" w:hAnsi="Times New Roman"/>
              <w:sz w:val="20"/>
              <w:iCs/>
            </w:rPr>
            <w:t>,
2017-07-14,
paskelbta TAR 2017-07-17, i. k. 2017-12292                </w:t>
          </w:r>
        </w:p>
        <w:p>
          <w:pPr>
            <w:jc w:val="both"/>
            <w:rPr>
              <w:rFonts w:ascii="Times New Roman" w:hAnsi="Times New Roman"/>
            </w:rPr>
          </w:pPr>
          <w:r>
            <w:rPr>
              <w:rFonts w:ascii="Times New Roman" w:hAnsi="Times New Roman"/>
              <w:sz w:val="20"/>
            </w:rPr>
            <w:t>Dėl Lietuvos Respublikos energetikos ministro 2015 m. birželio 18 d. įsakymo Nr. 1-154 „Dėl Prekių, išskyrus kelių transporto priemones, kurioms viešųjų pirkimų metu taikomi energijos vartojimo efektyvumo reikalavimai,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MS Mincho"/>
    <w:panose1 w:val="00000000000000000000"/>
    <w:charset w:val="00"/>
    <w:family w:val="roman"/>
    <w:notTrueType/>
    <w:pitch w:val="default"/>
    <w:sig w:usb0="00000000" w:usb1="08070000" w:usb2="00000010" w:usb3="00000000" w:csb0="0002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B73F66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a1430f4f8c645e6992730936b05bc2c" PartId="22f4ffc2e9c14885abdb0708b464d6f8">
    <Part Type="preambule" DocPartId="68c48d72e5424f08bcdc47f9150fc1f9" PartId="dc29fdca329b43228dbcd3aa6f21cb6a"/>
    <Part Type="punktas" Nr="1" Abbr="1 p." DocPartId="76682f7bc0a8403da153dd8123e2209b" PartId="9e33a144ff22449d83fd388215f84547"/>
    <Part Type="punktas" Nr="2" Abbr="2 p." DocPartId="dca20731d02b432a98ae933a391a7349" PartId="1c729fd869734148a526e1fb86307dc5"/>
    <Part Type="signatura" DocPartId="1daaa882e255496087767102d448685c" PartId="477fba93dc09475399fca301d58ad7a2"/>
  </Part>
  <Part Type="patvirtinta" Title="PREKIŲ, IŠSKYRUS KELIŲ TRANSPORTO PRIEMONES, KURIOMS VIEŠŲJŲ PIRKIMŲ IR PERKANČIŲJŲ SUBJEKTŲ ATLIEKAMŲ PIRKIMŲ METU TAIKOMI ENERGIJOS VARTOJIMO EFEKTYVUMO REIKALAVIMAI, SĄRAŠAS" DocPartId="cee7f11900ac4d1398b8b5c6e7e2167e" PartId="f5fc68efd793478a9246faf456c522f9">
    <Part Type="pabaiga" DocPartId="6c64799e83394d89947aff7bdfda394e" PartId="3940ca1188f34e7ea8348de91946b44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0C94B0-2BFC-4E61-9B4D-640A97A6A1F7}">
  <ds:schemaRefs>
    <ds:schemaRef ds:uri="http://lrs.lt/TAIS/DocParts"/>
  </ds:schemaRefs>
</ds:datastoreItem>
</file>

<file path=customXml/itemProps3.xml><?xml version="1.0" encoding="utf-8"?>
<ds:datastoreItem xmlns:ds="http://schemas.openxmlformats.org/officeDocument/2006/customXml" ds:itemID="{97740C81-E4DB-4DA1-80D3-0111B90F04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12</Pages>
  <Words>17507</Words>
  <Characters>9979</Characters>
  <Application>Microsoft Office Word</Application>
  <DocSecurity>0</DocSecurity>
  <Lines>83</Lines>
  <Paragraphs>54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27432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2015-06-22T08:42:00Z</dcterms:created>
  <dc:creator>ŠAULYTĖ SKAIRIENĖ Dalia</dc:creator>
  <lastModifiedBy>Seimas</lastModifiedBy>
  <lastPrinted>2015-05-21T12:09:00Z</lastPrinted>
  <dcterms:modified xsi:type="dcterms:W3CDTF">2017-07-19T11:12:00Z</dcterms:modified>
  <revision>8</revision>
</coreProperties>
</file>