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79912c6ec144070868e61e4caf1c9b8"/>
        <w:lock w:val="sdtLocked"/>
        <w:richText/>
      </w:sdtPr>
      <w:sdtContent>
        <w:p>
          <w:pPr>
            <w:jc w:val="both"/>
            <w:rPr>
              <w:rFonts w:ascii="Times New Roman" w:hAnsi="Times New Roman"/>
            </w:rPr>
          </w:pPr>
          <w:r>
            <w:rPr>
              <w:rFonts w:ascii="Times New Roman" w:hAnsi="Times New Roman"/>
              <w:b/>
              <w:i/>
            </w:rPr>
            <w:t>Suvestinė redakcija nuo 2024-01-06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2022-03-22, i. k. 2022-05106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2024-01-06:</w:t>
          </w:r>
        </w:p>
        <w:p>
          <w:pPr>
            <w:rPr>
              <w:rFonts w:ascii="Times New Roman" w:hAnsi="Times New Roman"/>
              <w:sz w:val="20"/>
              <w:i/>
            </w:rPr>
          </w:pPr>
          <w:r>
            <w:rPr>
              <w:rFonts w:ascii="Times New Roman" w:hAnsi="Times New Roman"/>
              <w:sz w:val="20"/>
              <w:i/>
            </w:rPr>
            <w:t xml:space="preserve">Nr. </w:t>
          </w:r>
          <w:fldSimple w:instr="HYPERLINK https://www.e-tar.lt/portal/legalAct.html?documentId=0a64be90ab9711eea5a28c81c82193a8">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2024-01-03,
paskelbta TAR 2024-01-05, i. k. 2024-00195                </w:t>
          </w:r>
        </w:p>
        <w:p>
          <w:pPr>
            <w:rPr>
              <w:rFonts w:ascii="Times New Roman" w:hAnsi="Times New Roman"/>
              <w:sz w:val="22"/>
            </w:rPr>
          </w:pPr>
        </w:p>
        <w:p>
          <w:pPr>
            <w:keepNext/>
            <w:spacing w:line="360" w:lineRule="atLeast"/>
            <w:jc w:val="center"/>
          </w:pPr>
        </w:p>
        <w:p>
          <w:pPr>
            <w:keepNext/>
            <w:spacing w:line="360" w:lineRule="atLeast"/>
            <w:jc w:val="center"/>
          </w:pPr>
          <w:r>
            <w:rPr>
              <w:lang w:eastAsia="lt-LT"/>
            </w:rPr>
            <w:drawing>
              <wp:inline distT="0" distB="0" distL="0" distR="0">
                <wp:extent cx="542290" cy="511810"/>
                <wp:effectExtent l="0" t="0" r="0" b="254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pPr>
            <w:keepNext/>
            <w:spacing w:line="360" w:lineRule="atLeast"/>
            <w:jc w:val="center"/>
            <w:rPr>
              <w:b/>
              <w:bCs/>
              <w:caps/>
              <w:szCs w:val="24"/>
              <w:lang w:eastAsia="lt-LT"/>
            </w:rPr>
          </w:pPr>
          <w:r>
            <w:rPr>
              <w:b/>
              <w:bCs/>
              <w:caps/>
              <w:szCs w:val="24"/>
              <w:lang w:eastAsia="lt-LT"/>
            </w:rPr>
            <w:t>Lietuvos Respublikos Vyriausybė</w:t>
          </w:r>
        </w:p>
        <w:p>
          <w:pPr>
            <w:spacing w:line="360" w:lineRule="atLeast"/>
            <w:ind w:left="142" w:firstLine="709"/>
            <w:jc w:val="center"/>
            <w:rPr>
              <w:b/>
              <w:bCs/>
              <w:caps/>
              <w:szCs w:val="24"/>
              <w:lang w:eastAsia="lt-LT"/>
            </w:rPr>
          </w:pPr>
        </w:p>
        <w:p>
          <w:pPr>
            <w:spacing w:line="360" w:lineRule="atLeast"/>
            <w:jc w:val="center"/>
            <w:rPr>
              <w:b/>
              <w:bCs/>
              <w:caps/>
              <w:szCs w:val="24"/>
              <w:lang w:eastAsia="lt-LT"/>
            </w:rPr>
          </w:pPr>
          <w:r>
            <w:rPr>
              <w:b/>
              <w:bCs/>
              <w:caps/>
              <w:szCs w:val="24"/>
              <w:lang w:eastAsia="lt-LT"/>
            </w:rPr>
            <w:t>nutarimas</w:t>
          </w:r>
        </w:p>
        <w:p>
          <w:pPr>
            <w:spacing w:line="360" w:lineRule="atLeast"/>
            <w:jc w:val="center"/>
            <w:rPr>
              <w:b/>
              <w:bCs/>
              <w:caps/>
              <w:szCs w:val="24"/>
              <w:lang w:eastAsia="lt-LT"/>
            </w:rPr>
          </w:pPr>
          <w:r>
            <w:rPr>
              <w:b/>
              <w:bCs/>
              <w:szCs w:val="24"/>
              <w:lang w:eastAsia="lt-LT"/>
            </w:rPr>
            <w:t xml:space="preserve">DĖL </w:t>
          </w:r>
          <w:r>
            <w:rPr>
              <w:b/>
              <w:bCs/>
              <w:caps/>
              <w:szCs w:val="24"/>
              <w:lang w:eastAsia="lt-LT"/>
            </w:rPr>
            <w:t xml:space="preserve">2022–2030 METŲ </w:t>
          </w:r>
          <w:r>
            <w:rPr>
              <w:b/>
              <w:bCs/>
              <w:szCs w:val="24"/>
              <w:lang w:eastAsia="lt-LT"/>
            </w:rPr>
            <w:t xml:space="preserve">EKONOMIKOS TRANSFORMACIJOS IR KONKURENCINGUMO </w:t>
          </w:r>
          <w:r>
            <w:rPr>
              <w:b/>
              <w:bCs/>
              <w:caps/>
              <w:szCs w:val="24"/>
              <w:lang w:eastAsia="lt-LT"/>
            </w:rPr>
            <w:t>PLĖTROS PROGRAMOS PATVIRTINIMO</w:t>
          </w:r>
        </w:p>
        <w:p>
          <w:pPr>
            <w:spacing w:line="360" w:lineRule="atLeast"/>
            <w:rPr>
              <w:caps/>
              <w:szCs w:val="24"/>
              <w:lang w:eastAsia="lt-LT"/>
            </w:rPr>
          </w:pPr>
        </w:p>
        <w:p>
          <w:pPr>
            <w:jc w:val="center"/>
            <w:rPr>
              <w:caps/>
              <w:szCs w:val="24"/>
              <w:lang w:eastAsia="lt-LT"/>
            </w:rPr>
          </w:pPr>
          <w:r>
            <w:rPr>
              <w:szCs w:val="24"/>
              <w:lang w:eastAsia="lt-LT"/>
            </w:rPr>
            <w:t>2022 m. kovo 16 d. Nr. 247</w:t>
          </w:r>
        </w:p>
        <w:p>
          <w:pPr>
            <w:jc w:val="center"/>
            <w:rPr>
              <w:caps/>
              <w:szCs w:val="24"/>
              <w:lang w:eastAsia="lt-LT"/>
            </w:rPr>
          </w:pPr>
          <w:r>
            <w:rPr>
              <w:szCs w:val="24"/>
              <w:lang w:eastAsia="lt-LT"/>
            </w:rPr>
            <w:t>Vilnius</w:t>
          </w:r>
        </w:p>
        <w:p>
          <w:pPr>
            <w:spacing w:line="360" w:lineRule="atLeast"/>
            <w:rPr>
              <w:caps/>
              <w:szCs w:val="24"/>
              <w:lang w:eastAsia="lt-LT"/>
            </w:rPr>
          </w:pPr>
        </w:p>
        <w:sdt>
          <w:sdtPr>
            <w:alias w:val="preambule"/>
            <w:tag w:val="part_c278e4f99b0b40bea8f36a039a07ac63"/>
            <w:lock w:val="sdtLocked"/>
            <w:richText/>
          </w:sdtPr>
          <w:sdtContent>
            <w:p>
              <w:pPr>
                <w:tabs>
                  <w:tab w:val="left" w:pos="567"/>
                </w:tabs>
                <w:spacing w:line="360" w:lineRule="atLeast"/>
                <w:ind w:firstLine="709"/>
                <w:jc w:val="both"/>
                <w:rPr>
                  <w:szCs w:val="24"/>
                </w:rPr>
              </w:pPr>
              <w:r>
                <w:rPr>
                  <w:szCs w:val="24"/>
                </w:rPr>
                <w:t xml:space="preserve">Vadovaudamasi Lietuvos Respublikos strateginio valdymo įstatymo 18 straipsnio 2 dalimi ir įgyvendindama 2021–2030 metų nacionalinio pažangos plano, patvirtinto Lietuvos Respublikos Vyriausybės 2020 m. rugsėjo 9 d. nutarimu Nr. 998 „Dėl 2021–2030 metų nacionalinio pažangos plano patvirtinimo“, 1.4, 1.5, 1.6, 1.8, 1.11, 1.12 ir 1.15 pažangos uždavinius, Lietuvos Respublikos Vyriausybė  </w:t>
              </w:r>
              <w:r>
                <w:rPr>
                  <w:spacing w:val="60"/>
                  <w:szCs w:val="24"/>
                </w:rPr>
                <w:t>nutari</w:t>
              </w:r>
              <w:r>
                <w:rPr>
                  <w:spacing w:val="20"/>
                  <w:szCs w:val="24"/>
                </w:rPr>
                <w:t>a:</w:t>
              </w:r>
            </w:p>
          </w:sdtContent>
        </w:sdt>
        <w:sdt>
          <w:sdtPr>
            <w:alias w:val="pastraipa"/>
            <w:tag w:val="part_4549a06dcf74410587289d88e2381ed1"/>
            <w:lock w:val="sdtLocked"/>
            <w:richText/>
          </w:sdtPr>
          <w:sdtContent>
            <w:p>
              <w:pPr>
                <w:tabs>
                  <w:tab w:val="left" w:pos="1418"/>
                </w:tabs>
                <w:spacing w:line="360" w:lineRule="atLeast"/>
                <w:ind w:firstLine="709"/>
                <w:jc w:val="both"/>
              </w:pPr>
              <w:r>
                <w:rPr>
                  <w:szCs w:val="24"/>
                </w:rPr>
                <w:t>Patvirtinti 2022–2030 metų ekonomikos transformacijos ir konkurencingumo plėtros programą (pridedama).</w:t>
              </w:r>
            </w:p>
          </w:sdtContent>
        </w:sdt>
        <w:sdt>
          <w:sdtPr>
            <w:alias w:val="signatura"/>
            <w:tag w:val="part_dd8c0434ceaf4f41abcc3b57b719fa0c"/>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spacing w:line="360" w:lineRule="atLeast"/>
                <w:jc w:val="both"/>
                <w:rPr>
                  <w:lang w:eastAsia="lt-LT"/>
                </w:rPr>
              </w:pPr>
              <w:r>
                <w:rPr>
                  <w:szCs w:val="24"/>
                  <w:lang w:eastAsia="lt-LT"/>
                </w:rPr>
                <w:t>Ekonomikos ir inovacijų ministrė</w:t>
                <w:tab/>
                <w:tab/>
                <w:tab/>
                <w:tab/>
                <w:tab/>
                <w:tab/>
                <w:t>Aušrinė Armonaitė</w:t>
              </w:r>
            </w:p>
          </w:sdtContent>
        </w:sdt>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20_priedas pagal nutarimą Nr. 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4be90ab9711eea5a28c81c82193a8">
            <w:r w:rsidRPr="00532B9F">
              <w:rPr>
                <w:rFonts w:ascii="Times New Roman" w:eastAsia="MS Mincho" w:hAnsi="Times New Roman"/>
                <w:sz w:val="20"/>
                <w:i/>
                <w:iCs/>
                <w:color w:val="0000FF" w:themeColor="hyperlink"/>
                <w:u w:val="single"/>
              </w:rPr>
              <w:t>23</w:t>
            </w:r>
          </w:fldSimple>
          <w:r>
            <w:rPr>
              <w:rFonts w:ascii="Times New Roman" w:eastAsia="MS Mincho" w:hAnsi="Times New Roman"/>
              <w:sz w:val="20"/>
              <w:i/>
              <w:iCs/>
            </w:rPr>
            <w:t>,
2024-01-03,
paskelbta TAR 2024-01-05, i. k. 2024-00195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a64be90ab9711eea5a28c81c82193a8">
            <w:r w:rsidRPr="00532B9F">
              <w:rPr>
                <w:rFonts w:ascii="Times New Roman" w:eastAsia="MS Mincho" w:hAnsi="Times New Roman"/>
                <w:sz w:val="20"/>
                <w:iCs/>
                <w:color w:val="0000FF" w:themeColor="hyperlink"/>
                <w:u w:val="single"/>
              </w:rPr>
              <w:t>23</w:t>
            </w:r>
          </w:fldSimple>
          <w:r>
            <w:rPr>
              <w:rFonts w:ascii="Times New Roman" w:eastAsia="MS Mincho" w:hAnsi="Times New Roman"/>
              <w:sz w:val="20"/>
              <w:iCs/>
            </w:rPr>
            <w:t>,
2024-01-03,
paskelbta TAR 2024-01-05, i. k. 2024-00195                </w:t>
          </w:r>
        </w:p>
        <w:p>
          <w:pPr>
            <w:jc w:val="both"/>
            <w:rPr>
              <w:rFonts w:ascii="Times New Roman" w:hAnsi="Times New Roman"/>
            </w:rPr>
          </w:pPr>
          <w:r>
            <w:rPr>
              <w:rFonts w:ascii="Times New Roman" w:hAnsi="Times New Roman"/>
              <w:sz w:val="20"/>
            </w:rPr>
            <w:t>Dėl Lietuvos Respublikos Vyriausybės 2022 m. kovo 16 d. nutarimo Nr. 247 „Dėl 2022–2030 metų plėtros programos valdytojos Lietuvos Respublikos ekonomikos ir inovacijų ministerijos ekonomikos transformacijos ir konkurencingumo plėtros programos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55A696E4"/>
  <w15:docId w15:val="{26D4AECC-63C3-49E1-B1E4-6350A739F4C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388743f8dfb465295163e5b16f6d0d9" PartId="179912c6ec144070868e61e4caf1c9b8">
    <Part Type="preambule" DocPartId="673888fd0e6b4318a5bfead5adb2e038" PartId="c278e4f99b0b40bea8f36a039a07ac63"/>
    <Part Type="pastraipa" DocPartId="f31ef02c19ad483eaa2946f122ba430e" PartId="4549a06dcf74410587289d88e2381ed1"/>
    <Part Type="signatura" DocPartId="f02532c4844646e8bb8d645c28c9e832" PartId="dd8c0434ceaf4f41abcc3b57b719fa0c"/>
  </Part>
</Parts>
</file>

<file path=customXml/itemProps1.xml><?xml version="1.0" encoding="utf-8"?>
<ds:datastoreItem xmlns:ds="http://schemas.openxmlformats.org/officeDocument/2006/customXml" ds:itemID="{684A1F98-86E6-4760-8BBD-2FF3F3AA321A}">
  <ds:schemaRefs>
    <ds:schemaRef ds:uri="http://lrs.lt/TAIS/DocParts"/>
  </ds:schemaRefs>
</ds:datastoreItem>
</file>

<file path=docProps/app.xml><?xml version="1.0" encoding="utf-8"?>
<Properties xmlns="http://schemas.openxmlformats.org/officeDocument/2006/extended-properties">
  <Template>Normal.dotm</Template>
  <TotalTime>1</TotalTime>
  <Pages>2</Pages>
  <Words>216</Words>
  <Characters>1570</Characters>
  <Application>Microsoft Office Word</Application>
  <DocSecurity>0</DocSecurity>
  <Lines>13</Lines>
  <Paragraphs>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1783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2022-03-22T13:19:00Z</dcterms:created>
  <dc:creator>lrvk</dc:creator>
  <lastModifiedBy>GUMBYTĖ Danguolė</lastModifiedBy>
  <lastPrinted>2017-06-01T05:28:00Z</lastPrinted>
  <dcterms:modified xsi:type="dcterms:W3CDTF">2024-01-09T11:45:00Z</dcterms:modified>
  <revision>5</revision>
</coreProperties>
</file>