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b82b7ab5f57a4c6db23bc666b95a359e"/>
        <w:lock w:val="sdtLocked"/>
        <w:richText/>
      </w:sdtPr>
      <w:sdtContent>
        <w:p>
          <w:pPr>
            <w:jc w:val="both"/>
            <w:rPr>
              <w:rFonts w:ascii="Times New Roman" w:hAnsi="Times New Roman"/>
            </w:rPr>
          </w:pPr>
          <w:r>
            <w:rPr>
              <w:rFonts w:ascii="Times New Roman" w:hAnsi="Times New Roman"/>
              <w:b/>
              <w:i/>
            </w:rPr>
            <w:t>Suvestinė redakcija nuo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2016-12-08, i. k. 2016-28469</w:t>
          </w:r>
        </w:p>
        <w:p>
          <w:pPr>
            <w:jc w:val="both"/>
            <w:rPr>
              <w:rFonts w:ascii="Times New Roman" w:hAnsi="Times New Roman"/>
              <w:sz w:val="20"/>
            </w:rPr>
          </w:pPr>
        </w:p>
        <w:p>
          <w:pPr>
            <w:tabs>
              <w:tab w:val="center" w:pos="4153"/>
              <w:tab w:val="right" w:pos="8306"/>
            </w:tabs>
            <w:suppressAutoHyphens/>
            <w:jc w:val="center"/>
            <w:textAlignment w:val="baseline"/>
            <w:rPr>
              <w:rFonts w:ascii="Calibri" w:eastAsia="Calibri" w:hAnsi="Calibri"/>
              <w:kern w:val="3"/>
            </w:rPr>
          </w:pPr>
          <w:r>
            <w:rPr>
              <w:rFonts w:ascii="Calibri" w:eastAsia="Calibri" w:hAnsi="Calibri"/>
              <w:color w:val="0000FF"/>
              <w:kern w:val="3"/>
            </w:rPr>
            <w:object w:dxaOrig="765" w:dyaOrig="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5pt;height:41.5pt" o:ole="" fillcolor="window">
                <v:imagedata r:id="rId11" o:title=""/>
              </v:shape>
              <o:OLEObject Type="Embed" ProgID="PBrush" ShapeID="_x0000_i1025" DrawAspect="Content" ObjectID="_0000000001" r:id="rId12"/>
            </w:object>
          </w:r>
        </w:p>
        <w:p>
          <w:pPr>
            <w:suppressAutoHyphens/>
            <w:jc w:val="center"/>
            <w:textAlignment w:val="baseline"/>
            <w:rPr>
              <w:b/>
              <w:kern w:val="3"/>
              <w:szCs w:val="24"/>
            </w:rPr>
          </w:pPr>
          <w:r>
            <w:rPr>
              <w:b/>
              <w:kern w:val="3"/>
              <w:szCs w:val="24"/>
            </w:rPr>
            <w:t>LIETUVOS RESPUBLIKOS VIDAUS REIKALŲ MINISTRAS</w:t>
          </w:r>
        </w:p>
        <w:p>
          <w:pPr>
            <w:suppressAutoHyphens/>
            <w:jc w:val="center"/>
            <w:textAlignment w:val="baseline"/>
            <w:rPr>
              <w:b/>
              <w:kern w:val="3"/>
              <w:szCs w:val="24"/>
            </w:rPr>
          </w:pPr>
        </w:p>
        <w:p>
          <w:pPr>
            <w:suppressAutoHyphens/>
            <w:jc w:val="center"/>
            <w:textAlignment w:val="baseline"/>
            <w:rPr>
              <w:b/>
              <w:kern w:val="3"/>
              <w:szCs w:val="24"/>
            </w:rPr>
          </w:pPr>
          <w:r>
            <w:rPr>
              <w:b/>
              <w:kern w:val="3"/>
              <w:szCs w:val="24"/>
            </w:rPr>
            <w:t>ĮSAKYMAS</w:t>
          </w:r>
        </w:p>
        <w:p>
          <w:pPr>
            <w:suppressAutoHyphens/>
            <w:jc w:val="center"/>
            <w:textAlignment w:val="baseline"/>
            <w:rPr>
              <w:kern w:val="3"/>
            </w:rPr>
          </w:pPr>
          <w:r>
            <w:rPr>
              <w:b/>
              <w:kern w:val="3"/>
              <w:szCs w:val="24"/>
            </w:rPr>
            <w:t xml:space="preserve">DĖL </w:t>
          </w:r>
          <w:r>
            <w:rPr>
              <w:b/>
              <w:bCs/>
              <w:color w:val="000000"/>
              <w:kern w:val="3"/>
            </w:rPr>
            <w:t xml:space="preserve">ADMINISTRACINIO NUSIŽENGIMO PROTOKOLO, NUTARIMO ADMINISTRACINIO NUSIŽENGIMO BYLOJE, NUTARIMO DĖL ADMINISTRACINIO NUSIŽENGIMO, KAI PROTOKOLAS NESURAŠOMAS, POPIERINIŲ FORMŲ BLANKUOSE NURODOMŲ EILĖS NUMERIŲ, PRISKIRTŲ INSTITUCIJOMS, SĄRAŠO </w:t>
          </w:r>
          <w:r>
            <w:rPr>
              <w:b/>
              <w:kern w:val="3"/>
              <w:szCs w:val="24"/>
            </w:rPr>
            <w:t>PATVIRTINIMO</w:t>
          </w:r>
        </w:p>
        <w:p>
          <w:pPr>
            <w:tabs>
              <w:tab w:val="left" w:pos="8678"/>
            </w:tabs>
            <w:suppressAutoHyphens/>
            <w:ind w:firstLine="8678"/>
            <w:textAlignment w:val="baseline"/>
            <w:rPr>
              <w:b/>
              <w:kern w:val="3"/>
              <w:szCs w:val="24"/>
            </w:rPr>
          </w:pPr>
        </w:p>
        <w:p>
          <w:pPr>
            <w:suppressAutoHyphens/>
            <w:jc w:val="center"/>
            <w:textAlignment w:val="baseline"/>
            <w:rPr>
              <w:kern w:val="3"/>
              <w:szCs w:val="24"/>
            </w:rPr>
          </w:pPr>
          <w:r>
            <w:rPr>
              <w:kern w:val="3"/>
              <w:szCs w:val="24"/>
            </w:rPr>
            <w:t>2016 m. gruodžio 8 d. Nr. 1V-903</w:t>
          </w:r>
        </w:p>
        <w:p>
          <w:pPr>
            <w:suppressAutoHyphens/>
            <w:jc w:val="center"/>
            <w:textAlignment w:val="baseline"/>
            <w:rPr>
              <w:kern w:val="3"/>
              <w:szCs w:val="24"/>
            </w:rPr>
          </w:pPr>
          <w:r>
            <w:rPr>
              <w:kern w:val="3"/>
              <w:szCs w:val="24"/>
            </w:rPr>
            <w:t>Vilnius</w:t>
          </w:r>
        </w:p>
        <w:p>
          <w:pPr>
            <w:suppressAutoHyphens/>
            <w:textAlignment w:val="baseline"/>
            <w:rPr>
              <w:kern w:val="3"/>
              <w:szCs w:val="24"/>
            </w:rPr>
          </w:pPr>
        </w:p>
        <w:p>
          <w:pPr>
            <w:suppressAutoHyphens/>
            <w:textAlignment w:val="baseline"/>
            <w:rPr>
              <w:kern w:val="3"/>
              <w:szCs w:val="24"/>
            </w:rPr>
          </w:pPr>
        </w:p>
        <w:sdt>
          <w:sdtPr>
            <w:alias w:val="preambule"/>
            <w:tag w:val="part_95189a6c307c44588ba080ff84d3ae24"/>
            <w:lock w:val="sdtLocked"/>
            <w:richText/>
          </w:sdtPr>
          <w:sdtContent>
            <w:p>
              <w:pPr>
                <w:tabs>
                  <w:tab w:val="left" w:pos="567"/>
                </w:tabs>
                <w:suppressAutoHyphens/>
                <w:spacing w:line="360" w:lineRule="auto"/>
                <w:ind w:firstLine="567"/>
                <w:jc w:val="both"/>
                <w:textAlignment w:val="baseline"/>
                <w:rPr>
                  <w:kern w:val="3"/>
                </w:rPr>
              </w:pPr>
              <w:r>
                <w:rPr>
                  <w:kern w:val="3"/>
                  <w:szCs w:val="24"/>
                </w:rPr>
                <w:t xml:space="preserve">Vadovaudamasis Lietuvos Respublikos Vyriausybės 2016 m. birželio 8 d. nutarimo Nr. 596  „Dėl 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 </w:t>
              </w:r>
              <w:r>
                <w:rPr>
                  <w:kern w:val="3"/>
                </w:rPr>
                <w:t>3.1.2</w:t>
              </w:r>
              <w:r>
                <w:rPr>
                  <w:kern w:val="3"/>
                  <w:szCs w:val="24"/>
                </w:rPr>
                <w:t xml:space="preserve"> papunkčiu,</w:t>
              </w:r>
            </w:p>
          </w:sdtContent>
        </w:sdt>
        <w:sdt>
          <w:sdtPr>
            <w:alias w:val="pastraipa"/>
            <w:tag w:val="part_8594eceb49c141baa054c3ee144b85a4"/>
            <w:lock w:val="sdtLocked"/>
            <w:richText/>
          </w:sdtPr>
          <w:sdtContent>
            <w:p>
              <w:pPr>
                <w:tabs>
                  <w:tab w:val="left" w:pos="567"/>
                  <w:tab w:val="left" w:pos="851"/>
                </w:tabs>
                <w:suppressAutoHyphens/>
                <w:spacing w:line="360" w:lineRule="auto"/>
                <w:ind w:firstLine="567"/>
                <w:jc w:val="both"/>
                <w:textAlignment w:val="baseline"/>
                <w:rPr>
                  <w:kern w:val="3"/>
                  <w:szCs w:val="24"/>
                </w:rPr>
              </w:pPr>
              <w:r>
                <w:rPr>
                  <w:kern w:val="3"/>
                  <w:szCs w:val="24"/>
                </w:rPr>
                <w:t xml:space="preserve">t v i r t i n u  Administracinio nusižengimo protokolo, Nutarimo administracinio nusižengimo byloje, Nutarimo dėl administracinio nusižengimo, kai protokolas nesurašomas</w:t>
              </w:r>
              <w:r>
                <w:rPr>
                  <w:kern w:val="3"/>
                </w:rPr>
                <w:t>, popierinių formų blankuose nurodomų eilės numerių, priskirtų institucijoms, sąrašą</w:t>
              </w:r>
              <w:r>
                <w:rPr>
                  <w:kern w:val="3"/>
                  <w:szCs w:val="24"/>
                </w:rPr>
                <w:t xml:space="preserve"> (pridedama). </w:t>
              </w:r>
            </w:p>
          </w:sdtContent>
        </w:sdt>
        <w:sdt>
          <w:sdtPr>
            <w:alias w:val="signatura"/>
            <w:tag w:val="part_a798721a9dca430eaf4895bb2ff5c69c"/>
            <w:lock w:val="sdtLocked"/>
            <w:richText/>
          </w:sdtPr>
          <w:sdtContent>
            <w:p>
              <w:pPr>
                <w:tabs>
                  <w:tab w:val="left" w:pos="1260"/>
                </w:tabs>
                <w:suppressAutoHyphens/>
                <w:jc w:val="both"/>
                <w:textAlignment w:val="baseline"/>
              </w:pPr>
            </w:p>
            <w:p>
              <w:pPr>
                <w:tabs>
                  <w:tab w:val="left" w:pos="1260"/>
                </w:tabs>
                <w:suppressAutoHyphens/>
                <w:jc w:val="both"/>
                <w:textAlignment w:val="baseline"/>
              </w:pPr>
            </w:p>
            <w:p>
              <w:pPr>
                <w:tabs>
                  <w:tab w:val="left" w:pos="1260"/>
                </w:tabs>
                <w:suppressAutoHyphens/>
                <w:jc w:val="both"/>
                <w:textAlignment w:val="baseline"/>
              </w:pPr>
            </w:p>
            <w:p>
              <w:pPr>
                <w:tabs>
                  <w:tab w:val="left" w:pos="1260"/>
                </w:tabs>
                <w:suppressAutoHyphens/>
                <w:jc w:val="both"/>
                <w:textAlignment w:val="baseline"/>
                <w:rPr>
                  <w:kern w:val="3"/>
                  <w:szCs w:val="24"/>
                </w:rPr>
              </w:pPr>
              <w:r>
                <w:rPr>
                  <w:kern w:val="3"/>
                  <w:szCs w:val="24"/>
                </w:rPr>
                <w:t>L. e. vidaus reikalų ministro pareigas</w:t>
                <w:tab/>
                <w:tab/>
                <w:tab/>
                <w:tab/>
                <w:t xml:space="preserve">    Tomas Žilinskas </w:t>
              </w:r>
            </w:p>
          </w:sdtContent>
        </w:sdt>
      </w:sdtContent>
    </w:sdt>
    <w:sdt>
      <w:sdtPr>
        <w:alias w:val="patvirtinta"/>
        <w:tag w:val="part_d35a426c9c554d8bae05410320042944"/>
        <w:lock w:val="sdtLocked"/>
        <w:richText/>
      </w:sdtPr>
      <w:sdtContent>
        <w:p>
          <w:pPr>
            <w:ind w:left="5184"/>
            <w:sectPr>
              <w:headerReference w:type="default" r:id="rId13"/>
              <w:pgSz w:w="11906" w:h="16838"/>
              <w:pgMar w:top="1134" w:right="567" w:bottom="1134" w:left="1701" w:header="567" w:footer="567" w:gutter="0"/>
              <w:pgNumType w:start="1"/>
              <w:cols w:space="1296"/>
              <w:titlePg/>
              <w:docGrid w:linePitch="326"/>
            </w:sectPr>
          </w:pPr>
        </w:p>
        <w:p>
          <w:pPr>
            <w:ind w:left="5184"/>
            <w:rPr>
              <w:color w:val="00000A"/>
            </w:rPr>
          </w:pPr>
          <w:r>
            <w:rPr>
              <w:color w:val="00000A"/>
            </w:rPr>
            <w:t>PATVIRTINTA</w:t>
          </w:r>
        </w:p>
        <w:p>
          <w:pPr>
            <w:ind w:left="3969" w:firstLine="1215"/>
            <w:jc w:val="both"/>
            <w:rPr>
              <w:color w:val="00000A"/>
            </w:rPr>
          </w:pPr>
          <w:r>
            <w:rPr>
              <w:color w:val="00000A"/>
            </w:rPr>
            <w:t>Lietuvos Respublikos vidaus reikalų ministro</w:t>
          </w:r>
        </w:p>
        <w:p>
          <w:pPr>
            <w:ind w:left="3969" w:firstLine="1215"/>
            <w:jc w:val="both"/>
            <w:rPr>
              <w:color w:val="00000A"/>
            </w:rPr>
          </w:pPr>
          <w:r>
            <w:rPr>
              <w:color w:val="00000A"/>
            </w:rPr>
            <w:t xml:space="preserve">2016 m. gruodžio 8 d. įsakymu Nr.1V-903 </w:t>
          </w:r>
        </w:p>
        <w:p>
          <w:pPr>
            <w:rPr>
              <w:b/>
              <w:color w:val="00000A"/>
              <w:szCs w:val="24"/>
            </w:rPr>
          </w:pPr>
        </w:p>
        <w:p>
          <w:pPr>
            <w:tabs>
              <w:tab w:val="left" w:pos="6237"/>
            </w:tabs>
            <w:ind w:right="-285"/>
            <w:rPr>
              <w:color w:val="00000A"/>
            </w:rPr>
          </w:pPr>
        </w:p>
        <w:p>
          <w:pPr>
            <w:jc w:val="center"/>
            <w:rPr>
              <w:b/>
              <w:bCs/>
              <w:color w:val="00000A"/>
            </w:rPr>
          </w:pPr>
          <w:sdt>
            <w:sdtPr>
              <w:alias w:val="Pavadinimas"/>
              <w:tag w:val="title_d35a426c9c554d8bae05410320042944"/>
              <w:lock w:val="sdtLocked"/>
              <w:richText/>
            </w:sdtPr>
            <w:sdtContent>
              <w:r>
                <w:rPr>
                  <w:b/>
                  <w:bCs/>
                  <w:color w:val="00000A"/>
                </w:rPr>
                <w:t>ADMINISTRACINIO NUSIŽENGIMO PROTOKOLO, NUTARIMO ADMINISTRACINIO NUSIŽENGIMO BYLOJE, NUTARIMO DĖL ADMINISTRACINIO NUSIŽENGIMO, KAI PROTOKOLAS NESURAŠOMAS, POPIERINIŲ FORMŲ BLANKUOSE NURODOMŲ EILĖS NUMERIŲ, PRISKIRTŲ INSTITUCIJOMS, SĄRAŠAS</w:t>
              </w:r>
            </w:sdtContent>
          </w:sdt>
        </w:p>
        <w:p>
          <w:pPr>
            <w:rPr>
              <w:color w:val="00000A"/>
            </w:rPr>
          </w:pPr>
        </w:p>
        <w:p>
          <w:pPr>
            <w:tabs>
              <w:tab w:val="left" w:pos="720"/>
              <w:tab w:val="left" w:pos="1080"/>
              <w:tab w:val="left" w:pos="2160"/>
              <w:tab w:val="left" w:pos="2340"/>
            </w:tabs>
            <w:jc w:val="both"/>
            <w:rPr>
              <w:color w:val="00000A"/>
              <w:sz w:val="18"/>
              <w:szCs w:val="18"/>
            </w:rPr>
          </w:pPr>
        </w:p>
        <w:tbl>
          <w:tblPr>
            <w:tblW w:w="9786"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1134"/>
            <w:gridCol w:w="3119"/>
            <w:gridCol w:w="1883"/>
            <w:gridCol w:w="1830"/>
            <w:gridCol w:w="1820"/>
          </w:tblGrid>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b/>
                    <w:szCs w:val="24"/>
                  </w:rPr>
                </w:pPr>
                <w:r>
                  <w:rPr>
                    <w:rFonts w:eastAsia="Calibri"/>
                    <w:b/>
                    <w:szCs w:val="24"/>
                  </w:rPr>
                  <w:t>Eil. Nr.</w:t>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b/>
                    <w:szCs w:val="24"/>
                  </w:rPr>
                </w:pPr>
                <w:r>
                  <w:rPr>
                    <w:rFonts w:eastAsia="Calibri"/>
                    <w:b/>
                    <w:szCs w:val="24"/>
                  </w:rPr>
                  <w:t>Institucija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b/>
                    <w:bCs/>
                    <w:szCs w:val="24"/>
                  </w:rPr>
                </w:pPr>
                <w:r>
                  <w:rPr>
                    <w:rFonts w:eastAsia="Calibri"/>
                    <w:b/>
                    <w:bCs/>
                    <w:szCs w:val="24"/>
                  </w:rPr>
                  <w:t>Administracinio nusižengimo protokolo blanko serija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b/>
                    <w:szCs w:val="24"/>
                  </w:rPr>
                </w:pPr>
                <w:r>
                  <w:rPr>
                    <w:rFonts w:eastAsia="Calibri"/>
                    <w:b/>
                    <w:szCs w:val="24"/>
                  </w:rPr>
                  <w:t xml:space="preserve">Nutarimo administracinio nusižengimo byloje </w:t>
                </w:r>
                <w:r>
                  <w:rPr>
                    <w:rFonts w:eastAsia="Calibri"/>
                    <w:b/>
                    <w:bCs/>
                    <w:szCs w:val="24"/>
                  </w:rPr>
                  <w:t>blanko serija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b/>
                    <w:szCs w:val="24"/>
                  </w:rPr>
                </w:pPr>
                <w:r>
                  <w:rPr>
                    <w:rFonts w:eastAsia="Calibri"/>
                    <w:b/>
                    <w:szCs w:val="24"/>
                  </w:rPr>
                  <w:t xml:space="preserve">Nutarimo dėl administracinio nusižengimo, kai protokolas nesurašomas, </w:t>
                </w:r>
                <w:r>
                  <w:rPr>
                    <w:rFonts w:eastAsia="Calibri"/>
                    <w:b/>
                    <w:bCs/>
                    <w:szCs w:val="24"/>
                  </w:rPr>
                  <w:t>blanko serija</w:t>
                </w:r>
              </w:p>
            </w:tc>
          </w:tr>
          <w:tr>
            <w:trPr>
              <w:trHeight w:val="908"/>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Policijos departamentas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szCs w:val="24"/>
                  </w:rPr>
                </w:pPr>
                <w:r>
                  <w:rPr>
                    <w:rFonts w:eastAsia="Calibri"/>
                    <w:szCs w:val="24"/>
                  </w:rPr>
                  <w:t>PAA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vyriausioji rinkimų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kariuomenė</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Seimo kontrolierių įstaiga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valstybės kontrolė</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švietimo ir mokslo ministerija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Studijų kokybės vertinimo centras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Vyriausioji tarnybinės etikos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Žurnalistų etikos inspektoriaus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vaiko teisių apsaugos kontrolieriaus įstaiga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valstybinė kultūros paveldo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valstybės saugumo departamentas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generalinė prokuratūra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aplinkos apsaugos tarnyba (visos Lietuvos Respublikos aplinkos apsaugos ministerijos reguliavimo srities įstaigos)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radijo ir televizijos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garantuojamos teisinės pagalbos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Muitinės departamentas prie Lietuvos Respublikos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PAP</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ryšių reguliavimo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PAR</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statistikos departamentas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PAS</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vyriausiojo archyvaro tarnyba (valstybės ir apskričių archyvai)</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PAT</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duomenų apsaugos inspekcija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PAU</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maisto ir veterinarijos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PAV</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bankas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PAZ</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Civilinės aviacijos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Finansinių nusikaltimų tyrimo tarnyba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Informacinės visuomenės plėtros komitetas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kariuomenės karo policija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akademinės etikos ir procedūrų kontrolieriaus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dokumentų technologinės apsaugos tarnyba prie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automobilių kelių direkcija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ginklų fondas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saugios laivybos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highlight w:val="yellow"/>
                  </w:rPr>
                </w:pPr>
                <w:r>
                  <w:rPr>
                    <w:rFonts w:eastAsia="Calibri"/>
                    <w:szCs w:val="24"/>
                  </w:rPr>
                  <w:t>Savivaldybės įmonė „Susisiekimo paslaugos“</w:t>
                </w:r>
                <w:r>
                  <w:rPr>
                    <w:rFonts w:eastAsia="Calibri"/>
                    <w:szCs w:val="24"/>
                    <w:highlight w:val="yellow"/>
                  </w:rPr>
                  <w:t xml:space="preserve">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Mobilizacijos ir pilietinio pasipriešinimo departamentas prie Krašto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kern w:val="3"/>
                    <w:szCs w:val="24"/>
                    <w:lang w:eastAsia="lt-LT"/>
                  </w:rPr>
                  <w:t>Kibernetinio saugumo ir telekomunikacijų tarnyba prie Krašto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Nacionalinis transplantacijos biuras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Priešgaisrinės apsaugos ir gelbėjimo departamentas prie Lietuvos Respublikos vidaus reikalų ministerijos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Vadovybės apsaugos departamentas prie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sienos apsaugos tarnyba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akreditavimo sveikatos priežiūros veiklai tarnyba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PBP</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augalininkystės tarnyba prie Žemės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PBR</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Socialinių paslaugų priežiūros departamentas prie Socialinės apsaugos ir darbo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PBS</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energetikos inspekcija prie Energetikos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PBT</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kelių transporto inspekcija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PBU</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kalbos inspekcija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PBV</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Valstybinė ligonių kasa prie Sveikatos apsaugos ministerijos  (teritorinės ligonių kasos)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PBZ</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HBZ</w:t>
                </w:r>
              </w:p>
            </w:tc>
          </w:tr>
          <w:tr>
            <w:trPr>
              <w:trHeight w:val="1793"/>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mokesčių inspekcija prie Lietuvos Respublikos finansų ministerijos (</w:t>
                </w:r>
                <w:r>
                  <w:rPr>
                    <w:kern w:val="3"/>
                    <w:szCs w:val="24"/>
                    <w:lang w:eastAsia="lt-LT"/>
                  </w:rPr>
                  <w:t>teritorinės valstybinės mokesčių inspekcijos)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vaistų kontrolės tarnyba prie Lietuvos Respublikos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vartotojų teisių apsaugos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Valstybinio socialinio draudimo fondo valdyba prie Socialinės apsaugos ir darbo ministerijos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Valstybinis turizmo departamentas prie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Viešųjų pirkimų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Žuvininkystės tarnyba prie Lietuvos Respublikos žemės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„Lietuvos prabavimo rūmai“</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Registrų centras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Turto bankas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Klaipėdos valstybinio jūrų uosto direkcija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Audito, apskaitos, turto vertinimo ir nemokumo valdymo tarnyba prie Lietuvos Respublikos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Viešojo saugumo tarnyba prie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Nacionalinis visuomenės sveikatos centras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Viešoji įstaiga Audito ir apskaitos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Vilniaus r. savivaldybės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Alytaus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Alytaus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Druskininkų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Lazdijų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Varėnos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Kauno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Birštono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Jonavos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Kaišiadorių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Kauno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Kėdainių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Prienų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Raseinių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Klaipėdos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Neringos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Palangos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HDI</w:t>
                </w:r>
              </w:p>
            </w:tc>
          </w:tr>
          <w:tr>
            <w:trPr>
              <w:trHeight w:val="805"/>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Klaipėdos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Kretingos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PDJ</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Skuodo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PDK</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Šilutės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PDL</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Marijampolės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PDM</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Kalvarijos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PDN</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Kazlų Rūdos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PDO</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Šakių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Vilkaviškio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Panevėžio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Biržų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Kupiškio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Panevėžio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Pasvalio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Rokiškio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Šiaulių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Akmenės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Joniškio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Kelmės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Pakruojo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Radviliškio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Šiaulių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Jurbarko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Pagėgių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Šilalės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PEJ</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Tauragės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PEK</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Mažeikių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PEL</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Plungės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PEM</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Rietavo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PEN</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Telšių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PEO</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Visagino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Anykščių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Ignalinos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Molėtų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Utenos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Zarasų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Vilniaus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Elektrėnų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Šalčininkų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Širvintų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Švenčionių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Trakų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Ukmergės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„Kauno autobusai“</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„Busturas“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„Panevėžio autobusų parkas“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VšĮ „Klaipėdos keleivinis transportas“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126.</w:t>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bCs/>
                  </w:rPr>
                </w:pPr>
                <w:r>
                  <w:rPr>
                    <w:bCs/>
                  </w:rPr>
                  <w:t>VšĮ „Panevėžio keleivinis transportas“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bCs/>
                    <w:szCs w:val="24"/>
                  </w:rPr>
                </w:pPr>
                <w:r>
                  <w:rPr>
                    <w:rFonts w:eastAsia="Calibri"/>
                    <w:bCs/>
                    <w:szCs w:val="24"/>
                  </w:rPr>
                  <w:t>PFJ</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bCs/>
                    <w:szCs w:val="24"/>
                  </w:rPr>
                </w:pPr>
                <w:r>
                  <w:rPr>
                    <w:rFonts w:eastAsia="Calibri"/>
                    <w:bCs/>
                    <w:szCs w:val="24"/>
                  </w:rPr>
                  <w:t>NFJ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bCs/>
                    <w:szCs w:val="24"/>
                  </w:rPr>
                </w:pPr>
                <w:r>
                  <w:rPr>
                    <w:rFonts w:eastAsia="Calibri"/>
                    <w:bCs/>
                    <w:szCs w:val="24"/>
                  </w:rPr>
                  <w:t>HFJ</w:t>
                </w:r>
              </w:p>
            </w:tc>
          </w:tr>
        </w:tbl>
        <w:p>
          <w:pPr>
            <w:tabs>
              <w:tab w:val="left" w:pos="720"/>
              <w:tab w:val="left" w:pos="1080"/>
              <w:tab w:val="left" w:pos="2160"/>
              <w:tab w:val="left" w:pos="2340"/>
            </w:tabs>
            <w:jc w:val="both"/>
            <w:rPr>
              <w:color w:val="00000A"/>
              <w:sz w:val="18"/>
              <w:szCs w:val="18"/>
            </w:rPr>
          </w:pPr>
        </w:p>
        <w:p>
          <w:pPr>
            <w:tabs>
              <w:tab w:val="left" w:pos="720"/>
              <w:tab w:val="left" w:pos="1080"/>
              <w:tab w:val="left" w:pos="2160"/>
              <w:tab w:val="left" w:pos="2340"/>
            </w:tabs>
            <w:jc w:val="both"/>
            <w:rPr>
              <w:color w:val="00000A"/>
              <w:sz w:val="18"/>
              <w:szCs w:val="18"/>
            </w:rPr>
          </w:pPr>
        </w:p>
        <w:sdt>
          <w:sdtPr>
            <w:alias w:val="pabaiga"/>
            <w:tag w:val="part_c2ef9cb218d045009500ef7adde9cf6f"/>
            <w:lock w:val="sdtLocked"/>
            <w:richText/>
          </w:sdtPr>
          <w:sdtContent>
            <w:p>
              <w:pPr>
                <w:tabs>
                  <w:tab w:val="left" w:pos="1260"/>
                </w:tabs>
                <w:suppressAutoHyphens/>
                <w:jc w:val="center"/>
                <w:textAlignment w:val="baseline"/>
                <w:rPr>
                  <w:kern w:val="3"/>
                  <w:szCs w:val="24"/>
                </w:rPr>
              </w:pPr>
              <w:r>
                <w:rPr>
                  <w:color w:val="00000A"/>
                  <w:sz w:val="18"/>
                  <w:szCs w:val="18"/>
                </w:rPr>
                <w:t>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9ac50f78911eb9f09e7df20500045">
            <w:r w:rsidRPr="00532B9F">
              <w:rPr>
                <w:rFonts w:ascii="Times New Roman" w:eastAsia="MS Mincho" w:hAnsi="Times New Roman"/>
                <w:sz w:val="20"/>
                <w:i/>
                <w:iCs/>
                <w:color w:val="0000FF" w:themeColor="hyperlink"/>
                <w:u w:val="single"/>
              </w:rPr>
              <w:t>1V-654</w:t>
            </w:r>
          </w:fldSimple>
          <w:r>
            <w:rPr>
              <w:rFonts w:ascii="Times New Roman" w:eastAsia="MS Mincho" w:hAnsi="Times New Roman"/>
              <w:sz w:val="20"/>
              <w:i/>
              <w:iCs/>
            </w:rPr>
            <w:t>,
2021-08-06,
paskelbta TAR 2021-08-09, i. k. 2021-17213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95c10099a11ec9f09e7df20500045">
            <w:r w:rsidRPr="00532B9F">
              <w:rPr>
                <w:rFonts w:ascii="Times New Roman" w:eastAsia="MS Mincho" w:hAnsi="Times New Roman"/>
                <w:sz w:val="20"/>
                <w:i/>
                <w:iCs/>
                <w:color w:val="0000FF" w:themeColor="hyperlink"/>
                <w:u w:val="single"/>
              </w:rPr>
              <w:t>1V-699</w:t>
            </w:r>
          </w:fldSimple>
          <w:r>
            <w:rPr>
              <w:rFonts w:ascii="Times New Roman" w:eastAsia="MS Mincho" w:hAnsi="Times New Roman"/>
              <w:sz w:val="20"/>
              <w:i/>
              <w:iCs/>
            </w:rPr>
            <w:t>,
2021-08-30,
paskelbta TAR 2021-08-30, i. k. 2021-18311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9ac50f78911eb9f09e7df20500045">
            <w:r w:rsidRPr="00532B9F">
              <w:rPr>
                <w:rFonts w:ascii="Times New Roman" w:eastAsia="MS Mincho" w:hAnsi="Times New Roman"/>
                <w:sz w:val="20"/>
                <w:iCs/>
                <w:color w:val="0000FF" w:themeColor="hyperlink"/>
                <w:u w:val="single"/>
              </w:rPr>
              <w:t>1V-654</w:t>
            </w:r>
          </w:fldSimple>
          <w:r>
            <w:rPr>
              <w:rFonts w:ascii="Times New Roman" w:eastAsia="MS Mincho" w:hAnsi="Times New Roman"/>
              <w:sz w:val="20"/>
              <w:iCs/>
            </w:rPr>
            <w:t>,
2021-08-06,
paskelbta TAR 2021-08-09, i. k. 2021-17213                </w:t>
          </w:r>
        </w:p>
        <w:p>
          <w:pPr>
            <w:jc w:val="both"/>
            <w:rPr>
              <w:rFonts w:ascii="Times New Roman" w:hAnsi="Times New Roman"/>
            </w:rPr>
          </w:pPr>
          <w:r>
            <w:rPr>
              <w:rFonts w:ascii="Times New Roman" w:hAnsi="Times New Roman"/>
              <w:sz w:val="20"/>
            </w:rPr>
            <w:t>Dėl Lietuvos Respublikos vidaus reikalų ministro 2016 m. gruodžio 8 d. įsakymo Nr. 1V-903 „Dėl Administracinio nusižengimo protokolo, Nutarimo administracinio nusižengimo byloje, Nutarimo dėl administracinio nusižengimo, kai protokolas nesurašomas, popierinių formų blankuose nurodomų eilės numerių, priskirtų institucijoms,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595c10099a11ec9f09e7df20500045">
            <w:r w:rsidRPr="00532B9F">
              <w:rPr>
                <w:rFonts w:ascii="Times New Roman" w:eastAsia="MS Mincho" w:hAnsi="Times New Roman"/>
                <w:sz w:val="20"/>
                <w:iCs/>
                <w:color w:val="0000FF" w:themeColor="hyperlink"/>
                <w:u w:val="single"/>
              </w:rPr>
              <w:t>1V-699</w:t>
            </w:r>
          </w:fldSimple>
          <w:r>
            <w:rPr>
              <w:rFonts w:ascii="Times New Roman" w:eastAsia="MS Mincho" w:hAnsi="Times New Roman"/>
              <w:sz w:val="20"/>
              <w:iCs/>
            </w:rPr>
            <w:t>,
2021-08-30,
paskelbta TAR 2021-08-30, i. k. 2021-18311                </w:t>
          </w:r>
        </w:p>
        <w:p>
          <w:pPr>
            <w:jc w:val="both"/>
            <w:rPr>
              <w:rFonts w:ascii="Times New Roman" w:hAnsi="Times New Roman"/>
            </w:rPr>
          </w:pPr>
          <w:r>
            <w:rPr>
              <w:rFonts w:ascii="Times New Roman" w:hAnsi="Times New Roman"/>
              <w:sz w:val="20"/>
            </w:rPr>
            <w:t>Dėl Lietuvos Respublikos vidaus reikalų ministro 2016 m. gruodžio 8 d. įsakymo Nr. 1V-903 „Dėl Administracinio nusižengimo protokolo, Nutarimo administracinio nusižengimo byloje, Nutarimo dėl administracinio nusižengimo, kai protokolas nesurašomas, popierinių formų blankuose nurodomų eilės numerių, priskirtų institucijoms,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widowControl w:val="0"/>
        <w:suppressAutoHyphens/>
        <w:textAlignment w:val="baseline"/>
        <w:rPr>
          <w:kern w:val="3"/>
          <w:lang w:eastAsia="lt-LT"/>
        </w:rPr>
      </w:pPr>
      <w:r>
        <w:rPr>
          <w:kern w:val="3"/>
          <w:lang w:eastAsia="lt-LT"/>
        </w:rPr>
        <w:separator/>
      </w:r>
    </w:p>
  </w:endnote>
  <w:endnote w:type="continuationSeparator" w:id="0">
    <w:p>
      <w:pPr>
        <w:widowControl w:val="0"/>
        <w:suppressAutoHyphens/>
        <w:textAlignment w:val="baseline"/>
        <w:rPr>
          <w:kern w:val="3"/>
          <w:lang w:eastAsia="lt-LT"/>
        </w:rPr>
      </w:pPr>
      <w:r>
        <w:rPr>
          <w:kern w:val="3"/>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widowControl w:val="0"/>
        <w:suppressAutoHyphens/>
        <w:textAlignment w:val="baseline"/>
        <w:rPr>
          <w:kern w:val="3"/>
          <w:lang w:eastAsia="lt-LT"/>
        </w:rPr>
      </w:pPr>
      <w:r>
        <w:rPr>
          <w:color w:val="000000"/>
          <w:kern w:val="3"/>
          <w:lang w:eastAsia="lt-LT"/>
        </w:rPr>
        <w:separator/>
      </w:r>
    </w:p>
  </w:footnote>
  <w:footnote w:type="continuationSeparator" w:id="0">
    <w:p>
      <w:pPr>
        <w:widowControl w:val="0"/>
        <w:suppressAutoHyphens/>
        <w:textAlignment w:val="baseline"/>
        <w:rPr>
          <w:kern w:val="3"/>
          <w:lang w:eastAsia="lt-LT"/>
        </w:rPr>
      </w:pPr>
      <w:r>
        <w:rPr>
          <w:kern w:val="3"/>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2</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61"/>
  <w:proofState w:spelling="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8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oleObject" Target="embeddings/oleObject3.bin"/>
  <Relationship Id="rId13" Type="http://schemas.openxmlformats.org/officeDocument/2006/relationships/header" Target="header4.xml"/>
  <Relationship Id="rId14"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8b08c8309f8434db1e82ed9e274a6e0" PartId="b82b7ab5f57a4c6db23bc666b95a359e">
    <Part Type="preambule" DocPartId="5ae519e3f9964225b50df67e0bd295d2" PartId="95189a6c307c44588ba080ff84d3ae24"/>
    <Part Type="pastraipa" DocPartId="73000df88eb64a109687aaae4d2b8d2f" PartId="8594eceb49c141baa054c3ee144b85a4"/>
    <Part Type="signatura" DocPartId="416d75ca0a7042038a2879164d67232f" PartId="a798721a9dca430eaf4895bb2ff5c69c"/>
  </Part>
  <Part Type="patvirtinta" Title="ADMINISTRACINIO NUSIŽENGIMO PROTOKOLO, NUTARIMO ADMINISTRACINIO NUSIŽENGIMO BYLOJE, NUTARIMO DĖL ADMINISTRACINIO NUSIŽENGIMO, KAI PROTOKOLAS NESURAŠOMAS, POPIERINIŲ FORMŲ BLANKUOSE NURODOMŲ EILĖS NUMERIŲ, PRISKIRTŲ INSTITUCIJOMS, SĄRAŠAS" DocPartId="bf027202cdae4f239f51cdfeb1a334b0" PartId="d35a426c9c554d8bae05410320042944">
    <Part Type="pabaiga" DocPartId="1caaefd4b48945cf9e1b7f39163b8668" PartId="c2ef9cb218d045009500ef7adde9cf6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B74E94-A00D-455C-B2D4-817613655641}">
  <ds:schemaRefs>
    <ds:schemaRef ds:uri="http://lrs.lt/TAIS/DocParts"/>
  </ds:schemaRefs>
</ds:datastoreItem>
</file>

<file path=customXml/itemProps2.xml><?xml version="1.0" encoding="utf-8"?>
<ds:datastoreItem xmlns:ds="http://schemas.openxmlformats.org/officeDocument/2006/customXml" ds:itemID="{62FFA09A-C739-4457-BDC8-EFE2F5D9936C}">
  <ds:schemaRefs>
    <ds:schemaRef ds:uri="http://schemas.openxmlformats.org/officeDocument/2006/bibliography"/>
  </ds:schemaRefs>
</ds:datastoreItem>
</file>

<file path=customXml/itemProps3.xml><?xml version="1.0" encoding="utf-8"?>
<ds:datastoreItem xmlns:ds="http://schemas.openxmlformats.org/officeDocument/2006/customXml" ds:itemID="{0EB131D2-72E3-4032-9884-31E2443AC5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15</Pages>
  <Words>12412</Words>
  <Characters>7075</Characters>
  <Application>Microsoft Office Word</Application>
  <DocSecurity>0</DocSecurity>
  <Lines>58</Lines>
  <Paragraphs>38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PATVIRTINTA</vt:lpstr>
      <vt:lpstr>PATVIRTINTA</vt:lpstr>
    </vt:vector>
  </TitlesOfParts>
  <Company>HP</Company>
  <LinksUpToDate>false</LinksUpToDate>
  <CharactersWithSpaces>19449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2016-12-08T08:56:00Z</dcterms:created>
  <dc:creator>user</dc:creator>
  <lastModifiedBy>JUOSPONIENĖ Karolina</lastModifiedBy>
  <lastPrinted>2016-09-26T07:10:00Z</lastPrinted>
  <dcterms:modified xsi:type="dcterms:W3CDTF">2021-09-03T15:56:00Z</dcterms:modified>
  <revision>5</revision>
  <dc:title>PATVIRTINTA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14.0000</vt:lpwstr>
  </property>
  <property fmtid="{D5CDD505-2E9C-101B-9397-08002B2CF9AE}" pid="3" name="Company">
    <vt:lpwstr xmlns:vt="http://schemas.openxmlformats.org/officeDocument/2006/docPropsVTypes">Hewlett-Packard Company</vt:lpwstr>
  </property>
  <property fmtid="{D5CDD505-2E9C-101B-9397-08002B2CF9AE}" pid="4" name="DocSecurity">
    <vt:r8 xmlns:vt="http://schemas.openxmlformats.org/officeDocument/2006/docPropsVTypes">0</vt:r8>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