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2020-01-01 iki 2020-03-18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Įstatymas Nr. XIII-2227 taikomas, kai darbdavio bankroto byla iškelta arba bankroto procesas pradėtas ne teismo tvarka ar teismo nutartis atsisakyti iškelti nemokiam juridiniam asmeniui bankroto bylą ir siūlyti inicijuoti jo likvidavimą Juridinių asmenų registro tvarkytojo iniciatyva priimta po 2020 m. sausio 1 d.</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rPr>
              <w:rFonts w:ascii="Times New Roman" w:eastAsia="MS Mincho" w:hAnsi="Times New Roman"/>
              <w:sz w:val="20"/>
              <w:i/>
              <w:iCs/>
            </w:rPr>
          </w:pPr>
          <w:r>
            <w:rPr>
              <w:rFonts w:ascii="Times New Roman" w:eastAsia="MS Mincho" w:hAnsi="Times New Roman"/>
              <w:sz w:val="20"/>
              <w:i/>
              <w:iCs/>
            </w:rPr>
            <w:t>Lietuvos Respublikos garantijų darbuotojams jų darbdaviui tapus nemokiam ir ilgalaikio darbo išmokų įstatymo Nr. XII-2604 2, 3, 5, 6, 7, 8, 10 ir 19 straipsnių pakeitimo įstatymas</w:t>
          </w:r>
        </w:p>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c9a3f1369a944553a0b75afd757c1484"/>
                    <w:lock w:val="sdtLocked"/>
                    <w:richText/>
                  </w:sdtPr>
                  <w:sdtContent>
                    <w:p>
                      <w:pPr>
                        <w:spacing w:line="360" w:lineRule="auto"/>
                        <w:ind w:firstLine="720"/>
                        <w:jc w:val="both"/>
                        <w:rPr>
                          <w:rFonts w:eastAsia="Calibri"/>
                          <w:szCs w:val="24"/>
                        </w:rPr>
                      </w:pPr>
                      <w:sdt>
                        <w:sdtPr>
                          <w:alias w:val="Numeris"/>
                          <w:tag w:val="nr_c9a3f1369a944553a0b75afd757c1484"/>
                          <w:lock w:val="sdtLocked"/>
                          <w:richText/>
                        </w:sdtPr>
                        <w:sdtContent>
                          <w:r>
                            <w:rPr>
                              <w:rFonts w:eastAsia="Calibri"/>
                              <w:szCs w:val="24"/>
                            </w:rPr>
                            <w:t>1</w:t>
                          </w:r>
                        </w:sdtContent>
                      </w:sdt>
                      <w:r>
                        <w:rPr>
                          <w:rFonts w:eastAsia="Calibri"/>
                          <w:szCs w:val="24"/>
                        </w:rPr>
                        <w:t>. Šio įstatymo paskirtis – šio įstatymo nustatyta tvarka užtikrinti minimalų darbuotojų apsaugos lygį jų darbdaviui tapus nemokiam, taip pat nustatyti ilgą nepertraukiamo darbo stažą turinčių darbuotojų papildomas finansines garantijas juos atleidus.</w:t>
                      </w:r>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2 str. 7 d."/>
                    <w:tag w:val="part_0543901784604292af0bc1167022acbc"/>
                    <w:lock w:val="sdtLocked"/>
                    <w:richText/>
                  </w:sdtPr>
                  <w:sdtContent>
                    <w:p>
                      <w:pPr>
                        <w:tabs>
                          <w:tab w:val="left" w:pos="1418"/>
                        </w:tabs>
                        <w:spacing w:line="360" w:lineRule="auto"/>
                        <w:ind w:firstLine="720"/>
                        <w:jc w:val="both"/>
                        <w:rPr>
                          <w:rFonts w:eastAsia="Calibri"/>
                          <w:szCs w:val="24"/>
                        </w:rPr>
                      </w:pPr>
                      <w:sdt>
                        <w:sdtPr>
                          <w:alias w:val="Numeris"/>
                          <w:tag w:val="nr_0543901784604292af0bc1167022acb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p>
                      <w:pPr>
                        <w:spacing w:line="360" w:lineRule="auto"/>
                        <w:ind w:firstLine="720"/>
                        <w:jc w:val="center"/>
                        <w:rPr>
                          <w:rFonts w:eastAsia="Calibri"/>
                          <w:b/>
                          <w:szCs w:val="24"/>
                        </w:rPr>
                      </w:pPr>
                    </w:p>
                  </w:sdtContent>
                </w:sdt>
              </w:sdtContent>
            </w:sdt>
          </w:sdtContent>
        </w:sdt>
        <w:sdt>
          <w:sdtPr>
            <w:alias w:val="skyrius"/>
            <w:tag w:val="part_d89e5d208a1f4818b7c2c20f00587e7c"/>
            <w:lock w:val="sdtLocked"/>
            <w:richText/>
          </w:sdtPr>
          <w:sdtContent>
            <w:p>
              <w:pPr>
                <w:spacing w:line="360" w:lineRule="auto"/>
                <w:jc w:val="center"/>
                <w:rPr>
                  <w:rFonts w:eastAsia="Calibri"/>
                  <w:b/>
                  <w:szCs w:val="24"/>
                </w:rPr>
              </w:pPr>
              <w:sdt>
                <w:sdtPr>
                  <w:alias w:val="Numeris"/>
                  <w:tag w:val="nr_d89e5d208a1f4818b7c2c20f00587e7c"/>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89e5d208a1f4818b7c2c20f00587e7c"/>
                  <w:lock w:val="sdtLocked"/>
                  <w:richText/>
                </w:sdtPr>
                <w:sdtContent>
                  <w:r>
                    <w:rPr>
                      <w:rFonts w:eastAsia="Calibri"/>
                      <w:b/>
                      <w:szCs w:val="24"/>
                    </w:rPr>
                    <w:t>GARANTIJOS DARBUOTOJAMS JŲ DARBDAVIUI TAPUS NEMOKIAM</w:t>
                  </w:r>
                </w:sdtContent>
              </w:sdt>
            </w:p>
            <w:p>
              <w:pPr>
                <w:spacing w:line="360" w:lineRule="auto"/>
                <w:ind w:firstLine="720"/>
                <w:jc w:val="center"/>
                <w:rPr>
                  <w:rFonts w:eastAsia="Calibri"/>
                  <w:b/>
                  <w:szCs w:val="24"/>
                </w:rPr>
              </w:pPr>
            </w:p>
            <w:sdt>
              <w:sdtPr>
                <w:alias w:val="3 str."/>
                <w:tag w:val="part_e1799bbcbbb24df39937531f5a034d27"/>
                <w:lock w:val="sdtLocked"/>
                <w:richText/>
              </w:sdtPr>
              <w:sdtContent>
                <w:p>
                  <w:pPr>
                    <w:spacing w:line="360" w:lineRule="auto"/>
                    <w:ind w:left="2268" w:hanging="1548"/>
                    <w:jc w:val="both"/>
                    <w:rPr>
                      <w:szCs w:val="24"/>
                    </w:rPr>
                  </w:pPr>
                  <w:sdt>
                    <w:sdtPr>
                      <w:alias w:val="Numeris"/>
                      <w:tag w:val="nr_e1799bbcbbb24df39937531f5a034d27"/>
                      <w:lock w:val="sdtLocked"/>
                      <w:richText/>
                    </w:sdtPr>
                    <w:sdtContent>
                      <w:r>
                        <w:rPr>
                          <w:rFonts w:eastAsia="Calibri"/>
                          <w:b/>
                          <w:szCs w:val="24"/>
                        </w:rPr>
                        <w:t>3</w:t>
                      </w:r>
                    </w:sdtContent>
                  </w:sdt>
                  <w:r>
                    <w:rPr>
                      <w:rFonts w:eastAsia="Calibri"/>
                      <w:b/>
                      <w:szCs w:val="24"/>
                    </w:rPr>
                    <w:t xml:space="preserve"> straipsnis. </w:t>
                  </w:r>
                  <w:sdt>
                    <w:sdtPr>
                      <w:alias w:val="Pavadinimas"/>
                      <w:tag w:val="title_e1799bbcbbb24df39937531f5a034d27"/>
                      <w:lock w:val="sdtLocked"/>
                      <w:richText/>
                    </w:sdtPr>
                    <w:sdtContent>
                      <w:r>
                        <w:rPr>
                          <w:rFonts w:eastAsia="Calibri"/>
                          <w:b/>
                          <w:szCs w:val="24"/>
                        </w:rPr>
                        <w:t>Asmenys, kuriems užtikrinamos garantijos jų darbdaviui tapus nemokiam</w:t>
                      </w:r>
                    </w:sdtContent>
                  </w:sdt>
                </w:p>
                <w:sdt>
                  <w:sdtPr>
                    <w:alias w:val="3 str. 1 d."/>
                    <w:tag w:val="part_41268717c6f1436fba8dc93e847a988a"/>
                    <w:lock w:val="sdtLocked"/>
                    <w:richText/>
                  </w:sdtPr>
                  <w:sdtContent>
                    <w:p>
                      <w:pPr>
                        <w:spacing w:line="360" w:lineRule="auto"/>
                        <w:ind w:firstLine="720"/>
                        <w:jc w:val="both"/>
                        <w:rPr>
                          <w:rFonts w:eastAsia="Calibri"/>
                          <w:szCs w:val="24"/>
                        </w:rPr>
                      </w:pPr>
                      <w:sdt>
                        <w:sdtPr>
                          <w:alias w:val="Numeris"/>
                          <w:tag w:val="nr_41268717c6f1436fba8dc93e847a988a"/>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e071bac989e64e4aa5f16a74fa51fa92"/>
                        <w:lock w:val="sdtLocked"/>
                        <w:richText/>
                      </w:sdtPr>
                      <w:sdtContent>
                        <w:p>
                          <w:pPr>
                            <w:spacing w:line="360" w:lineRule="auto"/>
                            <w:ind w:firstLine="720"/>
                            <w:jc w:val="both"/>
                            <w:rPr>
                              <w:rFonts w:eastAsia="Calibri"/>
                              <w:szCs w:val="24"/>
                            </w:rPr>
                          </w:pPr>
                          <w:sdt>
                            <w:sdtPr>
                              <w:alias w:val="Numeris"/>
                              <w:tag w:val="nr_e071bac989e64e4aa5f16a74fa51fa92"/>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procesas </w:t>
                          </w:r>
                          <w:r>
                            <w:rPr>
                              <w:rFonts w:eastAsia="Calibri"/>
                              <w:szCs w:val="24"/>
                            </w:rPr>
                            <w:t xml:space="preserve">vykdomas Lietuvos Respublikos </w:t>
                          </w:r>
                          <w:r>
                            <w:rPr>
                              <w:rFonts w:eastAsia="Calibri"/>
                              <w:bCs/>
                              <w:szCs w:val="24"/>
                            </w:rPr>
                            <w:t xml:space="preserve">juridinių asmenų nemokumo įstatymo (toliau – Juridinių asmenų nemokumo įstatymas)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taip pat fizinių asmenų, ūkininkų ir kitų fizinių asmenų, kurie verčiasi individualia veikla, kaip ji apibrėžta Lietuvos Respublikos gyventojų pajamų mokesčio įstatyme, ir kurių pagrindinių turtinių interesų vieta yra Lietuvos Respublikoje, kurių</w:t>
                          </w:r>
                          <w:r>
                            <w:rPr>
                              <w:rFonts w:eastAsia="Calibri"/>
                              <w:b/>
                              <w:szCs w:val="24"/>
                            </w:rPr>
                            <w:t xml:space="preserve"> </w:t>
                          </w:r>
                          <w:r>
                            <w:rPr>
                              <w:rFonts w:eastAsia="Calibri"/>
                              <w:szCs w:val="24"/>
                            </w:rPr>
                            <w:t xml:space="preserve">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bankroto procesai), darbuotojams;</w:t>
                          </w:r>
                        </w:p>
                      </w:sdtContent>
                    </w:sdt>
                    <w:sdt>
                      <w:sdtPr>
                        <w:alias w:val="3 str. 1 d. 2 p."/>
                        <w:tag w:val="part_cf0026517d3041c491629fbb8197eee5"/>
                        <w:lock w:val="sdtLocked"/>
                        <w:richText/>
                      </w:sdtPr>
                      <w:sdtContent>
                        <w:p>
                          <w:pPr>
                            <w:spacing w:line="360" w:lineRule="auto"/>
                            <w:ind w:firstLine="720"/>
                            <w:jc w:val="both"/>
                            <w:rPr>
                              <w:rFonts w:eastAsia="Calibri"/>
                              <w:szCs w:val="24"/>
                            </w:rPr>
                          </w:pPr>
                          <w:sdt>
                            <w:sdtPr>
                              <w:alias w:val="Numeris"/>
                              <w:tag w:val="nr_cf0026517d3041c491629fbb8197eee5"/>
                              <w:lock w:val="sdtLocked"/>
                              <w:richText/>
                            </w:sdtPr>
                            <w:sdtContent>
                              <w:r>
                                <w:rPr>
                                  <w:rFonts w:eastAsia="Calibri"/>
                                  <w:szCs w:val="24"/>
                                </w:rPr>
                                <w:t>2</w:t>
                              </w:r>
                            </w:sdtContent>
                          </w:sdt>
                          <w:r>
                            <w:rPr>
                              <w:rFonts w:eastAsia="Calibri"/>
                              <w:szCs w:val="24"/>
                            </w:rPr>
                            <w:t xml:space="preserve">) kitų Europos Sąjungos valstybių narių arba kitų Europos ekonominės erdvės valstybių (toliau – valstybė narė) juridinių asmenų ar kitų organizacijų, dėl kurių pradėti </w:t>
                          </w:r>
                          <w:r>
                            <w:rPr>
                              <w:rFonts w:eastAsia="Calibri"/>
                              <w:bCs/>
                              <w:szCs w:val="24"/>
                            </w:rPr>
                            <w:t>Juridinių asmenų nemokumo įstatyme</w:t>
                          </w:r>
                          <w:r>
                            <w:rPr>
                              <w:rFonts w:eastAsia="Calibri"/>
                              <w:szCs w:val="24"/>
                            </w:rPr>
                            <w:t xml:space="preserve"> reglamentuotam bankroto procesui tolygūs nemokumo procesai,</w:t>
                          </w:r>
                          <w:r>
                            <w:rPr>
                              <w:rFonts w:eastAsia="Calibri"/>
                              <w:b/>
                              <w:szCs w:val="24"/>
                            </w:rPr>
                            <w:t xml:space="preserve"> </w:t>
                          </w:r>
                          <w:r>
                            <w:rPr>
                              <w:rFonts w:eastAsia="Calibri"/>
                              <w:szCs w:val="24"/>
                            </w:rPr>
                            <w:t>arba nemokaus juridinio asmens, likviduojamo administracine tvarka, padalinių, įsteigtų Lietuvos Respublikoje, darbuotojams;</w:t>
                          </w:r>
                        </w:p>
                      </w:sdtContent>
                    </w:sdt>
                    <w:sdt>
                      <w:sdtPr>
                        <w:alias w:val="3 str. 1 d. 3 p."/>
                        <w:tag w:val="part_d9b6a885b8d7426096e1497b8c9360dd"/>
                        <w:lock w:val="sdtLocked"/>
                        <w:richText/>
                      </w:sdtPr>
                      <w:sdtContent>
                        <w:p>
                          <w:pPr>
                            <w:spacing w:line="360" w:lineRule="auto"/>
                            <w:ind w:firstLine="720"/>
                            <w:jc w:val="both"/>
                            <w:rPr>
                              <w:rFonts w:eastAsia="Calibri"/>
                              <w:szCs w:val="24"/>
                            </w:rPr>
                          </w:pPr>
                          <w:sdt>
                            <w:sdtPr>
                              <w:alias w:val="Numeris"/>
                              <w:tag w:val="nr_d9b6a885b8d7426096e1497b8c9360d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bankroto procesams tolygūs nemokumo procesai, darbuotojams, kurie nuolat dirba Lietuvos Respublikoje.</w:t>
                          </w:r>
                        </w:p>
                      </w:sdtContent>
                    </w:sdt>
                  </w:sdtContent>
                </w:sdt>
                <w:sdt>
                  <w:sdtPr>
                    <w:alias w:val="3 str. 2 d."/>
                    <w:tag w:val="part_b8fa88c65ee64e1bbdb5d1df8bdc9d08"/>
                    <w:lock w:val="sdtLocked"/>
                    <w:richText/>
                  </w:sdtPr>
                  <w:sdtContent>
                    <w:p>
                      <w:pPr>
                        <w:spacing w:line="360" w:lineRule="auto"/>
                        <w:ind w:firstLine="720"/>
                        <w:jc w:val="both"/>
                        <w:rPr>
                          <w:rFonts w:eastAsia="Calibri"/>
                          <w:szCs w:val="24"/>
                        </w:rPr>
                      </w:pPr>
                      <w:sdt>
                        <w:sdtPr>
                          <w:alias w:val="Numeris"/>
                          <w:tag w:val="nr_b8fa88c65ee64e1bbdb5d1df8bdc9d08"/>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286753c467eb4966b085f9dee76c01fd"/>
                    <w:lock w:val="sdtLocked"/>
                    <w:richText/>
                  </w:sdtPr>
                  <w:sdtContent>
                    <w:p>
                      <w:pPr>
                        <w:spacing w:line="360" w:lineRule="auto"/>
                        <w:ind w:firstLine="720"/>
                        <w:jc w:val="both"/>
                        <w:rPr>
                          <w:rFonts w:eastAsia="Calibri"/>
                          <w:szCs w:val="24"/>
                        </w:rPr>
                      </w:pPr>
                      <w:sdt>
                        <w:sdtPr>
                          <w:alias w:val="Numeris"/>
                          <w:tag w:val="nr_286753c467eb4966b085f9dee76c01fd"/>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0ad361a175d74c71a61919223b9c6cd5"/>
                    <w:lock w:val="sdtLocked"/>
                    <w:richText/>
                  </w:sdtPr>
                  <w:sdtContent>
                    <w:p>
                      <w:pPr>
                        <w:spacing w:line="360" w:lineRule="auto"/>
                        <w:ind w:firstLine="720"/>
                        <w:jc w:val="both"/>
                        <w:rPr>
                          <w:rFonts w:eastAsia="Calibri"/>
                          <w:szCs w:val="24"/>
                        </w:rPr>
                      </w:pPr>
                      <w:sdt>
                        <w:sdtPr>
                          <w:alias w:val="Numeris"/>
                          <w:tag w:val="nr_0ad361a175d74c71a61919223b9c6cd5"/>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bankroto procesams, atsižvelgiama į kitoje valstybėje narėje priimtus sprendimus dėl nemokumo procesų, nurodytų </w:t>
                      </w:r>
                      <w:r>
                        <w:rPr>
                          <w:szCs w:val="24"/>
                        </w:rPr>
                        <w:t>2015 m. gegužės 20 d. Europos Parlamento ir Tarybos reglamento (ES) 2015/848 dėl nemokumo bylų (OL 2015 L 141, p. 19)</w:t>
                      </w:r>
                      <w:r>
                        <w:rPr>
                          <w:rFonts w:eastAsia="Calibri"/>
                          <w:szCs w:val="24"/>
                        </w:rPr>
                        <w:t xml:space="preserve"> A priede.</w:t>
                      </w:r>
                    </w:p>
                  </w:sdtContent>
                </w:sdt>
                <w:sdt>
                  <w:sdtPr>
                    <w:alias w:val="3 str. 5 d."/>
                    <w:tag w:val="part_30bcc05aa5b24577abca15d46fb140cd"/>
                    <w:lock w:val="sdtLocked"/>
                    <w:richText/>
                  </w:sdtPr>
                  <w:sdtContent>
                    <w:p>
                      <w:pPr>
                        <w:spacing w:line="360" w:lineRule="auto"/>
                        <w:ind w:firstLine="720"/>
                        <w:jc w:val="both"/>
                        <w:rPr>
                          <w:rFonts w:eastAsia="Calibri"/>
                          <w:szCs w:val="24"/>
                        </w:rPr>
                      </w:pPr>
                      <w:sdt>
                        <w:sdtPr>
                          <w:alias w:val="Numeris"/>
                          <w:tag w:val="nr_30bcc05aa5b24577abca15d46fb140cd"/>
                          <w:lock w:val="sdtLocked"/>
                          <w:richText/>
                        </w:sdtPr>
                        <w:sdtContent>
                          <w:r>
                            <w:rPr>
                              <w:rFonts w:eastAsia="Calibri"/>
                              <w:szCs w:val="24"/>
                            </w:rPr>
                            <w:t>5</w:t>
                          </w:r>
                        </w:sdtContent>
                      </w:sdt>
                      <w:r>
                        <w:rPr>
                          <w:rFonts w:eastAsia="Calibri"/>
                          <w:szCs w:val="24"/>
                        </w:rPr>
                        <w:t>. Garantijos darbuotojams jų darbdaviui tapus nemokiam užtikrinamos darbuotojams, dirbusiems iki teismo nutarties iškelti bankroto bylą,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e71dbbf98cf4433b97cb05f86835c126"/>
                    <w:lock w:val="sdtLocked"/>
                    <w:richText/>
                  </w:sdtPr>
                  <w:sdtContent>
                    <w:p>
                      <w:pPr>
                        <w:spacing w:line="360" w:lineRule="auto"/>
                        <w:ind w:firstLine="720"/>
                        <w:jc w:val="both"/>
                        <w:rPr>
                          <w:rFonts w:eastAsia="Calibri"/>
                          <w:b/>
                          <w:szCs w:val="24"/>
                        </w:rPr>
                      </w:pPr>
                      <w:sdt>
                        <w:sdtPr>
                          <w:alias w:val="Numeris"/>
                          <w:tag w:val="nr_e71dbbf98cf4433b97cb05f86835c126"/>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21c8e869902e47298c162efd24fc01e3"/>
                    <w:lock w:val="sdtLocked"/>
                    <w:richText/>
                  </w:sdtPr>
                  <w:sdtContent>
                    <w:p>
                      <w:pPr>
                        <w:spacing w:line="360" w:lineRule="auto"/>
                        <w:ind w:firstLine="720"/>
                        <w:jc w:val="both"/>
                        <w:rPr>
                          <w:rFonts w:eastAsia="Calibri"/>
                          <w:szCs w:val="24"/>
                        </w:rPr>
                      </w:pPr>
                      <w:sdt>
                        <w:sdtPr>
                          <w:alias w:val="Numeris"/>
                          <w:tag w:val="nr_21c8e869902e47298c162efd24fc01e3"/>
                          <w:lock w:val="sdtLocked"/>
                          <w:richText/>
                        </w:sdtPr>
                        <w:sdtContent>
                          <w:r>
                            <w:rPr>
                              <w:rFonts w:eastAsia="Calibri"/>
                              <w:szCs w:val="24"/>
                            </w:rPr>
                            <w:t>1</w:t>
                          </w:r>
                        </w:sdtContent>
                      </w:sdt>
                      <w:r>
                        <w:rPr>
                          <w:rFonts w:eastAsia="Calibri"/>
                          <w:szCs w:val="24"/>
                        </w:rPr>
                        <w:t>. Garantinio fondo lėšas sudaro:</w:t>
                      </w:r>
                    </w:p>
                    <w:sdt>
                      <w:sdtPr>
                        <w:alias w:val="5 str. 1 d. 1 p."/>
                        <w:tag w:val="part_bd9a78a81d094564973e888b11ce02bc"/>
                        <w:lock w:val="sdtLocked"/>
                        <w:richText/>
                      </w:sdtPr>
                      <w:sdtContent>
                        <w:p>
                          <w:pPr>
                            <w:spacing w:line="360" w:lineRule="auto"/>
                            <w:ind w:firstLine="720"/>
                            <w:jc w:val="both"/>
                            <w:rPr>
                              <w:rFonts w:eastAsia="Calibri"/>
                              <w:szCs w:val="24"/>
                            </w:rPr>
                          </w:pPr>
                          <w:sdt>
                            <w:sdtPr>
                              <w:alias w:val="Numeris"/>
                              <w:tag w:val="nr_bd9a78a81d094564973e888b11ce02bc"/>
                              <w:lock w:val="sdtLocked"/>
                              <w:richText/>
                            </w:sdtPr>
                            <w:sdtContent>
                              <w:r>
                                <w:rPr>
                                  <w:rFonts w:eastAsia="Calibri"/>
                                  <w:szCs w:val="24"/>
                                </w:rPr>
                                <w:t>1</w:t>
                              </w:r>
                            </w:sdtContent>
                          </w:sdt>
                          <w:r>
                            <w:rPr>
                              <w:rFonts w:eastAsia="Calibri"/>
                              <w:szCs w:val="24"/>
                            </w:rPr>
                            <w:t>) šio straipsnio 3 dalyje nurodytų subjektų įmokos;</w:t>
                          </w:r>
                        </w:p>
                      </w:sdtContent>
                    </w:sdt>
                    <w:sdt>
                      <w:sdtPr>
                        <w:alias w:val="5 str. 1 d. 2 p."/>
                        <w:tag w:val="part_753a8fa82ad4471fb1225050e0d223f8"/>
                        <w:lock w:val="sdtLocked"/>
                        <w:richText/>
                      </w:sdtPr>
                      <w:sdtContent>
                        <w:p>
                          <w:pPr>
                            <w:spacing w:line="360" w:lineRule="auto"/>
                            <w:ind w:firstLine="720"/>
                            <w:jc w:val="both"/>
                            <w:rPr>
                              <w:rFonts w:eastAsia="Calibri"/>
                              <w:szCs w:val="24"/>
                            </w:rPr>
                          </w:pPr>
                          <w:sdt>
                            <w:sdtPr>
                              <w:alias w:val="Numeris"/>
                              <w:tag w:val="nr_753a8fa82ad4471fb1225050e0d223f8"/>
                              <w:lock w:val="sdtLocked"/>
                              <w:richText/>
                            </w:sdtPr>
                            <w:sdtContent>
                              <w:r>
                                <w:rPr>
                                  <w:rFonts w:eastAsia="Calibri"/>
                                  <w:szCs w:val="24"/>
                                </w:rPr>
                                <w:t>2</w:t>
                              </w:r>
                            </w:sdtContent>
                          </w:sdt>
                          <w:r>
                            <w:rPr>
                              <w:rFonts w:eastAsia="Calibri"/>
                              <w:szCs w:val="24"/>
                            </w:rPr>
                            <w:t>) delspinigiai, palūkanos ir baudos;</w:t>
                          </w:r>
                        </w:p>
                      </w:sdtContent>
                    </w:sdt>
                    <w:sdt>
                      <w:sdtPr>
                        <w:alias w:val="5 str. 1 d. 3 p."/>
                        <w:tag w:val="part_2fffec3a3dca486cabe2506897487448"/>
                        <w:lock w:val="sdtLocked"/>
                        <w:richText/>
                      </w:sdtPr>
                      <w:sdtContent>
                        <w:p>
                          <w:pPr>
                            <w:spacing w:line="360" w:lineRule="auto"/>
                            <w:ind w:firstLine="720"/>
                            <w:jc w:val="both"/>
                            <w:rPr>
                              <w:rFonts w:eastAsia="Calibri"/>
                              <w:szCs w:val="24"/>
                            </w:rPr>
                          </w:pPr>
                          <w:sdt>
                            <w:sdtPr>
                              <w:alias w:val="Numeris"/>
                              <w:tag w:val="nr_2fffec3a3dca486cabe2506897487448"/>
                              <w:lock w:val="sdtLocked"/>
                              <w:richText/>
                            </w:sdtPr>
                            <w:sdtContent>
                              <w:r>
                                <w:rPr>
                                  <w:rFonts w:eastAsia="Calibri"/>
                                  <w:szCs w:val="24"/>
                                </w:rPr>
                                <w:t>3</w:t>
                              </w:r>
                            </w:sdtContent>
                          </w:sdt>
                          <w:r>
                            <w:rPr>
                              <w:rFonts w:eastAsia="Calibri"/>
                              <w:szCs w:val="24"/>
                            </w:rPr>
                            <w:t>) iš darbdavių gautos lėšos administratoriaus reikalavimams tenkinti;</w:t>
                          </w:r>
                        </w:p>
                      </w:sdtContent>
                    </w:sdt>
                    <w:sdt>
                      <w:sdtPr>
                        <w:alias w:val="5 str. 1 d. 4 p."/>
                        <w:tag w:val="part_452c82ce67b5446ba76c65b3d7da2f9f"/>
                        <w:lock w:val="sdtLocked"/>
                        <w:richText/>
                      </w:sdtPr>
                      <w:sdtContent>
                        <w:p>
                          <w:pPr>
                            <w:spacing w:line="360" w:lineRule="auto"/>
                            <w:ind w:firstLine="720"/>
                            <w:jc w:val="both"/>
                            <w:rPr>
                              <w:rFonts w:eastAsia="Calibri"/>
                              <w:szCs w:val="24"/>
                            </w:rPr>
                          </w:pPr>
                          <w:sdt>
                            <w:sdtPr>
                              <w:alias w:val="Numeris"/>
                              <w:tag w:val="nr_452c82ce67b5446ba76c65b3d7da2f9f"/>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str. 1 d. 5 p."/>
                        <w:tag w:val="part_50d19cdfefd94e228f7d0e53c5e4572b"/>
                        <w:lock w:val="sdtLocked"/>
                        <w:richText/>
                      </w:sdtPr>
                      <w:sdtContent>
                        <w:p>
                          <w:pPr>
                            <w:spacing w:line="360" w:lineRule="auto"/>
                            <w:ind w:firstLine="720"/>
                            <w:jc w:val="both"/>
                            <w:rPr>
                              <w:rFonts w:eastAsia="Calibri"/>
                              <w:szCs w:val="24"/>
                            </w:rPr>
                          </w:pPr>
                          <w:sdt>
                            <w:sdtPr>
                              <w:alias w:val="Numeris"/>
                              <w:tag w:val="nr_50d19cdfefd94e228f7d0e53c5e4572b"/>
                              <w:lock w:val="sdtLocked"/>
                              <w:richText/>
                            </w:sdtPr>
                            <w:sdtContent>
                              <w:r>
                                <w:rPr>
                                  <w:rFonts w:eastAsia="Calibri"/>
                                  <w:szCs w:val="24"/>
                                </w:rPr>
                                <w:t>5</w:t>
                              </w:r>
                            </w:sdtContent>
                          </w:sdt>
                          <w:r>
                            <w:rPr>
                              <w:rFonts w:eastAsia="Calibri"/>
                              <w:szCs w:val="24"/>
                            </w:rPr>
                            <w:t>) pajamos už investuotas laikinai laisvas Garantinio fondo lėšas;</w:t>
                          </w:r>
                        </w:p>
                      </w:sdtContent>
                    </w:sdt>
                    <w:sdt>
                      <w:sdtPr>
                        <w:alias w:val="5 str. 1 d. 6 p."/>
                        <w:tag w:val="part_d4cdbe5bf7ee4129a95c7cea01957a4f"/>
                        <w:lock w:val="sdtLocked"/>
                        <w:richText/>
                      </w:sdtPr>
                      <w:sdtContent>
                        <w:p>
                          <w:pPr>
                            <w:spacing w:line="360" w:lineRule="auto"/>
                            <w:ind w:firstLine="720"/>
                            <w:jc w:val="both"/>
                            <w:rPr>
                              <w:rFonts w:eastAsia="Calibri"/>
                              <w:szCs w:val="24"/>
                            </w:rPr>
                          </w:pPr>
                          <w:sdt>
                            <w:sdtPr>
                              <w:alias w:val="Numeris"/>
                              <w:tag w:val="nr_d4cdbe5bf7ee4129a95c7cea01957a4f"/>
                              <w:lock w:val="sdtLocked"/>
                              <w:richText/>
                            </w:sdtPr>
                            <w:sdtContent>
                              <w:r>
                                <w:rPr>
                                  <w:rFonts w:eastAsia="Calibri"/>
                                  <w:szCs w:val="24"/>
                                </w:rPr>
                                <w:t>6</w:t>
                              </w:r>
                            </w:sdtContent>
                          </w:sdt>
                          <w:r>
                            <w:rPr>
                              <w:rFonts w:eastAsia="Calibri"/>
                              <w:szCs w:val="24"/>
                            </w:rPr>
                            <w:t>) kitos teisėtai gautos lėšos.</w:t>
                          </w:r>
                        </w:p>
                      </w:sdtContent>
                    </w:sdt>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6ac093f0946b48249cfb57abaa9a48fd"/>
                <w:lock w:val="sdtLocked"/>
                <w:richText/>
              </w:sdtPr>
              <w:sdtContent>
                <w:p>
                  <w:pPr>
                    <w:spacing w:line="360" w:lineRule="auto"/>
                    <w:ind w:firstLine="720"/>
                    <w:jc w:val="both"/>
                    <w:rPr>
                      <w:b/>
                      <w:szCs w:val="24"/>
                    </w:rPr>
                  </w:pPr>
                  <w:sdt>
                    <w:sdtPr>
                      <w:alias w:val="Numeris"/>
                      <w:tag w:val="nr_6ac093f0946b48249cfb57abaa9a48fd"/>
                      <w:lock w:val="sdtLocked"/>
                      <w:richText/>
                    </w:sdtPr>
                    <w:sdtContent>
                      <w:r>
                        <w:rPr>
                          <w:rFonts w:eastAsia="Calibri"/>
                          <w:b/>
                          <w:szCs w:val="24"/>
                        </w:rPr>
                        <w:t>6</w:t>
                      </w:r>
                    </w:sdtContent>
                  </w:sdt>
                  <w:r>
                    <w:rPr>
                      <w:rFonts w:eastAsia="Calibri"/>
                      <w:b/>
                      <w:szCs w:val="24"/>
                    </w:rPr>
                    <w:t xml:space="preserve"> straipsnis. </w:t>
                  </w:r>
                  <w:sdt>
                    <w:sdtPr>
                      <w:alias w:val="Pavadinimas"/>
                      <w:tag w:val="title_6ac093f0946b48249cfb57abaa9a48fd"/>
                      <w:lock w:val="sdtLocked"/>
                      <w:richText/>
                    </w:sdtPr>
                    <w:sdtContent>
                      <w:r>
                        <w:rPr>
                          <w:rFonts w:eastAsia="Calibri"/>
                          <w:b/>
                          <w:szCs w:val="24"/>
                        </w:rPr>
                        <w:t>Garantinio fondo lėšų naudojimas</w:t>
                      </w:r>
                    </w:sdtContent>
                  </w:sdt>
                </w:p>
                <w:sdt>
                  <w:sdtPr>
                    <w:alias w:val="6 str. 1 d."/>
                    <w:tag w:val="part_8ff724b5b4cd482289fdd8c59907b46b"/>
                    <w:lock w:val="sdtLocked"/>
                    <w:richText/>
                  </w:sdtPr>
                  <w:sdtContent>
                    <w:p>
                      <w:pPr>
                        <w:spacing w:line="360" w:lineRule="auto"/>
                        <w:ind w:firstLine="720"/>
                        <w:jc w:val="both"/>
                        <w:rPr>
                          <w:strike/>
                          <w:szCs w:val="24"/>
                        </w:rPr>
                      </w:pPr>
                      <w:r>
                        <w:rPr>
                          <w:rFonts w:eastAsia="Calibri"/>
                          <w:szCs w:val="24"/>
                        </w:rPr>
                        <w:t>Garantinio fondo lėšos naudojamos:</w:t>
                      </w:r>
                    </w:p>
                    <w:sdt>
                      <w:sdtPr>
                        <w:alias w:val="6 str. 1 d. 1 p."/>
                        <w:tag w:val="part_7994eb880428423eae44ac7cec96ec79"/>
                        <w:lock w:val="sdtLocked"/>
                        <w:richText/>
                      </w:sdtPr>
                      <w:sdtContent>
                        <w:p>
                          <w:pPr>
                            <w:spacing w:line="360" w:lineRule="auto"/>
                            <w:ind w:firstLine="720"/>
                            <w:jc w:val="both"/>
                            <w:rPr>
                              <w:rFonts w:eastAsia="Calibri"/>
                              <w:szCs w:val="24"/>
                            </w:rPr>
                          </w:pPr>
                          <w:sdt>
                            <w:sdtPr>
                              <w:alias w:val="Numeris"/>
                              <w:tag w:val="nr_7994eb880428423eae44ac7cec96ec79"/>
                              <w:lock w:val="sdtLocked"/>
                              <w:richText/>
                            </w:sdtPr>
                            <w:sdtContent>
                              <w:r>
                                <w:rPr>
                                  <w:rFonts w:eastAsia="Calibri"/>
                                  <w:szCs w:val="24"/>
                                </w:rPr>
                                <w:t>1</w:t>
                              </w:r>
                            </w:sdtContent>
                          </w:sdt>
                          <w:r>
                            <w:rPr>
                              <w:rFonts w:eastAsia="Calibri"/>
                              <w:szCs w:val="24"/>
                            </w:rPr>
                            <w:t xml:space="preserve">) </w:t>
                          </w:r>
                          <w:r>
                            <w:rPr>
                              <w:szCs w:val="24"/>
                            </w:rPr>
                            <w:t xml:space="preserve">šio įstatymo 3 straipsnio 1 dalyje nurodytų darbdavių darbuotojų negautoms priskaičiuotoms su darbo santykiais susijusioms sumoms, nuo kurių skaičiuojamos valstybinio socialinio draudimo įmokos, neviršijančioms šio įstatymo 7 straipsnyje nustatytų dydžių, </w:t>
                          </w:r>
                          <w:r>
                            <w:rPr>
                              <w:rFonts w:eastAsia="Calibri"/>
                              <w:szCs w:val="24"/>
                            </w:rPr>
                            <w:t>mokėti;</w:t>
                          </w:r>
                        </w:p>
                      </w:sdtContent>
                    </w:sdt>
                    <w:sdt>
                      <w:sdtPr>
                        <w:alias w:val="6 str. 1 d. 2 p."/>
                        <w:tag w:val="part_33964ceba8254006a206338be81d90fa"/>
                        <w:lock w:val="sdtLocked"/>
                        <w:richText/>
                      </w:sdtPr>
                      <w:sdtContent>
                        <w:p>
                          <w:pPr>
                            <w:spacing w:line="360" w:lineRule="auto"/>
                            <w:ind w:firstLine="720"/>
                            <w:jc w:val="both"/>
                            <w:rPr>
                              <w:rFonts w:eastAsia="Calibri"/>
                              <w:szCs w:val="24"/>
                            </w:rPr>
                          </w:pPr>
                          <w:sdt>
                            <w:sdtPr>
                              <w:alias w:val="Numeris"/>
                              <w:tag w:val="nr_33964ceba8254006a206338be81d90fa"/>
                              <w:lock w:val="sdtLocked"/>
                              <w:richText/>
                            </w:sdtPr>
                            <w:sdtContent>
                              <w:r>
                                <w:rPr>
                                  <w:szCs w:val="24"/>
                                  <w:lang w:eastAsia="lt-LT"/>
                                </w:rPr>
                                <w:t>2</w:t>
                              </w:r>
                            </w:sdtContent>
                          </w:sdt>
                          <w:r>
                            <w:rPr>
                              <w:szCs w:val="24"/>
                              <w:lang w:eastAsia="lt-LT"/>
                            </w:rPr>
                            <w:t xml:space="preserve">) </w:t>
                          </w:r>
                          <w:r>
                            <w:rPr>
                              <w:szCs w:val="24"/>
                            </w:rPr>
                            <w:t>mokesčiams,</w:t>
                          </w:r>
                          <w:r>
                            <w:rPr>
                              <w:rFonts w:eastAsia="Calibri"/>
                              <w:szCs w:val="24"/>
                            </w:rPr>
                            <w:t xml:space="preserve"> </w:t>
                          </w:r>
                          <w:r>
                            <w:rPr>
                              <w:szCs w:val="24"/>
                            </w:rPr>
                            <w:t>nurodytiems Lietuvos Respublikos mokesčių administravimo įstatymo 13 straipsnyje (išskyrus gyventojų pajamų mokestį), kurie skaičiuojami nuo darbuotojams priskaičiuotų sumų, mokėti, kaip nurodyta Garantinio fondo nuostatuose</w:t>
                          </w:r>
                          <w:r>
                            <w:rPr>
                              <w:rFonts w:eastAsia="Calibri"/>
                              <w:szCs w:val="24"/>
                            </w:rPr>
                            <w:t>;</w:t>
                          </w:r>
                        </w:p>
                      </w:sdtContent>
                    </w:sdt>
                    <w:sdt>
                      <w:sdtPr>
                        <w:alias w:val="6 str. 1 d. 3 p."/>
                        <w:tag w:val="part_d553a7abad8641a4bfa24b3551cb408a"/>
                        <w:lock w:val="sdtLocked"/>
                        <w:richText/>
                      </w:sdtPr>
                      <w:sdtContent>
                        <w:p>
                          <w:pPr>
                            <w:spacing w:line="360" w:lineRule="auto"/>
                            <w:ind w:firstLine="720"/>
                            <w:jc w:val="both"/>
                            <w:rPr>
                              <w:szCs w:val="24"/>
                            </w:rPr>
                          </w:pPr>
                          <w:sdt>
                            <w:sdtPr>
                              <w:alias w:val="Numeris"/>
                              <w:tag w:val="nr_d553a7abad8641a4bfa24b3551cb408a"/>
                              <w:lock w:val="sdtLocked"/>
                              <w:richText/>
                            </w:sdtPr>
                            <w:sdtContent>
                              <w:r>
                                <w:rPr>
                                  <w:rFonts w:eastAsia="Calibri"/>
                                  <w:szCs w:val="24"/>
                                </w:rPr>
                                <w:t>3</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1 d. 4 p."/>
                        <w:tag w:val="part_4b2986a01d6445e7963f3a22a6b20bc7"/>
                        <w:lock w:val="sdtLocked"/>
                        <w:richText/>
                      </w:sdtPr>
                      <w:sdtContent>
                        <w:p>
                          <w:pPr>
                            <w:spacing w:line="360" w:lineRule="auto"/>
                            <w:ind w:firstLine="720"/>
                            <w:jc w:val="both"/>
                            <w:rPr>
                              <w:rFonts w:eastAsia="Calibri"/>
                              <w:b/>
                              <w:szCs w:val="24"/>
                            </w:rPr>
                          </w:pPr>
                          <w:sdt>
                            <w:sdtPr>
                              <w:alias w:val="Numeris"/>
                              <w:tag w:val="nr_4b2986a01d6445e7963f3a22a6b20bc7"/>
                              <w:lock w:val="sdtLocked"/>
                              <w:richText/>
                            </w:sdtPr>
                            <w:sdtContent>
                              <w:r>
                                <w:rPr>
                                  <w:szCs w:val="24"/>
                                  <w:lang w:eastAsia="lt-LT"/>
                                </w:rPr>
                                <w:t>4</w:t>
                              </w:r>
                            </w:sdtContent>
                          </w:sdt>
                          <w:r>
                            <w:rPr>
                              <w:szCs w:val="24"/>
                              <w:lang w:eastAsia="lt-LT"/>
                            </w:rPr>
                            <w:t>) Garantinio fondo administravimo išlaidoms apmokėti Garantinio fondo nuostatuose nustatyta tvarka ir laikinai laisvų Garantinio fondo lėšų investavimo išlaidoms apmokėti finansų ministro nustatyta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7 str."/>
                <w:tag w:val="part_2d4cb8ba274242a3aaba57a4a436617b"/>
                <w:lock w:val="sdtLocked"/>
                <w:richText/>
              </w:sdtPr>
              <w:sdtContent>
                <w:p>
                  <w:pPr>
                    <w:spacing w:line="360" w:lineRule="auto"/>
                    <w:ind w:firstLine="720"/>
                    <w:jc w:val="both"/>
                    <w:rPr>
                      <w:rFonts w:eastAsia="Calibri"/>
                      <w:szCs w:val="24"/>
                    </w:rPr>
                  </w:pPr>
                  <w:sdt>
                    <w:sdtPr>
                      <w:alias w:val="Numeris"/>
                      <w:tag w:val="nr_2d4cb8ba274242a3aaba57a4a436617b"/>
                      <w:lock w:val="sdtLocked"/>
                      <w:richText/>
                    </w:sdtPr>
                    <w:sdtContent>
                      <w:r>
                        <w:rPr>
                          <w:rFonts w:eastAsia="Calibri"/>
                          <w:b/>
                          <w:szCs w:val="24"/>
                        </w:rPr>
                        <w:t>7</w:t>
                      </w:r>
                    </w:sdtContent>
                  </w:sdt>
                  <w:r>
                    <w:rPr>
                      <w:rFonts w:eastAsia="Calibri"/>
                      <w:b/>
                      <w:szCs w:val="24"/>
                    </w:rPr>
                    <w:t xml:space="preserve"> straipsnis. </w:t>
                  </w:r>
                  <w:sdt>
                    <w:sdtPr>
                      <w:alias w:val="Pavadinimas"/>
                      <w:tag w:val="title_2d4cb8ba274242a3aaba57a4a436617b"/>
                      <w:lock w:val="sdtLocked"/>
                      <w:richText/>
                    </w:sdtPr>
                    <w:sdtContent>
                      <w:r>
                        <w:rPr>
                          <w:rFonts w:eastAsia="Calibri"/>
                          <w:b/>
                          <w:szCs w:val="24"/>
                        </w:rPr>
                        <w:t>Išmokų iš Garantinio fondo skaičiavimo tvarka</w:t>
                      </w:r>
                    </w:sdtContent>
                  </w:sdt>
                </w:p>
                <w:sdt>
                  <w:sdtPr>
                    <w:alias w:val="7 str. 1 d."/>
                    <w:tag w:val="part_c465f5aaae0a4560b52e2c946a83b958"/>
                    <w:lock w:val="sdtLocked"/>
                    <w:richText/>
                  </w:sdtPr>
                  <w:sdtContent>
                    <w:p>
                      <w:pPr>
                        <w:spacing w:line="360" w:lineRule="auto"/>
                        <w:ind w:firstLine="720"/>
                        <w:jc w:val="both"/>
                        <w:rPr>
                          <w:szCs w:val="24"/>
                        </w:rPr>
                      </w:pPr>
                      <w:sdt>
                        <w:sdtPr>
                          <w:alias w:val="Numeris"/>
                          <w:tag w:val="nr_c465f5aaae0a4560b52e2c946a83b958"/>
                          <w:lock w:val="sdtLocked"/>
                          <w:richText/>
                        </w:sdtPr>
                        <w:sdtContent>
                          <w:r>
                            <w:rPr>
                              <w:szCs w:val="24"/>
                            </w:rPr>
                            <w:t>1</w:t>
                          </w:r>
                        </w:sdtContent>
                      </w:sdt>
                      <w:r>
                        <w:rPr>
                          <w:szCs w:val="24"/>
                        </w:rPr>
                        <w:t>. Išmokos, nurodytos šio įstatymo 6 straipsnio 1 punkte, apskaičiuojamos:</w:t>
                      </w:r>
                    </w:p>
                    <w:sdt>
                      <w:sdtPr>
                        <w:alias w:val="7 str. 1 d. 1 p."/>
                        <w:tag w:val="part_2f4885c352a1411c90083a543d730b75"/>
                        <w:lock w:val="sdtLocked"/>
                        <w:richText/>
                      </w:sdtPr>
                      <w:sdtContent>
                        <w:p>
                          <w:pPr>
                            <w:spacing w:line="360" w:lineRule="auto"/>
                            <w:ind w:firstLine="720"/>
                            <w:jc w:val="both"/>
                            <w:rPr>
                              <w:szCs w:val="24"/>
                            </w:rPr>
                          </w:pPr>
                          <w:sdt>
                            <w:sdtPr>
                              <w:alias w:val="Numeris"/>
                              <w:tag w:val="nr_2f4885c352a1411c90083a543d730b75"/>
                              <w:lock w:val="sdtLocked"/>
                              <w:richText/>
                            </w:sdtPr>
                            <w:sdtContent>
                              <w:r>
                                <w:rPr>
                                  <w:szCs w:val="24"/>
                                </w:rPr>
                                <w:t>1</w:t>
                              </w:r>
                            </w:sdtContent>
                          </w:sdt>
                          <w:r>
                            <w:rPr>
                              <w:szCs w:val="24"/>
                            </w:rPr>
                            <w:t>) kai darbdaviui iškelta bankroto byla arba bankroto procesas vykdomas ne teismo tvarka, – pagal teismo nutartimi ar kreditorių susirinkimo sprendimu patvirtintas darbuotojų reikalavimų sumas, susijusias su darbo santykiais, nuo kurių skaičiuojamos valstybinio socialinio draudimo įmokos. Tuo atveju, jeigu darbuotojų reikalavimų sumos neviršija šešių minimaliųjų mėnesinių algų dydžio, darbuotojui išmokama patvirtinto reikalavimo šių sumų dydžio išmoka. Tuo atveju, jeigu reikalavimo suma viršija šešių minimaliųjų mėnesinių algų dydį, darbuotojui išmokama šešių minimaliųjų mėnesinių algų dydžio išmoka;</w:t>
                          </w:r>
                        </w:p>
                      </w:sdtContent>
                    </w:sdt>
                    <w:sdt>
                      <w:sdtPr>
                        <w:alias w:val="7 str. 1 d. 2 p."/>
                        <w:tag w:val="part_b04f14a270b94af08bcc2f6041333666"/>
                        <w:lock w:val="sdtLocked"/>
                        <w:richText/>
                      </w:sdtPr>
                      <w:sdtContent>
                        <w:p>
                          <w:pPr>
                            <w:spacing w:line="360" w:lineRule="auto"/>
                            <w:ind w:firstLine="720"/>
                            <w:jc w:val="both"/>
                            <w:rPr>
                              <w:szCs w:val="24"/>
                            </w:rPr>
                          </w:pPr>
                          <w:sdt>
                            <w:sdtPr>
                              <w:alias w:val="Numeris"/>
                              <w:tag w:val="nr_b04f14a270b94af08bcc2f6041333666"/>
                              <w:lock w:val="sdtLocked"/>
                              <w:richText/>
                            </w:sdtPr>
                            <w:sdtContent>
                              <w:r>
                                <w:rPr>
                                  <w:rFonts w:eastAsia="Calibri"/>
                                  <w:szCs w:val="24"/>
                                </w:rPr>
                                <w:t>2</w:t>
                              </w:r>
                            </w:sdtContent>
                          </w:sdt>
                          <w:r>
                            <w:rPr>
                              <w:rFonts w:eastAsia="Calibri"/>
                              <w:szCs w:val="24"/>
                            </w:rPr>
                            <w:t xml:space="preserve">) kai </w:t>
                          </w:r>
                          <w:r>
                            <w:rPr>
                              <w:szCs w:val="24"/>
                            </w:rPr>
                            <w:t>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nuo kurių skaičiuojamos valstybinio socialinio draudimo įmokos. Darbuotojui išmokama minėtu laikotarpiu priskaičiuotų su darbo santykiais susijusių pajamų, išskaičiavus mokesčius, dydžio išmoka, tačiau ne didesnė negu šešių minimaliųjų mėnesinių algų dydžio.</w:t>
                          </w:r>
                        </w:p>
                      </w:sdtContent>
                    </w:sdt>
                  </w:sdtContent>
                </w:sdt>
                <w:sdt>
                  <w:sdtPr>
                    <w:alias w:val="7 str. 2 d."/>
                    <w:tag w:val="part_52859383a9bc4a32916badf632477b42"/>
                    <w:lock w:val="sdtLocked"/>
                    <w:richText/>
                  </w:sdtPr>
                  <w:sdtContent>
                    <w:p>
                      <w:pPr>
                        <w:spacing w:line="360" w:lineRule="auto"/>
                        <w:ind w:firstLine="720"/>
                        <w:jc w:val="both"/>
                        <w:rPr>
                          <w:rFonts w:eastAsia="Calibri"/>
                          <w:szCs w:val="24"/>
                        </w:rPr>
                      </w:pPr>
                      <w:sdt>
                        <w:sdtPr>
                          <w:alias w:val="Numeris"/>
                          <w:tag w:val="nr_52859383a9bc4a32916badf632477b42"/>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c40acf7515d0469bad513a8a6cd8bc61"/>
                        <w:lock w:val="sdtLocked"/>
                        <w:richText/>
                      </w:sdtPr>
                      <w:sdtContent>
                        <w:p>
                          <w:pPr>
                            <w:spacing w:line="360" w:lineRule="auto"/>
                            <w:ind w:firstLine="720"/>
                            <w:jc w:val="both"/>
                            <w:rPr>
                              <w:b/>
                              <w:szCs w:val="24"/>
                            </w:rPr>
                          </w:pPr>
                          <w:sdt>
                            <w:sdtPr>
                              <w:alias w:val="Numeris"/>
                              <w:tag w:val="nr_c40acf7515d0469bad513a8a6cd8bc61"/>
                              <w:lock w:val="sdtLocked"/>
                              <w:richText/>
                            </w:sdtPr>
                            <w:sdtContent>
                              <w:r>
                                <w:rPr>
                                  <w:rFonts w:eastAsia="Calibri"/>
                                  <w:szCs w:val="24"/>
                                </w:rPr>
                                <w:t>1</w:t>
                              </w:r>
                            </w:sdtContent>
                          </w:sdt>
                          <w:r>
                            <w:rPr>
                              <w:rFonts w:eastAsia="Calibri"/>
                              <w:szCs w:val="24"/>
                            </w:rPr>
                            <w:t>) teismo nutarties iškelti bankroto bylą priėmimo dieną;</w:t>
                          </w:r>
                          <w:r>
                            <w:rPr>
                              <w:szCs w:val="24"/>
                            </w:rPr>
                            <w:t xml:space="preserve"> </w:t>
                          </w:r>
                        </w:p>
                      </w:sdtContent>
                    </w:sdt>
                    <w:sdt>
                      <w:sdtPr>
                        <w:alias w:val="7 str. 2 d. 2 p."/>
                        <w:tag w:val="part_ee262d4a7fc94f96a311408fa6ee1d9a"/>
                        <w:lock w:val="sdtLocked"/>
                        <w:richText/>
                      </w:sdtPr>
                      <w:sdtContent>
                        <w:p>
                          <w:pPr>
                            <w:spacing w:line="360" w:lineRule="auto"/>
                            <w:ind w:firstLine="720"/>
                            <w:jc w:val="both"/>
                            <w:rPr>
                              <w:rFonts w:eastAsia="Calibri"/>
                              <w:szCs w:val="24"/>
                            </w:rPr>
                          </w:pPr>
                          <w:sdt>
                            <w:sdtPr>
                              <w:alias w:val="Numeris"/>
                              <w:tag w:val="nr_ee262d4a7fc94f96a311408fa6ee1d9a"/>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da8dde8c62794a2e9c20443ba06167ae"/>
                        <w:lock w:val="sdtLocked"/>
                        <w:richText/>
                      </w:sdtPr>
                      <w:sdtContent>
                        <w:p>
                          <w:pPr>
                            <w:spacing w:line="360" w:lineRule="auto"/>
                            <w:ind w:firstLine="720"/>
                            <w:jc w:val="both"/>
                            <w:rPr>
                              <w:rFonts w:eastAsia="Calibri"/>
                              <w:szCs w:val="24"/>
                            </w:rPr>
                          </w:pPr>
                          <w:sdt>
                            <w:sdtPr>
                              <w:alias w:val="Numeris"/>
                              <w:tag w:val="nr_da8dde8c62794a2e9c20443ba06167ae"/>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c33517d37c8a4162b50fd10b2248e191"/>
                    <w:lock w:val="sdtLocked"/>
                    <w:richText/>
                  </w:sdtPr>
                  <w:sdtContent>
                    <w:p>
                      <w:pPr>
                        <w:spacing w:line="360" w:lineRule="auto"/>
                        <w:ind w:firstLine="720"/>
                        <w:jc w:val="both"/>
                        <w:rPr>
                          <w:rFonts w:eastAsia="Calibri"/>
                          <w:b/>
                          <w:szCs w:val="24"/>
                        </w:rPr>
                      </w:pPr>
                      <w:sdt>
                        <w:sdtPr>
                          <w:alias w:val="Numeris"/>
                          <w:tag w:val="nr_c33517d37c8a4162b50fd10b2248e191"/>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8 str."/>
                <w:tag w:val="part_9d4053a1a14e4817a20d6c0a2860a946"/>
                <w:lock w:val="sdtLocked"/>
                <w:richText/>
              </w:sdtPr>
              <w:sdtContent>
                <w:p>
                  <w:pPr>
                    <w:spacing w:line="360" w:lineRule="auto"/>
                    <w:ind w:firstLine="720"/>
                    <w:jc w:val="both"/>
                    <w:rPr>
                      <w:szCs w:val="24"/>
                    </w:rPr>
                  </w:pPr>
                  <w:sdt>
                    <w:sdtPr>
                      <w:alias w:val="Numeris"/>
                      <w:tag w:val="nr_9d4053a1a14e4817a20d6c0a2860a946"/>
                      <w:lock w:val="sdtLocked"/>
                      <w:richText/>
                    </w:sdtPr>
                    <w:sdtContent>
                      <w:r>
                        <w:rPr>
                          <w:rFonts w:eastAsia="Calibri"/>
                          <w:b/>
                          <w:szCs w:val="24"/>
                        </w:rPr>
                        <w:t>8</w:t>
                      </w:r>
                    </w:sdtContent>
                  </w:sdt>
                  <w:r>
                    <w:rPr>
                      <w:rFonts w:eastAsia="Calibri"/>
                      <w:b/>
                      <w:szCs w:val="24"/>
                    </w:rPr>
                    <w:t xml:space="preserve"> straipsnis. </w:t>
                  </w:r>
                  <w:sdt>
                    <w:sdtPr>
                      <w:alias w:val="Pavadinimas"/>
                      <w:tag w:val="title_9d4053a1a14e4817a20d6c0a2860a946"/>
                      <w:lock w:val="sdtLocked"/>
                      <w:richText/>
                    </w:sdtPr>
                    <w:sdtContent>
                      <w:r>
                        <w:rPr>
                          <w:rFonts w:eastAsia="Calibri"/>
                          <w:b/>
                          <w:szCs w:val="24"/>
                        </w:rPr>
                        <w:t>Garantinio fondo lėšų skyrimo ir mokėjimo tvarka</w:t>
                      </w:r>
                    </w:sdtContent>
                  </w:sdt>
                </w:p>
                <w:sdt>
                  <w:sdtPr>
                    <w:alias w:val="8 str. 1 d."/>
                    <w:tag w:val="part_9ffe7b91d375473b94a42229e3910171"/>
                    <w:lock w:val="sdtLocked"/>
                    <w:richText/>
                  </w:sdtPr>
                  <w:sdtContent>
                    <w:p>
                      <w:pPr>
                        <w:spacing w:line="360" w:lineRule="auto"/>
                        <w:ind w:firstLine="720"/>
                        <w:jc w:val="both"/>
                        <w:rPr>
                          <w:rFonts w:eastAsia="Calibri"/>
                          <w:szCs w:val="24"/>
                        </w:rPr>
                      </w:pPr>
                      <w:sdt>
                        <w:sdtPr>
                          <w:alias w:val="Numeris"/>
                          <w:tag w:val="nr_9ffe7b91d375473b94a42229e3910171"/>
                          <w:lock w:val="sdtLocked"/>
                          <w:richText/>
                        </w:sdtPr>
                        <w:sdtContent>
                          <w:r>
                            <w:rPr>
                              <w:rFonts w:eastAsia="Calibri"/>
                              <w:szCs w:val="24"/>
                            </w:rPr>
                            <w:t>1</w:t>
                          </w:r>
                        </w:sdtContent>
                      </w:sdt>
                      <w:r>
                        <w:rPr>
                          <w:rFonts w:eastAsia="Calibri"/>
                          <w:szCs w:val="24"/>
                        </w:rPr>
                        <w:t xml:space="preserve">. Įsiteisėjusi teismo nutartis arba kreditorių susirinkimo sprendimas patvirtinti </w:t>
                      </w:r>
                      <w:r>
                        <w:rPr>
                          <w:szCs w:val="24"/>
                        </w:rPr>
                        <w:t>darbuotojų reikalavimus,</w:t>
                      </w:r>
                      <w:r>
                        <w:rPr>
                          <w:rFonts w:eastAsia="Calibri"/>
                          <w:szCs w:val="24"/>
                        </w:rPr>
                        <w:t xml:space="preserve"> susijusius su darbo santykiais, ar </w:t>
                      </w:r>
                      <w:r>
                        <w:rPr>
                          <w:szCs w:val="24"/>
                        </w:rPr>
                        <w:t>teismo nutartis atsisakyti iškelti nemokiam juridiniam asmeniui bankroto bylą ir siūlyti inicijuoti jo likvidavimą Juridinių asmenų registro tvarkytojo iniciatyva</w:t>
                      </w:r>
                      <w:r>
                        <w:rPr>
                          <w:rFonts w:eastAsia="Calibri"/>
                          <w:szCs w:val="24"/>
                        </w:rPr>
                        <w:t xml:space="preserve"> yra dokumentai, kuriais patvirtinama darbuotojų teisė gauti su darbo santykiais susijusią</w:t>
                      </w:r>
                      <w:r>
                        <w:rPr>
                          <w:rFonts w:eastAsia="Calibri"/>
                          <w:b/>
                          <w:szCs w:val="24"/>
                        </w:rPr>
                        <w:t xml:space="preserve"> </w:t>
                      </w:r>
                      <w:r>
                        <w:rPr>
                          <w:rFonts w:eastAsia="Calibri"/>
                          <w:szCs w:val="24"/>
                        </w:rPr>
                        <w:t>išmoką iš Garantinio fondo. Šie dokumentai administratoriui pateikiami Juridinių asmenų nemokumo įstatymo ir Fizinių asmenų bankroto įstatymo nustatyta tvarka.</w:t>
                      </w:r>
                    </w:p>
                  </w:sdtContent>
                </w:sdt>
                <w:sdt>
                  <w:sdtPr>
                    <w:alias w:val="8 str. 2 d."/>
                    <w:tag w:val="part_5608acf0d539478996ad54f983d5e427"/>
                    <w:lock w:val="sdtLocked"/>
                    <w:richText/>
                  </w:sdtPr>
                  <w:sdtContent>
                    <w:p>
                      <w:pPr>
                        <w:spacing w:line="360" w:lineRule="auto"/>
                        <w:ind w:firstLine="720"/>
                        <w:jc w:val="both"/>
                        <w:rPr>
                          <w:szCs w:val="24"/>
                        </w:rPr>
                      </w:pPr>
                      <w:sdt>
                        <w:sdtPr>
                          <w:alias w:val="Numeris"/>
                          <w:tag w:val="nr_5608acf0d539478996ad54f983d5e427"/>
                          <w:lock w:val="sdtLocked"/>
                          <w:richText/>
                        </w:sdtPr>
                        <w:sdtContent>
                          <w:r>
                            <w:rPr>
                              <w:rFonts w:eastAsia="Calibri"/>
                              <w:szCs w:val="24"/>
                            </w:rPr>
                            <w:t>2</w:t>
                          </w:r>
                        </w:sdtContent>
                      </w:sdt>
                      <w:r>
                        <w:rPr>
                          <w:rFonts w:eastAsia="Calibri"/>
                          <w:szCs w:val="24"/>
                        </w:rPr>
                        <w:t xml:space="preserve">. </w:t>
                      </w:r>
                      <w:r>
                        <w:rPr>
                          <w:szCs w:val="24"/>
                        </w:rPr>
                        <w:t>Išmokos iš Garantinio fondo šio įstatymo 3 straipsnio 1 dalyje nurodytiems darbuotojams skiriamos, jeigu jie Garantinio fondo nuostatuose nustatyta tvarka ne vėliau kaip per 6 mėnesius nuo šio straipsnio 1 dalyje nurodytų dokumentų įsiteisėjimo dienos kreipėsi į administratorių.</w:t>
                      </w:r>
                    </w:p>
                  </w:sdtContent>
                </w:sdt>
                <w:sdt>
                  <w:sdtPr>
                    <w:alias w:val="8 str. 3 d."/>
                    <w:tag w:val="part_4175de1c1bd7483d9de69d71868b3e4e"/>
                    <w:lock w:val="sdtLocked"/>
                    <w:richText/>
                  </w:sdtPr>
                  <w:sdtContent>
                    <w:p>
                      <w:pPr>
                        <w:spacing w:line="360" w:lineRule="auto"/>
                        <w:ind w:firstLine="720"/>
                        <w:jc w:val="both"/>
                        <w:rPr>
                          <w:szCs w:val="24"/>
                        </w:rPr>
                      </w:pPr>
                      <w:sdt>
                        <w:sdtPr>
                          <w:alias w:val="Numeris"/>
                          <w:tag w:val="nr_4175de1c1bd7483d9de69d71868b3e4e"/>
                          <w:lock w:val="sdtLocked"/>
                          <w:richText/>
                        </w:sdtPr>
                        <w:sdtContent>
                          <w:r>
                            <w:rPr>
                              <w:szCs w:val="24"/>
                            </w:rPr>
                            <w:t>3</w:t>
                          </w:r>
                        </w:sdtContent>
                      </w:sdt>
                      <w:r>
                        <w:rPr>
                          <w:szCs w:val="24"/>
                        </w:rPr>
                        <w:t>. Administratorius Garantinio fondo nuostatuose nustatyta tvarka ir terminais apskaičiuoja šio įstatymo 6 straipsnio 1 ir 2 punktuose nustatytas sumas ir priima sprendimus dėl Garantinio fondo lėšų skyrimo ir išmokėjimo.</w:t>
                      </w:r>
                    </w:p>
                  </w:sdtContent>
                </w:sdt>
                <w:sdt>
                  <w:sdtPr>
                    <w:alias w:val="8 str. 4 d."/>
                    <w:tag w:val="part_bc6d42f4146942fca3ab2b22d3313516"/>
                    <w:lock w:val="sdtLocked"/>
                    <w:richText/>
                  </w:sdtPr>
                  <w:sdtContent>
                    <w:p>
                      <w:pPr>
                        <w:spacing w:line="360" w:lineRule="auto"/>
                        <w:ind w:firstLine="720"/>
                        <w:jc w:val="both"/>
                        <w:rPr>
                          <w:strike/>
                          <w:szCs w:val="24"/>
                        </w:rPr>
                      </w:pPr>
                      <w:sdt>
                        <w:sdtPr>
                          <w:alias w:val="Numeris"/>
                          <w:tag w:val="nr_bc6d42f4146942fca3ab2b22d3313516"/>
                          <w:lock w:val="sdtLocked"/>
                          <w:richText/>
                        </w:sdtPr>
                        <w:sdtContent>
                          <w:r>
                            <w:rPr>
                              <w:rFonts w:eastAsia="Calibri"/>
                              <w:szCs w:val="24"/>
                            </w:rPr>
                            <w:t>4</w:t>
                          </w:r>
                        </w:sdtContent>
                      </w:sdt>
                      <w:r>
                        <w:rPr>
                          <w:rFonts w:eastAsia="Calibri"/>
                          <w:szCs w:val="24"/>
                        </w:rPr>
                        <w:t xml:space="preserve">. Išmokos iš Garantinio fondo neskiriamos </w:t>
                      </w:r>
                      <w:r>
                        <w:rPr>
                          <w:szCs w:val="24"/>
                        </w:rPr>
                        <w:t xml:space="preserve">darbuotojui, kuriam išmokos, analogiškos šio įstatymo 6 straipsnio 1 ir 2 punktuose nurodytoms išmokoms iš Garantinio fondo, buvo skirtos kitų valstybių narių institucijų, atliekančių garantijų institucijų funkcijas. Jeigu šioje dalyje nurodytam darbuotojui buvo skirtos išmokos iš Garantinio fondo, administratorius priima sprendimą dėl darbuotojui skirtų išmokų iš Garantinio fondo grąžinimo. Šios išmokos iš Garantinio fondo grąžinamos Vyriausybės nustatyta tvarka. </w:t>
                      </w:r>
                    </w:p>
                  </w:sdtContent>
                </w:sdt>
                <w:sdt>
                  <w:sdtPr>
                    <w:alias w:val="8 str. 5 d."/>
                    <w:tag w:val="part_a472274fbbe0473e8e30a6881ce57a45"/>
                    <w:lock w:val="sdtLocked"/>
                    <w:richText/>
                  </w:sdtPr>
                  <w:sdtContent>
                    <w:p>
                      <w:pPr>
                        <w:spacing w:line="360" w:lineRule="auto"/>
                        <w:ind w:firstLine="720"/>
                        <w:jc w:val="both"/>
                        <w:rPr>
                          <w:szCs w:val="24"/>
                        </w:rPr>
                      </w:pPr>
                      <w:sdt>
                        <w:sdtPr>
                          <w:alias w:val="Numeris"/>
                          <w:tag w:val="nr_a472274fbbe0473e8e30a6881ce57a45"/>
                          <w:lock w:val="sdtLocked"/>
                          <w:richText/>
                        </w:sdtPr>
                        <w:sdtContent>
                          <w:r>
                            <w:rPr>
                              <w:rFonts w:eastAsia="Calibri"/>
                              <w:szCs w:val="24"/>
                            </w:rPr>
                            <w:t>5</w:t>
                          </w:r>
                        </w:sdtContent>
                      </w:sdt>
                      <w:r>
                        <w:rPr>
                          <w:rFonts w:eastAsia="Calibri"/>
                          <w:szCs w:val="24"/>
                        </w:rPr>
                        <w:t>. Administratoriaus sprendimai gali būti skundžiami Lietuvos Respublikos administracinių bylų teisenos įstatymo nustatyta tvarka.</w:t>
                      </w:r>
                    </w:p>
                  </w:sdtContent>
                </w:sdt>
                <w:sdt>
                  <w:sdtPr>
                    <w:alias w:val="8 str. 6 d."/>
                    <w:tag w:val="part_47b69ce905674c819520c82c117786a0"/>
                    <w:lock w:val="sdtLocked"/>
                    <w:richText/>
                  </w:sdtPr>
                  <w:sdtContent>
                    <w:p>
                      <w:pPr>
                        <w:spacing w:line="360" w:lineRule="auto"/>
                        <w:ind w:firstLine="720"/>
                        <w:jc w:val="both"/>
                        <w:rPr>
                          <w:szCs w:val="24"/>
                        </w:rPr>
                      </w:pPr>
                      <w:sdt>
                        <w:sdtPr>
                          <w:alias w:val="Numeris"/>
                          <w:tag w:val="nr_47b69ce905674c819520c82c117786a0"/>
                          <w:lock w:val="sdtLocked"/>
                          <w:richText/>
                        </w:sdtPr>
                        <w:sdtContent>
                          <w:r>
                            <w:rPr>
                              <w:rFonts w:eastAsia="Calibri"/>
                              <w:szCs w:val="24"/>
                            </w:rPr>
                            <w:t>6</w:t>
                          </w:r>
                        </w:sdtContent>
                      </w:sdt>
                      <w:r>
                        <w:rPr>
                          <w:rFonts w:eastAsia="Calibri"/>
                          <w:szCs w:val="24"/>
                        </w:rPr>
                        <w:t>. Patvirtinta darbuotojų reikalavimų, susijusių su darbo santykiais, suma mažinama iš Garantinio fondo sumokėtos išmokos suma. Administratorius turi atgręžtinio reikalavimo teisę išieškoti šią sumą iš darbdavio. Administratoriaus reikalavimai tenkinami Juridinių asmenų nemokumo įstatymo ir Fizinių asmenų bankroto įstatymo nustatyta tvarka.</w:t>
                      </w:r>
                    </w:p>
                  </w:sdtContent>
                </w:sdt>
                <w:sdt>
                  <w:sdtPr>
                    <w:alias w:val="8 str. 7 d."/>
                    <w:tag w:val="part_389eea0e4e2c49b0adac1ed85fbfd48a"/>
                    <w:lock w:val="sdtLocked"/>
                    <w:richText/>
                  </w:sdtPr>
                  <w:sdtContent>
                    <w:p>
                      <w:pPr>
                        <w:spacing w:line="360" w:lineRule="auto"/>
                        <w:ind w:firstLine="720"/>
                        <w:jc w:val="both"/>
                        <w:rPr>
                          <w:rFonts w:eastAsia="Calibri"/>
                          <w:b/>
                          <w:szCs w:val="24"/>
                        </w:rPr>
                      </w:pPr>
                      <w:sdt>
                        <w:sdtPr>
                          <w:alias w:val="Numeris"/>
                          <w:tag w:val="nr_389eea0e4e2c49b0adac1ed85fbfd48a"/>
                          <w:lock w:val="sdtLocked"/>
                          <w:richText/>
                        </w:sdtPr>
                        <w:sdtContent>
                          <w:r>
                            <w:rPr>
                              <w:rFonts w:eastAsia="Calibri"/>
                              <w:szCs w:val="24"/>
                            </w:rPr>
                            <w:t>7</w:t>
                          </w:r>
                        </w:sdtContent>
                      </w:sdt>
                      <w:r>
                        <w:rPr>
                          <w:rFonts w:eastAsia="Calibri"/>
                          <w:szCs w:val="24"/>
                        </w:rPr>
                        <w:t>. Darbuotojai nepraranda teisės gauti išmokas iš Garantinio fondo darbdaviui į Garantinį fondą nesumokėjus šio įstatymo 5 straipsnio 1 dalies 1 punkte nurodytų įmokų.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Content>
        </w:sdt>
        <w:sdt>
          <w:sdtPr>
            <w:alias w:val="skyrius"/>
            <w:tag w:val="part_4ac4b25c997643bda11657a592575020"/>
            <w:lock w:val="sdtLocked"/>
            <w:richText/>
          </w:sdtPr>
          <w:sdtContent>
            <w:p>
              <w:pPr>
                <w:spacing w:line="360" w:lineRule="auto"/>
                <w:jc w:val="center"/>
                <w:rPr>
                  <w:rFonts w:eastAsia="Calibri"/>
                  <w:b/>
                  <w:szCs w:val="24"/>
                </w:rPr>
              </w:pPr>
              <w:sdt>
                <w:sdtPr>
                  <w:alias w:val="Numeris"/>
                  <w:tag w:val="nr_4ac4b25c997643bda11657a592575020"/>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4ac4b25c997643bda11657a592575020"/>
                  <w:lock w:val="sdtLocked"/>
                  <w:richText/>
                </w:sdtPr>
                <w:sdtContent>
                  <w:r>
                    <w:rPr>
                      <w:rFonts w:eastAsia="Calibri"/>
                      <w:b/>
                      <w:szCs w:val="24"/>
                    </w:rPr>
                    <w:t>PAPILDOMOS FINANSINĖS GARANTIJOS ILGALAIKIO DARBO ATVEJU</w:t>
                  </w:r>
                </w:sdtContent>
              </w:sdt>
            </w:p>
            <w:p>
              <w:pPr>
                <w:spacing w:line="240" w:lineRule="atLeast"/>
                <w:ind w:firstLine="720"/>
                <w:jc w:val="both"/>
                <w:rPr>
                  <w:rFonts w:eastAsia="Calibri"/>
                  <w:b/>
                  <w:szCs w:val="24"/>
                </w:rPr>
              </w:pPr>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10 str."/>
                <w:tag w:val="part_fa8be0298805415fa5cce37c8a03c069"/>
                <w:lock w:val="sdtLocked"/>
                <w:richText/>
              </w:sdtPr>
              <w:sdtContent>
                <w:p>
                  <w:pPr>
                    <w:spacing w:line="360" w:lineRule="auto"/>
                    <w:ind w:firstLine="720"/>
                    <w:jc w:val="both"/>
                    <w:rPr>
                      <w:rFonts w:eastAsia="Calibri"/>
                      <w:b/>
                      <w:szCs w:val="24"/>
                    </w:rPr>
                  </w:pPr>
                  <w:sdt>
                    <w:sdtPr>
                      <w:alias w:val="Numeris"/>
                      <w:tag w:val="nr_fa8be0298805415fa5cce37c8a03c069"/>
                      <w:lock w:val="sdtLocked"/>
                      <w:richText/>
                    </w:sdtPr>
                    <w:sdtContent>
                      <w:r>
                        <w:rPr>
                          <w:rFonts w:eastAsia="Calibri"/>
                          <w:b/>
                          <w:szCs w:val="24"/>
                        </w:rPr>
                        <w:t>10</w:t>
                      </w:r>
                    </w:sdtContent>
                  </w:sdt>
                  <w:r>
                    <w:rPr>
                      <w:rFonts w:eastAsia="Calibri"/>
                      <w:b/>
                      <w:szCs w:val="24"/>
                    </w:rPr>
                    <w:t xml:space="preserve"> straipsnis. </w:t>
                  </w:r>
                  <w:sdt>
                    <w:sdtPr>
                      <w:alias w:val="Pavadinimas"/>
                      <w:tag w:val="title_fa8be0298805415fa5cce37c8a03c069"/>
                      <w:lock w:val="sdtLocked"/>
                      <w:richText/>
                    </w:sdtPr>
                    <w:sdtContent>
                      <w:r>
                        <w:rPr>
                          <w:rFonts w:eastAsia="Calibri"/>
                          <w:b/>
                          <w:szCs w:val="24"/>
                        </w:rPr>
                        <w:t>Ilgalaikio darbo išmokos apskaičiavimo tvarka</w:t>
                      </w:r>
                    </w:sdtContent>
                  </w:sdt>
                </w:p>
                <w:sdt>
                  <w:sdtPr>
                    <w:alias w:val="10 str. 1 d."/>
                    <w:tag w:val="part_4eb9fc91b28246218eb64c8e92cbb5ef"/>
                    <w:lock w:val="sdtLocked"/>
                    <w:richText/>
                  </w:sdtPr>
                  <w:sdtContent>
                    <w:p>
                      <w:pPr>
                        <w:spacing w:line="360" w:lineRule="auto"/>
                        <w:ind w:firstLine="720"/>
                        <w:jc w:val="both"/>
                        <w:rPr>
                          <w:szCs w:val="24"/>
                          <w:lang w:eastAsia="lt-LT"/>
                        </w:rPr>
                      </w:pPr>
                      <w:sdt>
                        <w:sdtPr>
                          <w:alias w:val="Numeris"/>
                          <w:tag w:val="nr_4eb9fc91b28246218eb64c8e92cbb5ef"/>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56ddf861d57f405f90225d1cffa807c4"/>
                        <w:lock w:val="sdtLocked"/>
                        <w:richText/>
                      </w:sdtPr>
                      <w:sdtContent>
                        <w:p>
                          <w:pPr>
                            <w:spacing w:line="360" w:lineRule="auto"/>
                            <w:ind w:firstLine="720"/>
                            <w:jc w:val="both"/>
                            <w:rPr>
                              <w:szCs w:val="24"/>
                              <w:lang w:eastAsia="lt-LT"/>
                            </w:rPr>
                          </w:pPr>
                          <w:sdt>
                            <w:sdtPr>
                              <w:alias w:val="Numeris"/>
                              <w:tag w:val="nr_56ddf861d57f405f90225d1cffa807c4"/>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0 str. 1 d. 2 p."/>
                        <w:tag w:val="part_bb67c863fba34dfbb0a7c480da76e593"/>
                        <w:lock w:val="sdtLocked"/>
                        <w:richText/>
                      </w:sdtPr>
                      <w:sdtContent>
                        <w:p>
                          <w:pPr>
                            <w:spacing w:line="360" w:lineRule="auto"/>
                            <w:ind w:firstLine="720"/>
                            <w:jc w:val="both"/>
                            <w:rPr>
                              <w:szCs w:val="24"/>
                              <w:lang w:eastAsia="lt-LT"/>
                            </w:rPr>
                          </w:pPr>
                          <w:sdt>
                            <w:sdtPr>
                              <w:alias w:val="Numeris"/>
                              <w:tag w:val="nr_bb67c863fba34dfbb0a7c480da76e593"/>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fce4452f54a14ca393cee451ee9fd783"/>
                        <w:lock w:val="sdtLocked"/>
                        <w:richText/>
                      </w:sdtPr>
                      <w:sdtContent>
                        <w:p>
                          <w:pPr>
                            <w:spacing w:line="360" w:lineRule="auto"/>
                            <w:ind w:firstLine="720"/>
                            <w:jc w:val="both"/>
                            <w:rPr>
                              <w:rFonts w:eastAsia="Calibri"/>
                              <w:szCs w:val="24"/>
                            </w:rPr>
                          </w:pPr>
                          <w:sdt>
                            <w:sdtPr>
                              <w:alias w:val="Numeris"/>
                              <w:tag w:val="nr_fce4452f54a14ca393cee451ee9fd783"/>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0 str. 2 d."/>
                    <w:tag w:val="part_06e106d2196243e8b4651bae1583882a"/>
                    <w:lock w:val="sdtLocked"/>
                    <w:richText/>
                  </w:sdtPr>
                  <w:sdtContent>
                    <w:p>
                      <w:pPr>
                        <w:spacing w:line="360" w:lineRule="auto"/>
                        <w:ind w:firstLine="720"/>
                        <w:jc w:val="both"/>
                        <w:rPr>
                          <w:rFonts w:eastAsia="Calibri"/>
                          <w:szCs w:val="24"/>
                        </w:rPr>
                      </w:pPr>
                      <w:sdt>
                        <w:sdtPr>
                          <w:alias w:val="Numeris"/>
                          <w:tag w:val="nr_06e106d2196243e8b4651bae1583882a"/>
                          <w:lock w:val="sdtLocked"/>
                          <w:richText/>
                        </w:sdtPr>
                        <w:sdtContent>
                          <w:r>
                            <w:rPr>
                              <w:szCs w:val="24"/>
                              <w:lang w:eastAsia="lt-LT"/>
                            </w:rPr>
                            <w:t>2</w:t>
                          </w:r>
                        </w:sdtContent>
                      </w:sdt>
                      <w:r>
                        <w:rPr>
                          <w:szCs w:val="24"/>
                          <w:lang w:eastAsia="lt-LT"/>
                        </w:rPr>
                        <w:t>. Nustatant šio straipsnio 1 dalyje nurodytą ilgalaikio darbo išmokos dydį, darbuotojo mėnesinio darbo užmokesčio dydis apskaičiuojamas remiantis Registro duomenimis pagal tam darbuotojui priskaičiuotų su darbo santykiais susijusių pajamų, nuo kurių skaičiuojamos valstybinio socialinio draudimo įmokos, vidurkį.</w:t>
                      </w:r>
                      <w:r>
                        <w:rPr>
                          <w:szCs w:val="24"/>
                        </w:rPr>
                        <w:t xml:space="preserve"> Šis v</w:t>
                      </w:r>
                      <w:r>
                        <w:rPr>
                          <w:bCs/>
                          <w:szCs w:val="24"/>
                        </w:rPr>
                        <w:t>idurkis apskaičiuojamas pagal paskutinių dvylikos mėnesių darbuotojo gautas su darbo santykiais susijusias pajamas Ilgalaikio darbo išmokų fondo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feb50dffa11e7b3f0a470b0373cb2">
                        <w:r w:rsidRPr="00532B9F">
                          <w:rPr>
                            <w:rFonts w:ascii="Times New Roman" w:eastAsia="MS Mincho" w:hAnsi="Times New Roman"/>
                            <w:sz w:val="20"/>
                            <w:i/>
                            <w:iCs/>
                            <w:color w:val="0000FF" w:themeColor="hyperlink"/>
                            <w:u w:val="single"/>
                          </w:rPr>
                          <w:t>XIII-830</w:t>
                        </w:r>
                      </w:fldSimple>
                      <w:r>
                        <w:rPr>
                          <w:rFonts w:ascii="Times New Roman" w:eastAsia="MS Mincho" w:hAnsi="Times New Roman"/>
                          <w:sz w:val="20"/>
                          <w:i/>
                          <w:iCs/>
                        </w:rPr>
                        <w:t>,
2017-12-05,
paskelbta TAR 2017-12-13, i. k. 2017-20027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Content>
            </w:sdt>
            <w:sdt>
              <w:sdtPr>
                <w:alias w:val="11 str."/>
                <w:tag w:val="part_c12c7e9023f44f2abcb6f63322d46e52"/>
                <w:lock w:val="sdtLocked"/>
                <w:richText/>
              </w:sdtPr>
              <w:sdtContent>
                <w:p>
                  <w:pPr>
                    <w:spacing w:line="360" w:lineRule="auto"/>
                    <w:ind w:firstLine="720"/>
                    <w:jc w:val="both"/>
                    <w:rPr>
                      <w:rFonts w:eastAsia="Calibri"/>
                      <w:b/>
                      <w:szCs w:val="24"/>
                    </w:rPr>
                  </w:pPr>
                  <w:sdt>
                    <w:sdtPr>
                      <w:alias w:val="Numeris"/>
                      <w:tag w:val="nr_c12c7e9023f44f2abcb6f63322d46e52"/>
                      <w:lock w:val="sdtLocked"/>
                      <w:richText/>
                    </w:sdtPr>
                    <w:sdtContent>
                      <w:r>
                        <w:rPr>
                          <w:rFonts w:eastAsia="Calibri"/>
                          <w:b/>
                          <w:szCs w:val="24"/>
                        </w:rPr>
                        <w:t>11</w:t>
                      </w:r>
                    </w:sdtContent>
                  </w:sdt>
                  <w:r>
                    <w:rPr>
                      <w:rFonts w:eastAsia="Calibri"/>
                      <w:b/>
                      <w:szCs w:val="24"/>
                    </w:rPr>
                    <w:t xml:space="preserve"> straipsnis. </w:t>
                  </w:r>
                  <w:sdt>
                    <w:sdtPr>
                      <w:alias w:val="Pavadinimas"/>
                      <w:tag w:val="title_c12c7e9023f44f2abcb6f63322d46e52"/>
                      <w:lock w:val="sdtLocked"/>
                      <w:richText/>
                    </w:sdtPr>
                    <w:sdtContent>
                      <w:r>
                        <w:rPr>
                          <w:rFonts w:eastAsia="Calibri"/>
                          <w:b/>
                          <w:szCs w:val="24"/>
                        </w:rPr>
                        <w:t xml:space="preserve">Ilgalaikio darbo išmokų skyrimo ir mokėjimo tvarka </w:t>
                      </w:r>
                    </w:sdtContent>
                  </w:sdt>
                </w:p>
                <w:sdt>
                  <w:sdtPr>
                    <w:alias w:val="11 str. 1 d."/>
                    <w:tag w:val="part_d9315633cde84fff8240817cc3f5cc76"/>
                    <w:lock w:val="sdtLocked"/>
                    <w:richText/>
                  </w:sdtPr>
                  <w:sdtContent>
                    <w:p>
                      <w:pPr>
                        <w:spacing w:line="360" w:lineRule="auto"/>
                        <w:ind w:firstLine="720"/>
                        <w:jc w:val="both"/>
                        <w:rPr>
                          <w:rFonts w:eastAsia="Calibri"/>
                          <w:szCs w:val="24"/>
                        </w:rPr>
                      </w:pPr>
                      <w:sdt>
                        <w:sdtPr>
                          <w:alias w:val="Numeris"/>
                          <w:tag w:val="nr_d9315633cde84fff8240817cc3f5cc76"/>
                          <w:lock w:val="sdtLocked"/>
                          <w:richText/>
                        </w:sdtPr>
                        <w:sdtContent>
                          <w:r>
                            <w:rPr>
                              <w:szCs w:val="24"/>
                              <w:lang w:eastAsia="lt-LT"/>
                            </w:rPr>
                            <w:t>1</w:t>
                          </w:r>
                        </w:sdtContent>
                      </w:sdt>
                      <w:r>
                        <w:rPr>
                          <w:szCs w:val="24"/>
                          <w:lang w:eastAsia="lt-LT"/>
                        </w:rPr>
                        <w:t xml:space="preserve">. Ilgalaikio darbo išmokos šio įstatymo 9 straipsnio 1 dalyje nurodytiems darbuotojams (išskyrus iš biudžetinių įstaigų ir Lietuvos banko atleistus asmenis), kurie ne vėliau kaip per šešis mėnesius po atleidimo iš darbo kreipėsi Ilgalaikio darbo išmokų fondo nuostatuose (toliau – IDIF nuostatai) nustatyta tvarka į administratorių, skiriamos ne anksčiau kaip praėjus trims mėnesiams nuo atleidimo dienos. Ilgalaikio darbo išmokos yra mokamos IDIF nuostatuose nustatyta tvarka iš karto išmokant visą išmokos sumą, apskaičiuotą šio įstatymo 10 straipsnyje nustatyta tvarka. Ilgalaikio darbo išmokos iš biudžetinių įstaigų ir Lietuvos banko atleistiems darbuotojams darbdavio skiriamos ir mokamos </w:t>
                      </w:r>
                      <w:r>
                        <w:rPr>
                          <w:i/>
                          <w:szCs w:val="24"/>
                          <w:lang w:eastAsia="lt-LT"/>
                        </w:rPr>
                        <w:t>mutatis mutandis</w:t>
                      </w:r>
                      <w:r>
                        <w:rPr>
                          <w:szCs w:val="24"/>
                          <w:lang w:eastAsia="lt-LT"/>
                        </w:rPr>
                        <w:t xml:space="preserv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1 str. 2 d."/>
                    <w:tag w:val="part_b906ad8088e845ad8d5e0af663c577a4"/>
                    <w:lock w:val="sdtLocked"/>
                    <w:richText/>
                  </w:sdtPr>
                  <w:sdtContent>
                    <w:p>
                      <w:pPr>
                        <w:spacing w:line="360" w:lineRule="auto"/>
                        <w:ind w:firstLine="720"/>
                        <w:jc w:val="both"/>
                        <w:rPr>
                          <w:rFonts w:eastAsia="Calibri"/>
                          <w:szCs w:val="24"/>
                        </w:rPr>
                      </w:pPr>
                      <w:sdt>
                        <w:sdtPr>
                          <w:alias w:val="Numeris"/>
                          <w:tag w:val="nr_b906ad8088e845ad8d5e0af663c577a4"/>
                          <w:lock w:val="sdtLocked"/>
                          <w:richText/>
                        </w:sdtPr>
                        <w:sdtContent>
                          <w:r>
                            <w:rPr>
                              <w:rFonts w:eastAsia="Calibri"/>
                              <w:szCs w:val="24"/>
                            </w:rPr>
                            <w:t>2</w:t>
                          </w:r>
                        </w:sdtContent>
                      </w:sdt>
                      <w:r>
                        <w:rPr>
                          <w:rFonts w:eastAsia="Calibri"/>
                          <w:szCs w:val="24"/>
                        </w:rPr>
                        <w:t xml:space="preserve">.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 </w:t>
                      </w:r>
                    </w:p>
                  </w:sdtContent>
                </w:sdt>
                <w:sdt>
                  <w:sdtPr>
                    <w:alias w:val="11 str. 3 d."/>
                    <w:tag w:val="part_502b6af9ee114edab8e23d62e2363aae"/>
                    <w:lock w:val="sdtLocked"/>
                    <w:richText/>
                  </w:sdtPr>
                  <w:sdtContent>
                    <w:p>
                      <w:pPr>
                        <w:spacing w:line="360" w:lineRule="auto"/>
                        <w:ind w:firstLine="720"/>
                        <w:jc w:val="both"/>
                        <w:rPr>
                          <w:rFonts w:eastAsia="Calibri"/>
                          <w:szCs w:val="24"/>
                        </w:rPr>
                      </w:pPr>
                      <w:sdt>
                        <w:sdtPr>
                          <w:alias w:val="Numeris"/>
                          <w:tag w:val="nr_502b6af9ee114edab8e23d62e2363aae"/>
                          <w:lock w:val="sdtLocked"/>
                          <w:richText/>
                        </w:sdtPr>
                        <w:sdtContent>
                          <w:r>
                            <w:rPr>
                              <w:rFonts w:eastAsia="Calibri"/>
                              <w:szCs w:val="24"/>
                            </w:rPr>
                            <w:t>3</w:t>
                          </w:r>
                        </w:sdtContent>
                      </w:sdt>
                      <w:r>
                        <w:rPr>
                          <w:rFonts w:eastAsia="Calibri"/>
                          <w:szCs w:val="24"/>
                        </w:rPr>
                        <w:t>. Ilgalaikio darbo išmokoms skirti reikalingi duomenys tikrinami naudojantis Registru ir kitomis reikalingomis duomenų bazėmis bei kita informacija.</w:t>
                      </w:r>
                    </w:p>
                  </w:sdtContent>
                </w:sdt>
                <w:sdt>
                  <w:sdtPr>
                    <w:alias w:val="11 str. 4 d."/>
                    <w:tag w:val="part_50d05c115ee9414797b107d9efcb3b6a"/>
                    <w:lock w:val="sdtLocked"/>
                    <w:richText/>
                  </w:sdtPr>
                  <w:sdtContent>
                    <w:p>
                      <w:pPr>
                        <w:spacing w:line="360" w:lineRule="auto"/>
                        <w:ind w:firstLine="720"/>
                        <w:jc w:val="both"/>
                        <w:rPr>
                          <w:rFonts w:eastAsia="Calibri"/>
                          <w:szCs w:val="24"/>
                        </w:rPr>
                      </w:pPr>
                      <w:sdt>
                        <w:sdtPr>
                          <w:alias w:val="Numeris"/>
                          <w:tag w:val="nr_50d05c115ee9414797b107d9efcb3b6a"/>
                          <w:lock w:val="sdtLocked"/>
                          <w:richText/>
                        </w:sdtPr>
                        <w:sdtContent>
                          <w:r>
                            <w:rPr>
                              <w:rFonts w:eastAsia="Calibri"/>
                              <w:szCs w:val="24"/>
                            </w:rPr>
                            <w:t>4</w:t>
                          </w:r>
                        </w:sdtContent>
                      </w:sdt>
                      <w:r>
                        <w:rPr>
                          <w:rFonts w:eastAsia="Calibri"/>
                          <w:szCs w:val="24"/>
                        </w:rPr>
                        <w:t>. Ilgalaikio darbo išmokų skyrimo ir mokėjimo tvarka nustatoma IDIF nuostatuose.</w:t>
                      </w:r>
                    </w:p>
                    <w:p>
                      <w:pPr>
                        <w:spacing w:line="240" w:lineRule="atLeast"/>
                        <w:ind w:firstLine="720"/>
                        <w:jc w:val="both"/>
                        <w:rPr>
                          <w:rFonts w:eastAsia="Calibri"/>
                          <w:szCs w:val="24"/>
                        </w:rPr>
                      </w:pPr>
                    </w:p>
                  </w:sdtContent>
                </w:sdt>
              </w:sdtContent>
            </w:sdt>
            <w:sdt>
              <w:sdtPr>
                <w:alias w:val="12 str."/>
                <w:tag w:val="part_e60ca99b17354ef484458b414b6bc8c6"/>
                <w:lock w:val="sdtLocked"/>
                <w:richText/>
              </w:sdtPr>
              <w:sdtContent>
                <w:p>
                  <w:pPr>
                    <w:spacing w:line="360" w:lineRule="auto"/>
                    <w:ind w:firstLine="720"/>
                    <w:jc w:val="both"/>
                    <w:rPr>
                      <w:rFonts w:eastAsia="Calibri"/>
                      <w:b/>
                      <w:szCs w:val="24"/>
                    </w:rPr>
                  </w:pPr>
                  <w:sdt>
                    <w:sdtPr>
                      <w:alias w:val="Numeris"/>
                      <w:tag w:val="nr_e60ca99b17354ef484458b414b6bc8c6"/>
                      <w:lock w:val="sdtLocked"/>
                      <w:richText/>
                    </w:sdtPr>
                    <w:sdtContent>
                      <w:r>
                        <w:rPr>
                          <w:rFonts w:eastAsia="Calibri"/>
                          <w:b/>
                          <w:szCs w:val="24"/>
                        </w:rPr>
                        <w:t>12</w:t>
                      </w:r>
                    </w:sdtContent>
                  </w:sdt>
                  <w:r>
                    <w:rPr>
                      <w:rFonts w:eastAsia="Calibri"/>
                      <w:b/>
                      <w:szCs w:val="24"/>
                    </w:rPr>
                    <w:t xml:space="preserve"> straipsnis. </w:t>
                  </w:r>
                  <w:sdt>
                    <w:sdtPr>
                      <w:alias w:val="Pavadinimas"/>
                      <w:tag w:val="title_e60ca99b17354ef484458b414b6bc8c6"/>
                      <w:lock w:val="sdtLocked"/>
                      <w:richText/>
                    </w:sdtPr>
                    <w:sdtContent>
                      <w:r>
                        <w:rPr>
                          <w:rFonts w:eastAsia="Calibri"/>
                          <w:b/>
                          <w:szCs w:val="24"/>
                        </w:rPr>
                        <w:t>Ilgalaikio darbo išmokų grąžinimas</w:t>
                      </w:r>
                    </w:sdtContent>
                  </w:sdt>
                </w:p>
                <w:sdt>
                  <w:sdtPr>
                    <w:alias w:val="12 str. 1 d."/>
                    <w:tag w:val="part_f24e0c1ef2da4d8bafafbf50b9732761"/>
                    <w:lock w:val="sdtLocked"/>
                    <w:richText/>
                  </w:sdtPr>
                  <w:sdtContent>
                    <w:p>
                      <w:pPr>
                        <w:spacing w:line="360" w:lineRule="auto"/>
                        <w:ind w:firstLine="720"/>
                        <w:jc w:val="both"/>
                        <w:rPr>
                          <w:rFonts w:eastAsia="Calibri"/>
                          <w:szCs w:val="24"/>
                        </w:rPr>
                      </w:pPr>
                      <w:r>
                        <w:rPr>
                          <w:rFonts w:eastAsia="Calibri"/>
                          <w:szCs w:val="24"/>
                        </w:rPr>
                        <w:t>Ilgalaikio darbo išmoka IDIF nuostatuose nustatyta tvarka yra grąžinama į Ilgalaikio darbo išmokų fondą, kai:</w:t>
                      </w:r>
                    </w:p>
                    <w:sdt>
                      <w:sdtPr>
                        <w:alias w:val="12 str. 1 d. 1 p."/>
                        <w:tag w:val="part_9632e2cbf8d2403e98c3dd12d06617d5"/>
                        <w:lock w:val="sdtLocked"/>
                        <w:richText/>
                      </w:sdtPr>
                      <w:sdtContent>
                        <w:p>
                          <w:pPr>
                            <w:spacing w:line="360" w:lineRule="auto"/>
                            <w:ind w:firstLine="720"/>
                            <w:jc w:val="both"/>
                            <w:rPr>
                              <w:rFonts w:eastAsia="Calibri"/>
                              <w:szCs w:val="24"/>
                            </w:rPr>
                          </w:pPr>
                          <w:sdt>
                            <w:sdtPr>
                              <w:alias w:val="Numeris"/>
                              <w:tag w:val="nr_9632e2cbf8d2403e98c3dd12d06617d5"/>
                              <w:lock w:val="sdtLocked"/>
                              <w:richText/>
                            </w:sdtPr>
                            <w:sdtContent>
                              <w:r>
                                <w:rPr>
                                  <w:rFonts w:eastAsia="Calibri"/>
                                  <w:szCs w:val="24"/>
                                </w:rPr>
                                <w:t>1</w:t>
                              </w:r>
                            </w:sdtContent>
                          </w:sdt>
                          <w:r>
                            <w:rPr>
                              <w:rFonts w:eastAsia="Calibri"/>
                              <w:szCs w:val="24"/>
                            </w:rPr>
                            <w:t>) buvo pateikti neteisingi duomenys;</w:t>
                          </w:r>
                        </w:p>
                      </w:sdtContent>
                    </w:sdt>
                    <w:sdt>
                      <w:sdtPr>
                        <w:alias w:val="12 str. 1 d. 2 p."/>
                        <w:tag w:val="part_e8cef76ff11b442c8f01e51a9e33ca40"/>
                        <w:lock w:val="sdtLocked"/>
                        <w:richText/>
                      </w:sdtPr>
                      <w:sdtContent>
                        <w:p>
                          <w:pPr>
                            <w:spacing w:line="360" w:lineRule="auto"/>
                            <w:ind w:firstLine="720"/>
                            <w:jc w:val="both"/>
                            <w:rPr>
                              <w:rFonts w:eastAsia="Calibri"/>
                              <w:szCs w:val="24"/>
                            </w:rPr>
                          </w:pPr>
                          <w:sdt>
                            <w:sdtPr>
                              <w:alias w:val="Numeris"/>
                              <w:tag w:val="nr_e8cef76ff11b442c8f01e51a9e33ca40"/>
                              <w:lock w:val="sdtLocked"/>
                              <w:richText/>
                            </w:sdtPr>
                            <w:sdtContent>
                              <w:r>
                                <w:rPr>
                                  <w:rFonts w:eastAsia="Calibri"/>
                                  <w:szCs w:val="24"/>
                                </w:rPr>
                                <w:t>2</w:t>
                              </w:r>
                            </w:sdtContent>
                          </w:sdt>
                          <w:r>
                            <w:rPr>
                              <w:rFonts w:eastAsia="Calibri"/>
                              <w:szCs w:val="24"/>
                            </w:rPr>
                            <w:t>) tarp darbuotojo ir darbdavio per tris mėnesius po atleidimo iš darbo buvo sudaryta nauja darbo sutartis;</w:t>
                          </w:r>
                        </w:p>
                      </w:sdtContent>
                    </w:sdt>
                    <w:sdt>
                      <w:sdtPr>
                        <w:alias w:val="12 str. 1 d. 3 p."/>
                        <w:tag w:val="part_d19e0af0fa81446796cd1a6b912aacfa"/>
                        <w:lock w:val="sdtLocked"/>
                        <w:richText/>
                      </w:sdtPr>
                      <w:sdtContent>
                        <w:p>
                          <w:pPr>
                            <w:spacing w:line="360" w:lineRule="auto"/>
                            <w:ind w:firstLine="720"/>
                            <w:jc w:val="both"/>
                            <w:rPr>
                              <w:rFonts w:eastAsia="Calibri"/>
                              <w:szCs w:val="24"/>
                            </w:rPr>
                          </w:pPr>
                          <w:sdt>
                            <w:sdtPr>
                              <w:alias w:val="Numeris"/>
                              <w:tag w:val="nr_d19e0af0fa81446796cd1a6b912aacfa"/>
                              <w:lock w:val="sdtLocked"/>
                              <w:richText/>
                            </w:sdtPr>
                            <w:sdtContent>
                              <w:r>
                                <w:rPr>
                                  <w:rFonts w:eastAsia="Calibri"/>
                                  <w:szCs w:val="24"/>
                                </w:rPr>
                                <w:t>3</w:t>
                              </w:r>
                            </w:sdtContent>
                          </w:sdt>
                          <w:r>
                            <w:rPr>
                              <w:rFonts w:eastAsia="Calibri"/>
                              <w:szCs w:val="24"/>
                            </w:rPr>
                            <w:t>) darbo ginčą nagrinėjančio organo įsiteisėjusiu sprendimu atleidimas iš darbo buvo pripažintas neteisėtu.</w:t>
                          </w:r>
                        </w:p>
                        <w:p>
                          <w:pPr>
                            <w:spacing w:line="240" w:lineRule="atLeast"/>
                            <w:ind w:firstLine="720"/>
                            <w:jc w:val="both"/>
                            <w:rPr>
                              <w:rFonts w:eastAsia="Calibri"/>
                              <w:szCs w:val="24"/>
                            </w:rPr>
                          </w:pPr>
                        </w:p>
                      </w:sdtContent>
                    </w:sdt>
                  </w:sdtContent>
                </w:sdt>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ad261208cb7f4e97bb292b3d50d3d644"/>
                    <w:lock w:val="sdtLocked"/>
                    <w:richText/>
                  </w:sdtPr>
                  <w:sdtContent>
                    <w:p>
                      <w:pPr>
                        <w:spacing w:line="360" w:lineRule="auto"/>
                        <w:ind w:firstLine="720"/>
                        <w:jc w:val="both"/>
                        <w:rPr>
                          <w:rFonts w:eastAsia="Calibri"/>
                          <w:szCs w:val="24"/>
                        </w:rPr>
                      </w:pPr>
                      <w:sdt>
                        <w:sdtPr>
                          <w:alias w:val="Numeris"/>
                          <w:tag w:val="nr_ad261208cb7f4e97bb292b3d50d3d644"/>
                          <w:lock w:val="sdtLocked"/>
                          <w:richText/>
                        </w:sdtPr>
                        <w:sdtContent>
                          <w:r>
                            <w:rPr>
                              <w:rFonts w:eastAsia="Calibri"/>
                              <w:szCs w:val="24"/>
                            </w:rPr>
                            <w:t>1</w:t>
                          </w:r>
                        </w:sdtContent>
                      </w:sdt>
                      <w:r>
                        <w:rPr>
                          <w:rFonts w:eastAsia="Calibri"/>
                          <w:szCs w:val="24"/>
                        </w:rPr>
                        <w:t xml:space="preserve">. Ilgalaikio darbo išmokų fondas yra valstybės išteklių fondas, skirtas šio įstatymo 9 straipsnio 1 dalyje nurodytų asmenų papildomoms finansinėms garantijoms užtikrinti. </w:t>
                      </w:r>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6e8fb3f7e455448d9056d49c6d12528b"/>
                    <w:lock w:val="sdtLocked"/>
                    <w:richText/>
                  </w:sdtPr>
                  <w:sdtContent>
                    <w:p>
                      <w:pPr>
                        <w:spacing w:line="360" w:lineRule="auto"/>
                        <w:ind w:firstLine="720"/>
                        <w:jc w:val="both"/>
                        <w:rPr>
                          <w:rFonts w:eastAsia="Calibri"/>
                          <w:szCs w:val="24"/>
                        </w:rPr>
                      </w:pPr>
                      <w:sdt>
                        <w:sdtPr>
                          <w:alias w:val="Numeris"/>
                          <w:tag w:val="nr_6e8fb3f7e455448d9056d49c6d12528b"/>
                          <w:lock w:val="sdtLocked"/>
                          <w:richText/>
                        </w:sdtPr>
                        <w:sdtContent>
                          <w:r>
                            <w:rPr>
                              <w:rFonts w:eastAsia="Calibri"/>
                              <w:szCs w:val="24"/>
                            </w:rPr>
                            <w:t>1</w:t>
                          </w:r>
                        </w:sdtContent>
                      </w:sdt>
                      <w:r>
                        <w:rPr>
                          <w:rFonts w:eastAsia="Calibri"/>
                          <w:szCs w:val="24"/>
                        </w:rPr>
                        <w:t>. Ilgalaikio darbo išmokų fondo lėšas sudaro:</w:t>
                      </w:r>
                    </w:p>
                    <w:sdt>
                      <w:sdtPr>
                        <w:alias w:val="14 str. 1 d. 1 p."/>
                        <w:tag w:val="part_7bd5c812ddcd4ef09ebcbceda842a9b3"/>
                        <w:lock w:val="sdtLocked"/>
                        <w:richText/>
                      </w:sdtPr>
                      <w:sdtContent>
                        <w:p>
                          <w:pPr>
                            <w:spacing w:line="360" w:lineRule="auto"/>
                            <w:ind w:firstLine="720"/>
                            <w:jc w:val="both"/>
                            <w:rPr>
                              <w:rFonts w:eastAsia="Calibri"/>
                              <w:szCs w:val="24"/>
                            </w:rPr>
                          </w:pPr>
                          <w:sdt>
                            <w:sdtPr>
                              <w:alias w:val="Numeris"/>
                              <w:tag w:val="nr_7bd5c812ddcd4ef09ebcbceda842a9b3"/>
                              <w:lock w:val="sdtLocked"/>
                              <w:richText/>
                            </w:sdtPr>
                            <w:sdtContent>
                              <w:r>
                                <w:rPr>
                                  <w:rFonts w:eastAsia="Calibri"/>
                                  <w:szCs w:val="24"/>
                                </w:rPr>
                                <w:t>1</w:t>
                              </w:r>
                            </w:sdtContent>
                          </w:sdt>
                          <w:r>
                            <w:rPr>
                              <w:rFonts w:eastAsia="Calibri"/>
                              <w:szCs w:val="24"/>
                            </w:rPr>
                            <w:t>) darbdavių mokamos šio straipsnio 3 dalyje nustatytos piniginės įmokos į Ilgalaikio darbo išmokų fondą;</w:t>
                          </w:r>
                        </w:p>
                      </w:sdtContent>
                    </w:sdt>
                    <w:sdt>
                      <w:sdtPr>
                        <w:alias w:val="14 str. 1 d. 2 p."/>
                        <w:tag w:val="part_b30d57794edc483bb08e8ef1ca2a60e7"/>
                        <w:lock w:val="sdtLocked"/>
                        <w:richText/>
                      </w:sdtPr>
                      <w:sdtContent>
                        <w:p>
                          <w:pPr>
                            <w:spacing w:line="360" w:lineRule="auto"/>
                            <w:ind w:firstLine="720"/>
                            <w:jc w:val="both"/>
                            <w:rPr>
                              <w:rFonts w:eastAsia="Calibri"/>
                              <w:szCs w:val="24"/>
                            </w:rPr>
                          </w:pPr>
                          <w:sdt>
                            <w:sdtPr>
                              <w:alias w:val="Numeris"/>
                              <w:tag w:val="nr_b30d57794edc483bb08e8ef1ca2a60e7"/>
                              <w:lock w:val="sdtLocked"/>
                              <w:richText/>
                            </w:sdtPr>
                            <w:sdtContent>
                              <w:r>
                                <w:rPr>
                                  <w:rFonts w:eastAsia="Calibri"/>
                                  <w:szCs w:val="24"/>
                                </w:rPr>
                                <w:t>2</w:t>
                              </w:r>
                            </w:sdtContent>
                          </w:sdt>
                          <w:r>
                            <w:rPr>
                              <w:rFonts w:eastAsia="Calibri"/>
                              <w:szCs w:val="24"/>
                            </w:rPr>
                            <w:t>) delspinigiai, palūkanos ir baudos;</w:t>
                          </w:r>
                        </w:p>
                      </w:sdtContent>
                    </w:sdt>
                    <w:sdt>
                      <w:sdtPr>
                        <w:alias w:val="14 str. 1 d. 3 p."/>
                        <w:tag w:val="part_88f222ab6bad46c6be396fb119eda7fa"/>
                        <w:lock w:val="sdtLocked"/>
                        <w:richText/>
                      </w:sdtPr>
                      <w:sdtContent>
                        <w:p>
                          <w:pPr>
                            <w:spacing w:line="360" w:lineRule="auto"/>
                            <w:ind w:firstLine="720"/>
                            <w:jc w:val="both"/>
                            <w:rPr>
                              <w:rFonts w:eastAsia="Calibri"/>
                              <w:szCs w:val="24"/>
                            </w:rPr>
                          </w:pPr>
                          <w:sdt>
                            <w:sdtPr>
                              <w:alias w:val="Numeris"/>
                              <w:tag w:val="nr_88f222ab6bad46c6be396fb119eda7fa"/>
                              <w:lock w:val="sdtLocked"/>
                              <w:richText/>
                            </w:sdt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14 str. 1 d. 4 p."/>
                        <w:tag w:val="part_f8239fbee7114ecea9b7166c6e2abd09"/>
                        <w:lock w:val="sdtLocked"/>
                        <w:richText/>
                      </w:sdtPr>
                      <w:sdtContent>
                        <w:p>
                          <w:pPr>
                            <w:spacing w:line="360" w:lineRule="auto"/>
                            <w:ind w:firstLine="720"/>
                            <w:jc w:val="both"/>
                            <w:rPr>
                              <w:rFonts w:eastAsia="Calibri"/>
                              <w:szCs w:val="24"/>
                            </w:rPr>
                          </w:pPr>
                          <w:sdt>
                            <w:sdtPr>
                              <w:alias w:val="Numeris"/>
                              <w:tag w:val="nr_f8239fbee7114ecea9b7166c6e2abd09"/>
                              <w:lock w:val="sdtLocked"/>
                              <w:richText/>
                            </w:sdtPr>
                            <w:sdtContent>
                              <w:r>
                                <w:rPr>
                                  <w:rFonts w:eastAsia="Calibri"/>
                                  <w:szCs w:val="24"/>
                                </w:rPr>
                                <w:t>4</w:t>
                              </w:r>
                            </w:sdtContent>
                          </w:sdt>
                          <w:r>
                            <w:rPr>
                              <w:rFonts w:eastAsia="Calibri"/>
                              <w:szCs w:val="24"/>
                            </w:rPr>
                            <w:t>) pajamos už investuotas laikinai laisvas lėšas;</w:t>
                          </w:r>
                        </w:p>
                      </w:sdtContent>
                    </w:sdt>
                    <w:sdt>
                      <w:sdtPr>
                        <w:alias w:val="14 str. 1 d. 5 p."/>
                        <w:tag w:val="part_7cf18419b782423e8192593c92f4be45"/>
                        <w:lock w:val="sdtLocked"/>
                        <w:richText/>
                      </w:sdtPr>
                      <w:sdtContent>
                        <w:p>
                          <w:pPr>
                            <w:spacing w:line="360" w:lineRule="auto"/>
                            <w:ind w:firstLine="720"/>
                            <w:jc w:val="both"/>
                            <w:rPr>
                              <w:rFonts w:eastAsia="Calibri"/>
                              <w:szCs w:val="24"/>
                            </w:rPr>
                          </w:pPr>
                          <w:sdt>
                            <w:sdtPr>
                              <w:alias w:val="Numeris"/>
                              <w:tag w:val="nr_7cf18419b782423e8192593c92f4be45"/>
                              <w:lock w:val="sdtLocked"/>
                              <w:richText/>
                            </w:sdtPr>
                            <w:sdtContent>
                              <w:r>
                                <w:rPr>
                                  <w:rFonts w:eastAsia="Calibri"/>
                                  <w:szCs w:val="24"/>
                                </w:rPr>
                                <w:t>5</w:t>
                              </w:r>
                            </w:sdtContent>
                          </w:sdt>
                          <w:r>
                            <w:rPr>
                              <w:rFonts w:eastAsia="Calibri"/>
                              <w:szCs w:val="24"/>
                            </w:rPr>
                            <w:t>) kitos teisėtai gautos lėšos.</w:t>
                          </w:r>
                        </w:p>
                      </w:sdtContent>
                    </w:sdt>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50dac3deb0bd405b83858b820f96d67d"/>
                <w:lock w:val="sdtLocked"/>
                <w:richText/>
              </w:sdtPr>
              <w:sdtContent>
                <w:p>
                  <w:pPr>
                    <w:spacing w:line="360" w:lineRule="auto"/>
                    <w:ind w:firstLine="720"/>
                    <w:jc w:val="both"/>
                    <w:rPr>
                      <w:rFonts w:eastAsia="Calibri"/>
                      <w:b/>
                      <w:szCs w:val="24"/>
                    </w:rPr>
                  </w:pPr>
                  <w:sdt>
                    <w:sdtPr>
                      <w:alias w:val="Numeris"/>
                      <w:tag w:val="nr_50dac3deb0bd405b83858b820f96d67d"/>
                      <w:lock w:val="sdtLocked"/>
                      <w:richText/>
                    </w:sdtPr>
                    <w:sdtContent>
                      <w:r>
                        <w:rPr>
                          <w:rFonts w:eastAsia="Calibri"/>
                          <w:b/>
                          <w:szCs w:val="24"/>
                        </w:rPr>
                        <w:t>15</w:t>
                      </w:r>
                    </w:sdtContent>
                  </w:sdt>
                  <w:r>
                    <w:rPr>
                      <w:rFonts w:eastAsia="Calibri"/>
                      <w:b/>
                      <w:szCs w:val="24"/>
                    </w:rPr>
                    <w:t xml:space="preserve"> straipsnis. </w:t>
                  </w:r>
                  <w:sdt>
                    <w:sdtPr>
                      <w:alias w:val="Pavadinimas"/>
                      <w:tag w:val="title_50dac3deb0bd405b83858b820f96d67d"/>
                      <w:lock w:val="sdtLocked"/>
                      <w:richText/>
                    </w:sdtPr>
                    <w:sdtContent>
                      <w:r>
                        <w:rPr>
                          <w:rFonts w:eastAsia="Calibri"/>
                          <w:b/>
                          <w:szCs w:val="24"/>
                        </w:rPr>
                        <w:t>Ilgalaikio darbo išmokų fondo lėšų naudojimas</w:t>
                      </w:r>
                    </w:sdtContent>
                  </w:sdt>
                </w:p>
                <w:sdt>
                  <w:sdtPr>
                    <w:alias w:val="15 str. 1 d."/>
                    <w:tag w:val="part_4f62a66ad91b40c09d6adb0d44a8eec5"/>
                    <w:lock w:val="sdtLocked"/>
                    <w:richText/>
                  </w:sdtPr>
                  <w:sdtContent>
                    <w:p>
                      <w:pPr>
                        <w:spacing w:line="360" w:lineRule="auto"/>
                        <w:ind w:firstLine="720"/>
                        <w:jc w:val="both"/>
                        <w:rPr>
                          <w:rFonts w:eastAsia="Calibri"/>
                          <w:szCs w:val="24"/>
                        </w:rPr>
                      </w:pPr>
                      <w:r>
                        <w:rPr>
                          <w:rFonts w:eastAsia="Calibri"/>
                          <w:szCs w:val="24"/>
                        </w:rPr>
                        <w:t>Ilgalaikio darbo išmokų fondo lėšos naudojamos:</w:t>
                      </w:r>
                    </w:p>
                    <w:sdt>
                      <w:sdtPr>
                        <w:alias w:val="15 str. 1 d. 1 p."/>
                        <w:tag w:val="part_af637fa558444bdc90365fad8560eb3a"/>
                        <w:lock w:val="sdtLocked"/>
                        <w:richText/>
                      </w:sdtPr>
                      <w:sdtContent>
                        <w:p>
                          <w:pPr>
                            <w:spacing w:line="360" w:lineRule="auto"/>
                            <w:ind w:firstLine="720"/>
                            <w:jc w:val="both"/>
                            <w:rPr>
                              <w:rFonts w:eastAsia="Calibri"/>
                              <w:szCs w:val="24"/>
                            </w:rPr>
                          </w:pPr>
                          <w:sdt>
                            <w:sdtPr>
                              <w:alias w:val="Numeris"/>
                              <w:tag w:val="nr_af637fa558444bdc90365fad8560eb3a"/>
                              <w:lock w:val="sdtLocked"/>
                              <w:richText/>
                            </w:sdtPr>
                            <w:sdtContent>
                              <w:r>
                                <w:rPr>
                                  <w:rFonts w:eastAsia="Calibri"/>
                                  <w:szCs w:val="24"/>
                                </w:rPr>
                                <w:t>1</w:t>
                              </w:r>
                            </w:sdtContent>
                          </w:sdt>
                          <w:r>
                            <w:rPr>
                              <w:rFonts w:eastAsia="Calibri"/>
                              <w:szCs w:val="24"/>
                            </w:rPr>
                            <w:t>) ilgalaikio darbo išmokoms;</w:t>
                          </w:r>
                        </w:p>
                      </w:sdtContent>
                    </w:sdt>
                    <w:sdt>
                      <w:sdtPr>
                        <w:alias w:val="15 str. 1 d. 2 p."/>
                        <w:tag w:val="part_efb42d8b3f094306b621fb2d052440fd"/>
                        <w:lock w:val="sdtLocked"/>
                        <w:richText/>
                      </w:sdtPr>
                      <w:sdtContent>
                        <w:p>
                          <w:pPr>
                            <w:spacing w:line="360" w:lineRule="auto"/>
                            <w:ind w:firstLine="720"/>
                            <w:jc w:val="both"/>
                            <w:rPr>
                              <w:rFonts w:eastAsia="Calibri"/>
                              <w:szCs w:val="24"/>
                            </w:rPr>
                          </w:pPr>
                          <w:sdt>
                            <w:sdtPr>
                              <w:alias w:val="Numeris"/>
                              <w:tag w:val="nr_efb42d8b3f094306b621fb2d052440fd"/>
                              <w:lock w:val="sdtLocked"/>
                              <w:richText/>
                            </w:sdtPr>
                            <w:sdtContent>
                              <w:r>
                                <w:rPr>
                                  <w:szCs w:val="24"/>
                                  <w:lang w:eastAsia="lt-LT"/>
                                </w:rPr>
                                <w:t>2</w:t>
                              </w:r>
                            </w:sdtContent>
                          </w:sdt>
                          <w:r>
                            <w:rPr>
                              <w:szCs w:val="24"/>
                              <w:lang w:eastAsia="lt-LT"/>
                            </w:rPr>
                            <w:t>) Ilgalaikio darbo išmokų fondo administravimo išlaidoms apmokėti IDIF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099d0044b11e9a5eaf2cd290f1944">
                            <w:r w:rsidRPr="00532B9F">
                              <w:rPr>
                                <w:rFonts w:ascii="Times New Roman" w:eastAsia="MS Mincho" w:hAnsi="Times New Roman"/>
                                <w:sz w:val="20"/>
                                <w:i/>
                                <w:iCs/>
                                <w:color w:val="0000FF" w:themeColor="hyperlink"/>
                                <w:u w:val="single"/>
                              </w:rPr>
                              <w:t>XIII-1726</w:t>
                            </w:r>
                          </w:fldSimple>
                          <w:r>
                            <w:rPr>
                              <w:rFonts w:ascii="Times New Roman" w:eastAsia="MS Mincho" w:hAnsi="Times New Roman"/>
                              <w:sz w:val="20"/>
                              <w:i/>
                              <w:iCs/>
                            </w:rPr>
                            <w:t>,
2018-12-11,
paskelbta TAR 2018-12-20, i. k. 2018-20985            </w:t>
                          </w:r>
                        </w:p>
                        <w:p/>
                      </w:sdtContent>
                    </w:sdt>
                    <w:sdt>
                      <w:sdtPr>
                        <w:alias w:val="15 str. 1 d. 3 p."/>
                        <w:tag w:val="part_fe43eaaee9b443bda4a8691ebbc0e039"/>
                        <w:lock w:val="sdtLocked"/>
                        <w:richText/>
                      </w:sdtPr>
                      <w:sdtContent>
                        <w:p>
                          <w:pPr>
                            <w:spacing w:line="360" w:lineRule="auto"/>
                            <w:ind w:firstLine="720"/>
                            <w:jc w:val="both"/>
                            <w:rPr>
                              <w:rFonts w:eastAsia="Calibri"/>
                              <w:szCs w:val="24"/>
                            </w:rPr>
                          </w:pPr>
                          <w:sdt>
                            <w:sdtPr>
                              <w:alias w:val="Numeris"/>
                              <w:tag w:val="nr_fe43eaaee9b443bda4a8691ebbc0e039"/>
                              <w:lock w:val="sdtLocked"/>
                              <w:richText/>
                            </w:sdtPr>
                            <w:sdtContent>
                              <w:r>
                                <w:rPr>
                                  <w:rFonts w:eastAsia="Calibri"/>
                                  <w:szCs w:val="24"/>
                                </w:rPr>
                                <w:t>3</w:t>
                              </w:r>
                            </w:sdtContent>
                          </w:sdt>
                          <w:r>
                            <w:rPr>
                              <w:rFonts w:eastAsia="Calibri"/>
                              <w:szCs w:val="24"/>
                            </w:rPr>
                            <w:t>) laikinai laisvų lėšų investavimo išlaidoms apmokėti;</w:t>
                          </w:r>
                        </w:p>
                      </w:sdtContent>
                    </w:sdt>
                    <w:sdt>
                      <w:sdtPr>
                        <w:alias w:val="15 str. 1 d. 4 p."/>
                        <w:tag w:val="part_82881dc13fb249e3b9d46c58716fd130"/>
                        <w:lock w:val="sdtLocked"/>
                        <w:richText/>
                      </w:sdtPr>
                      <w:sdtContent>
                        <w:p>
                          <w:pPr>
                            <w:spacing w:line="360" w:lineRule="auto"/>
                            <w:ind w:firstLine="720"/>
                            <w:jc w:val="both"/>
                            <w:rPr>
                              <w:rFonts w:eastAsia="Calibri"/>
                              <w:szCs w:val="24"/>
                            </w:rPr>
                          </w:pPr>
                          <w:sdt>
                            <w:sdtPr>
                              <w:alias w:val="Numeris"/>
                              <w:tag w:val="nr_82881dc13fb249e3b9d46c58716fd130"/>
                              <w:lock w:val="sdtLocked"/>
                              <w:richText/>
                            </w:sdtPr>
                            <w:sdtContent>
                              <w:r>
                                <w:rPr>
                                  <w:rFonts w:eastAsia="Calibri"/>
                                  <w:szCs w:val="24"/>
                                </w:rPr>
                                <w:t>4</w:t>
                              </w:r>
                            </w:sdtContent>
                          </w:sdt>
                          <w:r>
                            <w:rPr>
                              <w:rFonts w:eastAsia="Calibri"/>
                              <w:szCs w:val="24"/>
                            </w:rPr>
                            <w:t>) Ilgalaikio darbo išmokų fondo įsipareigojimams padengti;</w:t>
                          </w:r>
                        </w:p>
                      </w:sdtContent>
                    </w:sdt>
                    <w:sdt>
                      <w:sdtPr>
                        <w:alias w:val="15 str. 1 d. 5 p."/>
                        <w:tag w:val="part_1ffc34a7587d41b9a63eeaa442f9374b"/>
                        <w:lock w:val="sdtLocked"/>
                        <w:richText/>
                      </w:sdtPr>
                      <w:sdtContent>
                        <w:p>
                          <w:pPr>
                            <w:spacing w:line="360" w:lineRule="auto"/>
                            <w:ind w:firstLine="720"/>
                            <w:jc w:val="both"/>
                            <w:rPr>
                              <w:rFonts w:eastAsia="Calibri"/>
                              <w:szCs w:val="24"/>
                            </w:rPr>
                          </w:pPr>
                          <w:sdt>
                            <w:sdtPr>
                              <w:alias w:val="Numeris"/>
                              <w:tag w:val="nr_1ffc34a7587d41b9a63eeaa442f9374b"/>
                              <w:lock w:val="sdtLocked"/>
                              <w:richText/>
                            </w:sdtPr>
                            <w:sdtContent>
                              <w:r>
                                <w:rPr>
                                  <w:rFonts w:eastAsia="Calibri"/>
                                  <w:szCs w:val="24"/>
                                </w:rPr>
                                <w:t>5</w:t>
                              </w:r>
                            </w:sdtContent>
                          </w:sdt>
                          <w:r>
                            <w:rPr>
                              <w:rFonts w:eastAsia="Calibri"/>
                              <w:szCs w:val="24"/>
                            </w:rPr>
                            <w:t>) Garantinio fondo lėšų sumai, susidariusiai dėl šio įstatymo 14 straipsnio 5 dalyje nurodytos priežasties, atkurti.</w:t>
                          </w:r>
                        </w:p>
                        <w:p>
                          <w:pPr>
                            <w:spacing w:line="240" w:lineRule="atLeast"/>
                            <w:ind w:firstLine="720"/>
                            <w:jc w:val="both"/>
                            <w:rPr>
                              <w:rFonts w:eastAsia="Calibri"/>
                              <w:b/>
                              <w:szCs w:val="24"/>
                            </w:rPr>
                          </w:pPr>
                        </w:p>
                      </w:sdtContent>
                    </w:sdt>
                  </w:sdtContent>
                </w:sdt>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19 str. 1 d. 4 p."/>
                        <w:tag w:val="part_957faffdc83e4388b81c94cd5f1fc355"/>
                        <w:lock w:val="sdtLocked"/>
                        <w:richText/>
                      </w:sdtPr>
                      <w:sdtContent>
                        <w:p>
                          <w:pPr>
                            <w:spacing w:line="360" w:lineRule="auto"/>
                            <w:ind w:firstLine="720"/>
                            <w:jc w:val="both"/>
                            <w:rPr>
                              <w:rFonts w:eastAsia="Calibri"/>
                              <w:szCs w:val="24"/>
                            </w:rPr>
                          </w:pPr>
                          <w:sdt>
                            <w:sdtPr>
                              <w:alias w:val="Numeris"/>
                              <w:tag w:val="nr_957faffdc83e4388b81c94cd5f1fc355"/>
                              <w:lock w:val="sdtLocked"/>
                              <w:richText/>
                            </w:sdtPr>
                            <w:sdtContent>
                              <w:r>
                                <w:rPr>
                                  <w:rFonts w:eastAsia="Calibri"/>
                                  <w:szCs w:val="24"/>
                                </w:rPr>
                                <w:t>4</w:t>
                              </w:r>
                            </w:sdtContent>
                          </w:sdt>
                          <w:r>
                            <w:rPr>
                              <w:rFonts w:eastAsia="Calibri"/>
                              <w:szCs w:val="24"/>
                            </w:rPr>
                            <w:t>) IDIF nuostatuose nustatyta tvarka priima sprendimus dėl ilgalaikio darbo išmokų skyrimo ir mokėjimo;</w:t>
                          </w:r>
                        </w:p>
                      </w:sdtContent>
                    </w:sdt>
                    <w:sdt>
                      <w:sdtPr>
                        <w:alias w:val="19 str. 1 d. 5 p."/>
                        <w:tag w:val="part_5ce9597d3bb44747b653af06383ec4aa"/>
                        <w:lock w:val="sdtLocked"/>
                        <w:richText/>
                      </w:sdtPr>
                      <w:sdtContent>
                        <w:p>
                          <w:pPr>
                            <w:spacing w:line="360" w:lineRule="auto"/>
                            <w:ind w:firstLine="720"/>
                            <w:jc w:val="both"/>
                            <w:rPr>
                              <w:rFonts w:eastAsia="Calibri"/>
                              <w:szCs w:val="24"/>
                            </w:rPr>
                          </w:pPr>
                          <w:sdt>
                            <w:sdtPr>
                              <w:alias w:val="Numeris"/>
                              <w:tag w:val="nr_5ce9597d3bb44747b653af06383ec4aa"/>
                              <w:lock w:val="sdtLocked"/>
                              <w:richText/>
                            </w:sdtPr>
                            <w:sdtContent>
                              <w:r>
                                <w:rPr>
                                  <w:rFonts w:eastAsia="Calibri"/>
                                  <w:szCs w:val="24"/>
                                </w:rPr>
                                <w:t>5</w:t>
                              </w:r>
                            </w:sdtContent>
                          </w:sdt>
                          <w:r>
                            <w:rPr>
                              <w:rFonts w:eastAsia="Calibri"/>
                              <w:szCs w:val="24"/>
                            </w:rPr>
                            <w:t>) rengia ir teikia Tarybai Garantinio fondo ir Ilgalaikio darbo išmokų fondo lėšų sąmatų projektus, taip pat Garantinio fondo ir Ilgalaikio darbo išmokų fondo metinių finansinių ataskaitų rinkinius;</w:t>
                          </w:r>
                        </w:p>
                      </w:sdtContent>
                    </w:sdt>
                    <w:sdt>
                      <w:sdtPr>
                        <w:alias w:val="19 str. 1 d. 6 p."/>
                        <w:tag w:val="part_990c777f26b64ff2ab03cbe612a78691"/>
                        <w:lock w:val="sdtLocked"/>
                        <w:richText/>
                      </w:sdtPr>
                      <w:sdtContent>
                        <w:p>
                          <w:pPr>
                            <w:spacing w:line="360" w:lineRule="auto"/>
                            <w:ind w:firstLine="720"/>
                            <w:jc w:val="both"/>
                            <w:rPr>
                              <w:rFonts w:eastAsia="Calibri"/>
                              <w:szCs w:val="24"/>
                            </w:rPr>
                          </w:pPr>
                          <w:sdt>
                            <w:sdtPr>
                              <w:alias w:val="Numeris"/>
                              <w:tag w:val="nr_990c777f26b64ff2ab03cbe612a78691"/>
                              <w:lock w:val="sdtLocked"/>
                              <w:richText/>
                            </w:sdtPr>
                            <w:sdtContent>
                              <w:r>
                                <w:rPr>
                                  <w:rFonts w:eastAsia="Calibri"/>
                                  <w:szCs w:val="24"/>
                                </w:rPr>
                                <w:t>6</w:t>
                              </w:r>
                            </w:sdtContent>
                          </w:sdt>
                          <w:r>
                            <w:rPr>
                              <w:rFonts w:eastAsia="Calibri"/>
                              <w:szCs w:val="24"/>
                            </w:rPr>
                            <w:t>) rengia ir teikia Tarybai ketvirčio ir metinę veiklos ataskaitas ir skelbia jas savo interneto svetainėje;</w:t>
                          </w:r>
                        </w:p>
                      </w:sdtContent>
                    </w:sdt>
                    <w:sdt>
                      <w:sdtPr>
                        <w:alias w:val="19 str. 1 d. 7 p."/>
                        <w:tag w:val="part_b53e38387aae4908ace02e1a12cf928f"/>
                        <w:lock w:val="sdtLocked"/>
                        <w:richText/>
                      </w:sdtPr>
                      <w:sdtContent>
                        <w:p>
                          <w:pPr>
                            <w:spacing w:line="360" w:lineRule="auto"/>
                            <w:ind w:firstLine="720"/>
                            <w:jc w:val="both"/>
                            <w:rPr>
                              <w:rFonts w:eastAsia="Calibri"/>
                              <w:szCs w:val="24"/>
                            </w:rPr>
                          </w:pPr>
                          <w:sdt>
                            <w:sdtPr>
                              <w:alias w:val="Numeris"/>
                              <w:tag w:val="nr_b53e38387aae4908ace02e1a12cf928f"/>
                              <w:lock w:val="sdtLocked"/>
                              <w:richText/>
                            </w:sdtPr>
                            <w:sdtContent>
                              <w:r>
                                <w:rPr>
                                  <w:rFonts w:eastAsia="Calibri"/>
                                  <w:szCs w:val="24"/>
                                </w:rPr>
                                <w:t>7</w:t>
                              </w:r>
                            </w:sdtContent>
                          </w:sdt>
                          <w:r>
                            <w:rPr>
                              <w:rFonts w:eastAsia="Calibri"/>
                              <w:szCs w:val="24"/>
                            </w:rPr>
                            <w:t>) tvirtina paraiškos ir sutarties pavyzdines formas, rekomendacijas dėl paraiškų pildymo ir teikimo ir skelbia jas savo interneto svetainėje;</w:t>
                          </w:r>
                        </w:p>
                      </w:sdtContent>
                    </w:sdt>
                    <w:sdt>
                      <w:sdtPr>
                        <w:alias w:val="19 str. 1 d. 8 p."/>
                        <w:tag w:val="part_0d896bb0903e48d4b832d62e3100e7c1"/>
                        <w:lock w:val="sdtLocked"/>
                        <w:richText/>
                      </w:sdtPr>
                      <w:sdtContent>
                        <w:p>
                          <w:pPr>
                            <w:spacing w:line="360" w:lineRule="auto"/>
                            <w:ind w:firstLine="720"/>
                            <w:jc w:val="both"/>
                            <w:rPr>
                              <w:rFonts w:eastAsia="Calibri"/>
                              <w:szCs w:val="24"/>
                            </w:rPr>
                          </w:pPr>
                          <w:sdt>
                            <w:sdtPr>
                              <w:alias w:val="Numeris"/>
                              <w:tag w:val="nr_0d896bb0903e48d4b832d62e3100e7c1"/>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ir Ilgalaikio darbo išmokų fondo lėšų sąmatos vykdymą ir kitais Garantinio fondo ir Ilgalaikio darbo išmokų fondo administravimo klausimais;</w:t>
                          </w:r>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f869e6fb40f04aad88c674e1c540581f"/>
                        <w:lock w:val="sdtLocked"/>
                        <w:richText/>
                      </w:sdtPr>
                      <w:sdtContent>
                        <w:p>
                          <w:pPr>
                            <w:spacing w:line="360" w:lineRule="auto"/>
                            <w:ind w:firstLine="720"/>
                            <w:jc w:val="both"/>
                            <w:rPr>
                              <w:szCs w:val="24"/>
                            </w:rPr>
                          </w:pPr>
                          <w:sdt>
                            <w:sdtPr>
                              <w:alias w:val="Numeris"/>
                              <w:tag w:val="nr_f869e6fb40f04aad88c674e1c540581f"/>
                              <w:lock w:val="sdtLocked"/>
                              <w:richText/>
                            </w:sdtPr>
                            <w:sdtContent>
                              <w:r>
                                <w:rPr>
                                  <w:szCs w:val="24"/>
                                </w:rPr>
                                <w:t>1</w:t>
                              </w:r>
                            </w:sdtContent>
                          </w:sdt>
                          <w:r>
                            <w:rPr>
                              <w:szCs w:val="24"/>
                            </w:rPr>
                            <w:t xml:space="preserve">) pritaria Garantinio fondo ir Ilgalaikio darbo išmokų fondo lėšų sąmatos projektui, taip pat Garantinio fondo ir Ilgalaikio darbo išmokų fondo metinių ataskaitų rinkiniui; </w:t>
                          </w:r>
                        </w:p>
                      </w:sdtContent>
                    </w:sdt>
                    <w:sdt>
                      <w:sdtPr>
                        <w:alias w:val="20 str. 4 d. 2 p."/>
                        <w:tag w:val="part_6c68f3c5ac87490b881055e067a51fa7"/>
                        <w:lock w:val="sdtLocked"/>
                        <w:richText/>
                      </w:sdtPr>
                      <w:sdtContent>
                        <w:p>
                          <w:pPr>
                            <w:spacing w:line="360" w:lineRule="auto"/>
                            <w:ind w:firstLine="720"/>
                            <w:jc w:val="both"/>
                            <w:rPr>
                              <w:szCs w:val="24"/>
                            </w:rPr>
                          </w:pPr>
                          <w:sdt>
                            <w:sdtPr>
                              <w:alias w:val="Numeris"/>
                              <w:tag w:val="nr_6c68f3c5ac87490b881055e067a51fa7"/>
                              <w:lock w:val="sdtLocked"/>
                              <w:richText/>
                            </w:sdtPr>
                            <w:sdtContent>
                              <w:r>
                                <w:rPr>
                                  <w:szCs w:val="24"/>
                                </w:rPr>
                                <w:t>2</w:t>
                              </w:r>
                            </w:sdtContent>
                          </w:sdt>
                          <w:r>
                            <w:rPr>
                              <w:szCs w:val="24"/>
                            </w:rPr>
                            <w:t>) svarsto metinę administratoriaus veiklos ataskaitą ir teikia pasiūlymus dėl Garantinio fondo ir Ilgalaikio darbo išmokų fondo administravimo;</w:t>
                          </w:r>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6c33f1b0e4f432fb1c137701fc540bd"/>
                <w:lock w:val="sdtLocked"/>
                <w:richText/>
              </w:sdtPr>
              <w:sdtContent>
                <w:p>
                  <w:pPr>
                    <w:spacing w:line="360" w:lineRule="auto"/>
                    <w:ind w:left="2268" w:hanging="1548"/>
                    <w:jc w:val="both"/>
                    <w:rPr>
                      <w:rFonts w:eastAsia="Calibri"/>
                      <w:b/>
                      <w:szCs w:val="24"/>
                    </w:rPr>
                  </w:pPr>
                  <w:sdt>
                    <w:sdtPr>
                      <w:alias w:val="Numeris"/>
                      <w:tag w:val="nr_c6c33f1b0e4f432fb1c137701fc540bd"/>
                      <w:lock w:val="sdtLocked"/>
                      <w:richText/>
                    </w:sdtPr>
                    <w:sdtContent>
                      <w:r>
                        <w:rPr>
                          <w:rFonts w:eastAsia="Calibri"/>
                          <w:b/>
                          <w:szCs w:val="24"/>
                        </w:rPr>
                        <w:t>21</w:t>
                      </w:r>
                    </w:sdtContent>
                  </w:sdt>
                  <w:r>
                    <w:rPr>
                      <w:rFonts w:eastAsia="Calibri"/>
                      <w:b/>
                      <w:szCs w:val="24"/>
                    </w:rPr>
                    <w:t xml:space="preserve"> straipsnis. </w:t>
                  </w:r>
                  <w:sdt>
                    <w:sdtPr>
                      <w:alias w:val="Pavadinimas"/>
                      <w:tag w:val="title_c6c33f1b0e4f432fb1c137701fc540bd"/>
                      <w:lock w:val="sdtLocked"/>
                      <w:richText/>
                    </w:sdtPr>
                    <w:sdtContent>
                      <w:r>
                        <w:rPr>
                          <w:rFonts w:eastAsia="Calibri"/>
                          <w:b/>
                          <w:szCs w:val="24"/>
                        </w:rPr>
                        <w:t>Garantinio fondo ir Ilgalaikio darbo išmokų fondo atskaitomybė ir finansų kontrolė</w:t>
                      </w:r>
                    </w:sdtContent>
                  </w:sdt>
                </w:p>
                <w:sdt>
                  <w:sdtPr>
                    <w:alias w:val="21 str. 1 d."/>
                    <w:tag w:val="part_e2b08e33be484b15a8157972566714ee"/>
                    <w:lock w:val="sdtLocked"/>
                    <w:richText/>
                  </w:sdtPr>
                  <w:sdtContent>
                    <w:p>
                      <w:pPr>
                        <w:spacing w:line="360" w:lineRule="auto"/>
                        <w:ind w:firstLine="720"/>
                        <w:jc w:val="both"/>
                        <w:rPr>
                          <w:rFonts w:eastAsia="Calibri"/>
                          <w:szCs w:val="24"/>
                        </w:rPr>
                      </w:pPr>
                      <w:sdt>
                        <w:sdtPr>
                          <w:alias w:val="Numeris"/>
                          <w:tag w:val="nr_e2b08e33be484b15a8157972566714ee"/>
                          <w:lock w:val="sdtLocked"/>
                          <w:richText/>
                        </w:sdtPr>
                        <w:sdtContent>
                          <w:r>
                            <w:rPr>
                              <w:rFonts w:eastAsia="Calibri"/>
                              <w:szCs w:val="24"/>
                            </w:rPr>
                            <w:t>1</w:t>
                          </w:r>
                        </w:sdtContent>
                      </w:sdt>
                      <w:r>
                        <w:rPr>
                          <w:rFonts w:eastAsia="Calibri"/>
                          <w:szCs w:val="24"/>
                        </w:rPr>
                        <w:t>. Garantinio fondo ir Ilgalaikio darbo išmokų fondo lėšų sąmatas, taip pat Garantinio fondo ir Ilgalaikio darbo išmokų fondo metinių ataskaitų rinkinius tvirtina Lietuvos Respublikos Seimas (toliau – Seimas) Vyriausybės teikimu.</w:t>
                      </w:r>
                    </w:p>
                  </w:sdtContent>
                </w:sdt>
                <w:sdt>
                  <w:sdtPr>
                    <w:alias w:val="21 str. 2 d."/>
                    <w:tag w:val="part_add30290e0cf4b30b6628d8651c9ab4f"/>
                    <w:lock w:val="sdtLocked"/>
                    <w:richText/>
                  </w:sdtPr>
                  <w:sdtContent>
                    <w:p>
                      <w:pPr>
                        <w:spacing w:line="360" w:lineRule="auto"/>
                        <w:ind w:firstLine="720"/>
                        <w:jc w:val="both"/>
                        <w:rPr>
                          <w:rFonts w:eastAsia="Calibri"/>
                          <w:szCs w:val="24"/>
                        </w:rPr>
                      </w:pPr>
                      <w:sdt>
                        <w:sdtPr>
                          <w:alias w:val="Numeris"/>
                          <w:tag w:val="nr_add30290e0cf4b30b6628d8651c9ab4f"/>
                          <w:lock w:val="sdtLocked"/>
                          <w:richText/>
                        </w:sdtPr>
                        <w:sdtContent>
                          <w:r>
                            <w:rPr>
                              <w:rFonts w:eastAsia="Calibri"/>
                              <w:szCs w:val="24"/>
                            </w:rPr>
                            <w:t>2</w:t>
                          </w:r>
                        </w:sdtContent>
                      </w:sdt>
                      <w:r>
                        <w:rPr>
                          <w:rFonts w:eastAsia="Calibri"/>
                          <w:szCs w:val="24"/>
                        </w:rPr>
                        <w:t>. Vyriausybė Garantinio fondo ir Ilgalaikio darbo išmokų fondo lėšų sąmatų projektus teikia Seimui tvirtinti kartu su atitinkamų metų valstybės biudžeto ir savivaldybių biudžetų finansinių rodiklių patvirtinimo įstatymo projektu Lietuvos Respublikos Seimo statute nustatyta tvarka ir terminais.</w:t>
                      </w:r>
                    </w:p>
                  </w:sdtContent>
                </w:sdt>
                <w:sdt>
                  <w:sdtPr>
                    <w:alias w:val="21 str. 3 d."/>
                    <w:tag w:val="part_f71926f843934d5e91f3f20ade5402e5"/>
                    <w:lock w:val="sdtLocked"/>
                    <w:richText/>
                  </w:sdtPr>
                  <w:sdtContent>
                    <w:p>
                      <w:pPr>
                        <w:spacing w:line="360" w:lineRule="auto"/>
                        <w:ind w:firstLine="720"/>
                        <w:jc w:val="both"/>
                        <w:rPr>
                          <w:rFonts w:eastAsia="Calibri"/>
                          <w:szCs w:val="24"/>
                        </w:rPr>
                      </w:pPr>
                      <w:sdt>
                        <w:sdtPr>
                          <w:alias w:val="Numeris"/>
                          <w:tag w:val="nr_f71926f843934d5e91f3f20ade5402e5"/>
                          <w:lock w:val="sdtLocked"/>
                          <w:richText/>
                        </w:sdtPr>
                        <w:sdtContent>
                          <w:r>
                            <w:rPr>
                              <w:rFonts w:eastAsia="Calibri"/>
                              <w:szCs w:val="24"/>
                            </w:rPr>
                            <w:t>3</w:t>
                          </w:r>
                        </w:sdtContent>
                      </w:sdt>
                      <w:r>
                        <w:rPr>
                          <w:rFonts w:eastAsia="Calibri"/>
                          <w:szCs w:val="24"/>
                        </w:rP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02a03f32e8bf470ba03b1e35bb095894"/>
                    <w:lock w:val="sdtLocked"/>
                    <w:richText/>
                  </w:sdtPr>
                  <w:sdtContent>
                    <w:p>
                      <w:pPr>
                        <w:spacing w:line="360" w:lineRule="auto"/>
                        <w:ind w:firstLine="720"/>
                        <w:jc w:val="both"/>
                        <w:rPr>
                          <w:rFonts w:eastAsia="Calibri"/>
                          <w:szCs w:val="24"/>
                        </w:rPr>
                      </w:pPr>
                      <w:sdt>
                        <w:sdtPr>
                          <w:alias w:val="Numeris"/>
                          <w:tag w:val="nr_02a03f32e8bf470ba03b1e35bb095894"/>
                          <w:lock w:val="sdtLocked"/>
                          <w:richText/>
                        </w:sdtPr>
                        <w:sdtContent>
                          <w:r>
                            <w:rPr>
                              <w:rFonts w:eastAsia="Calibri"/>
                              <w:szCs w:val="24"/>
                            </w:rPr>
                            <w:t>4</w:t>
                          </w:r>
                        </w:sdtContent>
                      </w:sdt>
                      <w:r>
                        <w:rPr>
                          <w:rFonts w:eastAsia="Calibri"/>
                          <w:szCs w:val="24"/>
                        </w:rPr>
                        <w:t>. Garantinio fondo ir Ilgalaikio darbo išmokų fondo metinių ataskaitų rinkinio sudarymą, teikimą, tvirtinimą ir skelbimą reglamentuoja Lietuvos Respublikos viešojo sektoriaus atskaitomybės įstatymas.</w:t>
                      </w:r>
                    </w:p>
                  </w:sdtContent>
                </w:sdt>
                <w:sdt>
                  <w:sdtPr>
                    <w:alias w:val="21 str. 5 d."/>
                    <w:tag w:val="part_3abaf16f7b944e20839a2311453236ef"/>
                    <w:lock w:val="sdtLocked"/>
                    <w:richText/>
                  </w:sdtPr>
                  <w:sdtContent>
                    <w:p>
                      <w:pPr>
                        <w:spacing w:line="360" w:lineRule="auto"/>
                        <w:ind w:firstLine="720"/>
                        <w:jc w:val="both"/>
                        <w:rPr>
                          <w:rFonts w:eastAsia="Calibri"/>
                          <w:szCs w:val="24"/>
                        </w:rPr>
                      </w:pPr>
                      <w:sdt>
                        <w:sdtPr>
                          <w:alias w:val="Numeris"/>
                          <w:tag w:val="nr_3abaf16f7b944e20839a2311453236ef"/>
                          <w:lock w:val="sdtLocked"/>
                          <w:richText/>
                        </w:sdtPr>
                        <w:sdtContent>
                          <w:r>
                            <w:rPr>
                              <w:rFonts w:eastAsia="Calibri"/>
                              <w:szCs w:val="24"/>
                            </w:rPr>
                            <w:t>5</w:t>
                          </w:r>
                        </w:sdtContent>
                      </w:sdt>
                      <w:r>
                        <w:rPr>
                          <w:rFonts w:eastAsia="Calibri"/>
                          <w:szCs w:val="24"/>
                        </w:rPr>
                        <w:t>. Valstybės kontrolė kiekvienais metais atlieka Garantinio fondo ir Ilgalaikio darbo išmokų fondo metinių ataskaitų rinkinio auditą ir parengia audito išvadą.</w:t>
                      </w:r>
                    </w:p>
                    <w:p>
                      <w:pPr>
                        <w:spacing w:line="360" w:lineRule="auto"/>
                        <w:ind w:firstLine="720"/>
                        <w:jc w:val="both"/>
                        <w:rPr>
                          <w:rFonts w:eastAsia="Calibri"/>
                          <w:szCs w:val="24"/>
                        </w:rPr>
                      </w:pPr>
                    </w:p>
                  </w:sdtContent>
                </w:sdt>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c63b61cb105145ef80e5cb8711c85b52"/>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c63b61cb105145ef80e5cb8711c85b52"/>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e52c098bf11e9ae2e9d61b1f977b3">
            <w:r w:rsidRPr="00532B9F">
              <w:rPr>
                <w:rFonts w:ascii="Times New Roman" w:eastAsia="MS Mincho" w:hAnsi="Times New Roman"/>
                <w:sz w:val="20"/>
                <w:iCs/>
                <w:color w:val="0000FF" w:themeColor="hyperlink"/>
                <w:u w:val="single"/>
              </w:rPr>
              <w:t>XIII-2227</w:t>
            </w:r>
          </w:fldSimple>
          <w:r>
            <w:rPr>
              <w:rFonts w:ascii="Times New Roman" w:eastAsia="MS Mincho" w:hAnsi="Times New Roman"/>
              <w:sz w:val="20"/>
              <w:iCs/>
            </w:rPr>
            <w:t>,
2019-06-13,
paskelbta TAR 2019-06-27, i. k. 2019-10341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3, 5, 6, 7, 8, 10 ir 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4BC13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c9a3f1369a944553a0b75afd757c1484"/>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7" Abbr="2 str. 7 d." DocPartId="1b2f0aa550a74842a852e5aa1fbbf2ff" PartId="0543901784604292af0bc1167022acbc"/>
      </Part>
    </Part>
    <Part Type="skyrius" Nr="2" Title="GARANTIJOS DARBUOTOJAMS JŲ DARBDAVIUI TAPUS NEMOKIAM" DocPartId="009c6a8903dc4e59af3fb31682e797a6" PartId="d89e5d208a1f4818b7c2c20f00587e7c">
      <Part Type="straipsnis" Nr="3" Abbr="3 str." Title="Asmenys, kuriems užtikrinamos garantijos jų darbdaviui tapus nemokiam" DocPartId="3df834bb14c2486b9fd7d04cb4d1e26b" PartId="e1799bbcbbb24df39937531f5a034d27">
        <Part Type="strDalis" Nr="1" Abbr="3 str. 1 d." DocPartId="79a07529030c4328bc890e865f907101" PartId="41268717c6f1436fba8dc93e847a988a">
          <Part Type="strPunktas" Nr="1" Abbr="3 str. 1 d. 1 p." DocPartId="54d36ac52d134fc289c00aabac65a27f" PartId="e071bac989e64e4aa5f16a74fa51fa92"/>
          <Part Type="strPunktas" Nr="2" Abbr="3 str. 1 d. 2 p." DocPartId="8e34b508f4a6444db8969d3268e10280" PartId="cf0026517d3041c491629fbb8197eee5"/>
          <Part Type="strPunktas" Nr="3" Abbr="3 str. 1 d. 3 p." DocPartId="8a92effa345746ab84e38a806d8a12c0" PartId="d9b6a885b8d7426096e1497b8c9360dd"/>
        </Part>
        <Part Type="strDalis" Nr="2" Abbr="3 str. 2 d." DocPartId="c71dac3478bb44c9a3a2b2a0deb5c236" PartId="b8fa88c65ee64e1bbdb5d1df8bdc9d08"/>
        <Part Type="strDalis" Nr="3" Abbr="3 str. 3 d." DocPartId="1db60af749c64adfb76d3d1cab4d7f29" PartId="286753c467eb4966b085f9dee76c01fd"/>
        <Part Type="strDalis" Nr="4" Abbr="3 str. 4 d." DocPartId="89987e69ab2e4a2f8e5439c1c0c163e4" PartId="0ad361a175d74c71a61919223b9c6cd5"/>
        <Part Type="strDalis" Nr="5" Abbr="3 str. 5 d." DocPartId="d8b6d7d6d0bd46a98e726924dc0ba97f" PartId="30bcc05aa5b24577abca15d46fb140cd"/>
        <Part Type="strDalis" Nr="6" Abbr="3 str. 6 d." DocPartId="3badcdd46ee44771952b7a080e1a782b" PartId="e71dbbf98cf4433b97cb05f86835c126"/>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21c8e869902e47298c162efd24fc01e3">
          <Part Type="strPunktas" Nr="1" Abbr="5 str. 1 d. 1 p." DocPartId="987ba86dab544f0ead021d6dd9b11800" PartId="bd9a78a81d094564973e888b11ce02bc"/>
          <Part Type="strPunktas" Nr="2" Abbr="5 str. 1 d. 2 p." DocPartId="9bdee7d70f8a4460ba2bfd910b5f6649" PartId="753a8fa82ad4471fb1225050e0d223f8"/>
          <Part Type="strPunktas" Nr="3" Abbr="5 str. 1 d. 3 p." DocPartId="44398ef4d72e4d86975a70ef24f7c8d7" PartId="2fffec3a3dca486cabe2506897487448"/>
          <Part Type="strPunktas" Nr="4" Abbr="5 str. 1 d. 4 p." DocPartId="a5d5de2a8b84406ba8ca5dc303361dc8" PartId="452c82ce67b5446ba76c65b3d7da2f9f"/>
          <Part Type="strPunktas" Nr="5" Abbr="5 str. 1 d. 5 p." DocPartId="0b374902a8404634abf2f0ca4d961635" PartId="50d19cdfefd94e228f7d0e53c5e4572b"/>
          <Part Type="strPunktas" Nr="6" Abbr="5 str. 1 d. 6 p." DocPartId="f767a1edd82743be9a1ac424c3a17f8a" PartId="d4cdbe5bf7ee4129a95c7cea01957a4f"/>
        </Part>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6ac093f0946b48249cfb57abaa9a48fd">
        <Part Type="strDalis" Nr="1" Abbr="6 str. 1 d." DocPartId="5c3b5ecb9acd4e55a959c36146fb4976" PartId="8ff724b5b4cd482289fdd8c59907b46b">
          <Part Type="strPunktas" Nr="1" Abbr="6 str. 1 d. 1 p." DocPartId="cea9e56a73a8425abd8a2c5ad052372f" PartId="7994eb880428423eae44ac7cec96ec79"/>
          <Part Type="strPunktas" Nr="2" Abbr="6 str. 1 d. 2 p." DocPartId="4202014c02d441c1a1ceb26c4f6238c4" PartId="33964ceba8254006a206338be81d90fa"/>
          <Part Type="strPunktas" Nr="3" Abbr="6 str. 1 d. 3 p." DocPartId="3deefd6b6793430497f59e7ab3e092da" PartId="d553a7abad8641a4bfa24b3551cb408a"/>
          <Part Type="strPunktas" Nr="4" Abbr="6 str. 1 d. 4 p." DocPartId="a0c719a92cee4922b085e7a693fd913d" PartId="4b2986a01d6445e7963f3a22a6b20bc7"/>
        </Part>
      </Part>
      <Part Type="straipsnis" Nr="7" Abbr="7 str." Title="Išmokų iš Garantinio fondo skaičiavimo tvarka" DocPartId="0520410546784510ae682b4f18744d88" PartId="2d4cb8ba274242a3aaba57a4a436617b">
        <Part Type="strDalis" Nr="1" Abbr="7 str. 1 d." DocPartId="607d93dfa99b4b69ade19a764ca7f5c4" PartId="c465f5aaae0a4560b52e2c946a83b958">
          <Part Type="strPunktas" Nr="1" Abbr="7 str. 1 d. 1 p." DocPartId="1e3841b0c76941a4a8bdca5aaa8f9750" PartId="2f4885c352a1411c90083a543d730b75"/>
          <Part Type="strPunktas" Nr="2" Abbr="7 str. 1 d. 2 p." DocPartId="0fcf2508f0aa44699abd6f42f5d3f7d3" PartId="b04f14a270b94af08bcc2f6041333666"/>
        </Part>
        <Part Type="strDalis" Nr="2" Abbr="7 str. 2 d." DocPartId="bd5de7178d724a56a0048c23289662f8" PartId="52859383a9bc4a32916badf632477b42">
          <Part Type="strPunktas" Nr="1" Abbr="7 str. 2 d. 1 p." DocPartId="ebf9daad53fd42aabac09d6716da737c" PartId="c40acf7515d0469bad513a8a6cd8bc61"/>
          <Part Type="strPunktas" Nr="2" Abbr="7 str. 2 d. 2 p." DocPartId="98705f2e628e4b31b59668abc6c89aa4" PartId="ee262d4a7fc94f96a311408fa6ee1d9a"/>
          <Part Type="strPunktas" Nr="3" Abbr="7 str. 2 d. 3 p." DocPartId="d86acaf77b1e4b07bd2fdaa4f5f16456" PartId="da8dde8c62794a2e9c20443ba06167ae"/>
        </Part>
        <Part Type="strDalis" Nr="3" Abbr="7 str. 3 d." DocPartId="60dcc0bf90324d53869ccbd68eec665b" PartId="c33517d37c8a4162b50fd10b2248e191"/>
      </Part>
      <Part Type="straipsnis" Nr="8" Abbr="8 str." Title="Garantinio fondo lėšų skyrimo ir mokėjimo tvarka" DocPartId="3aa61b16ec294dea976f7282101a0776" PartId="9d4053a1a14e4817a20d6c0a2860a946">
        <Part Type="strDalis" Nr="1" Abbr="8 str. 1 d." DocPartId="13e5464cfc5941c1a15e252470096cd6" PartId="9ffe7b91d375473b94a42229e3910171"/>
        <Part Type="strDalis" Nr="2" Abbr="8 str. 2 d." DocPartId="81e88012817a47a9b8a23ce76a89ecae" PartId="5608acf0d539478996ad54f983d5e427"/>
        <Part Type="strDalis" Nr="3" Abbr="8 str. 3 d." DocPartId="7d204e0dba084b38bbb6a8be72636c88" PartId="4175de1c1bd7483d9de69d71868b3e4e"/>
        <Part Type="strDalis" Nr="4" Abbr="8 str. 4 d." DocPartId="910b2b0b75f7401fa093c17285c08bea" PartId="bc6d42f4146942fca3ab2b22d3313516"/>
        <Part Type="strDalis" Nr="5" Abbr="8 str. 5 d." DocPartId="5990c94cd17a4f09940410525a55a596" PartId="a472274fbbe0473e8e30a6881ce57a45"/>
        <Part Type="strDalis" Nr="6" Abbr="8 str. 6 d." DocPartId="2ae64afe0c7f4143b9501c803eb2800b" PartId="47b69ce905674c819520c82c117786a0"/>
        <Part Type="strDalis" Nr="7" Abbr="8 str. 7 d." DocPartId="d68b742533b646f3b843a0ccd2dfe0c2" PartId="389eea0e4e2c49b0adac1ed85fbfd48a"/>
      </Part>
    </Part>
    <Part Type="skyrius" Nr="3" Title="PAPILDOMOS FINANSINĖS GARANTIJOS ILGALAIKIO DARBO ATVEJU" DocPartId="e267e435c8f5435b8da29d3821012bf1" PartId="4ac4b25c997643bda11657a592575020">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10" Abbr="10 str." Title="Ilgalaikio darbo išmokos apskaičiavimo tvarka" DocPartId="f8227f9223a641bc9483e18ebaecec07" PartId="fa8be0298805415fa5cce37c8a03c069">
        <Part Type="strDalis" Nr="1" Abbr="10 str. 1 d." DocPartId="0ea887bdc8a54ce88c97677fe22ba2cb" PartId="4eb9fc91b28246218eb64c8e92cbb5ef">
          <Part Type="strPunktas" Nr="1" Abbr="10 str. 1 d. 1 p." DocPartId="91318f88490c4371ae643ed9d52994b7" PartId="56ddf861d57f405f90225d1cffa807c4"/>
          <Part Type="strPunktas" Nr="2" Abbr="10 str. 1 d. 2 p." DocPartId="280ae9a0b6034ee48ef17fe4447ac58f" PartId="bb67c863fba34dfbb0a7c480da76e593"/>
          <Part Type="strPunktas" Nr="3" Abbr="10 str. 1 d. 3 p." DocPartId="6a277b9b26624d6b943ec9e740743c6c" PartId="fce4452f54a14ca393cee451ee9fd783"/>
        </Part>
        <Part Type="strDalis" Nr="2" Abbr="10 str. 2 d." DocPartId="44d5cd4b601943cca97ec637a9b5b8b3" PartId="06e106d2196243e8b4651bae1583882a"/>
      </Part>
      <Part Type="straipsnis" Nr="11" Abbr="11 str." Title="Ilgalaikio darbo išmokų skyrimo ir mokėjimo tvarka" DocPartId="ee7acabc386741058fec283c859daeaa" PartId="c12c7e9023f44f2abcb6f63322d46e52">
        <Part Type="strDalis" Nr="1" Abbr="11 str. 1 d." DocPartId="f436bfc359484ae29a27b175838c444e" PartId="d9315633cde84fff8240817cc3f5cc76"/>
        <Part Type="strDalis" Nr="2" Abbr="11 str. 2 d." DocPartId="a96b881d106e49a59193562f9b474005" PartId="b906ad8088e845ad8d5e0af663c577a4"/>
        <Part Type="strDalis" Nr="3" Abbr="11 str. 3 d." DocPartId="eebfbacf790646e6bc508939389bd314" PartId="502b6af9ee114edab8e23d62e2363aae"/>
        <Part Type="strDalis" Nr="4" Abbr="11 str. 4 d." DocPartId="4822cee53be647188b149347f6e6d5c5" PartId="50d05c115ee9414797b107d9efcb3b6a"/>
      </Part>
      <Part Type="straipsnis" Nr="12" Abbr="12 str." Title="Ilgalaikio darbo išmokų grąžinimas" DocPartId="2ebcf71fe0d8430bac6800ebd2d0b59e" PartId="e60ca99b17354ef484458b414b6bc8c6">
        <Part Type="strDalis" Nr="1" Abbr="12 str. 1 d." DocPartId="45b5c7603ba245d1a19b5f9ae1a8ff59" PartId="f24e0c1ef2da4d8bafafbf50b9732761">
          <Part Type="strPunktas" Nr="1" Abbr="12 str. 1 d. 1 p." DocPartId="18b125e1463344019a62bfd6a682addb" PartId="9632e2cbf8d2403e98c3dd12d06617d5"/>
          <Part Type="strPunktas" Nr="2" Abbr="12 str. 1 d. 2 p." DocPartId="9819340e2c564359ac9bc22289c78bbe" PartId="e8cef76ff11b442c8f01e51a9e33ca40"/>
          <Part Type="strPunktas" Nr="3" Abbr="12 str. 1 d. 3 p." DocPartId="26ac0652c7f14b5892c542f250e2b1aa" PartId="d19e0af0fa81446796cd1a6b912aacfa"/>
        </Part>
      </Part>
      <Part Type="straipsnis" Nr="13" Abbr="13 str." Title="Ilgalaikio darbo išmokų fondo paskirtis ir administravimas" DocPartId="2d68f5099aa742d48a06cc4766d6710f" PartId="1549fef7be984509b43056c565aee68b">
        <Part Type="strDalis" Nr="1" Abbr="13 str. 1 d." DocPartId="2d20758fb7eb4c30a7493034f44304e2" PartId="ad261208cb7f4e97bb292b3d50d3d644"/>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6e8fb3f7e455448d9056d49c6d12528b">
          <Part Type="strPunktas" Nr="1" Abbr="14 str. 1 d. 1 p." DocPartId="99b313e1da674c63a3d3ed21a6acf9db" PartId="7bd5c812ddcd4ef09ebcbceda842a9b3"/>
          <Part Type="strPunktas" Nr="2" Abbr="14 str. 1 d. 2 p." DocPartId="297d3ec3fc01459f8aaac2f91e238455" PartId="b30d57794edc483bb08e8ef1ca2a60e7"/>
          <Part Type="strPunktas" Nr="3" Abbr="14 str. 1 d. 3 p." DocPartId="a735d8304c4b47c8b8f692e0ab0abe29" PartId="88f222ab6bad46c6be396fb119eda7fa"/>
          <Part Type="strPunktas" Nr="4" Abbr="14 str. 1 d. 4 p." DocPartId="dc765f0b3e0344ad9c912455fc0eb881" PartId="f8239fbee7114ecea9b7166c6e2abd09"/>
          <Part Type="strPunktas" Nr="5" Abbr="14 str. 1 d. 5 p." DocPartId="50402882483b4abbb0a3aef36cb42f3b" PartId="7cf18419b782423e8192593c92f4be45"/>
        </Part>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50dac3deb0bd405b83858b820f96d67d">
        <Part Type="strDalis" Nr="1" Abbr="15 str. 1 d." DocPartId="32cca19ae1cd4758851367e2a14d96f7" PartId="4f62a66ad91b40c09d6adb0d44a8eec5">
          <Part Type="strPunktas" Nr="1" Abbr="15 str. 1 d. 1 p." DocPartId="fedfe13ca1f74d87a215919f2c361040" PartId="af637fa558444bdc90365fad8560eb3a"/>
          <Part Type="strPunktas" Nr="2" Abbr="15 str. 1 d. 2 p." DocPartId="6d936b73197f4c08ba191f845061fce5" PartId="efb42d8b3f094306b621fb2d052440fd"/>
          <Part Type="strPunktas" Nr="3" Abbr="15 str. 1 d. 3 p." DocPartId="d04acf3a83f140e183c78b23028429c5" PartId="fe43eaaee9b443bda4a8691ebbc0e039"/>
          <Part Type="strPunktas" Nr="4" Abbr="15 str. 1 d. 4 p." DocPartId="0e4b8abbe0b14d40b86a757635da469d" PartId="82881dc13fb249e3b9d46c58716fd130"/>
          <Part Type="strPunktas" Nr="5" Abbr="15 str. 1 d. 5 p." DocPartId="4b1c92cc660f44ce9d2d195dc6537361" PartId="1ffc34a7587d41b9a63eeaa442f9374b"/>
        </Part>
      </Part>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3c763c786c1474fbce5dda714f9af8e"/>
          <Part Type="strPunktas" Nr="4" Abbr="19 str. 1 d. 4 p." DocPartId="21e3135b3bc94a18b176b5d2a2fe2534" PartId="957faffdc83e4388b81c94cd5f1fc355"/>
          <Part Type="strPunktas" Nr="5" Abbr="19 str. 1 d. 5 p." DocPartId="611c5675d66847548186174737676989" PartId="5ce9597d3bb44747b653af06383ec4aa"/>
          <Part Type="strPunktas" Nr="6" Abbr="19 str. 1 d. 6 p." DocPartId="e37cd07ac16144a8a2606ae3d6b60477" PartId="990c777f26b64ff2ab03cbe612a78691"/>
          <Part Type="strPunktas" Nr="7" Abbr="19 str. 1 d. 7 p." DocPartId="57726cbf7291416299440ac7e4cc6fb4" PartId="b53e38387aae4908ace02e1a12cf928f"/>
          <Part Type="strPunktas" Nr="8" Abbr="19 str. 1 d. 8 p." DocPartId="ee7bb04c45bf471aa93c08166f54d9fc" PartId="0d896bb0903e48d4b832d62e3100e7c1"/>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f869e6fb40f04aad88c674e1c540581f"/>
          <Part Type="strPunktas" Nr="2" Abbr="20 str. 4 d. 2 p." DocPartId="f1ad9175f39e4957ba9c5148f6fb32cf" PartId="6c68f3c5ac87490b881055e067a51fa7"/>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6c33f1b0e4f432fb1c137701fc540bd">
        <Part Type="strDalis" Nr="1" Abbr="21 str. 1 d." DocPartId="f07b53ca17da4a35b395ada88d0c91bf" PartId="e2b08e33be484b15a8157972566714ee"/>
        <Part Type="strDalis" Nr="2" Abbr="21 str. 2 d." DocPartId="6dc36bfb9aac405092c0cfdcd6a3938b" PartId="add30290e0cf4b30b6628d8651c9ab4f"/>
        <Part Type="strDalis" Nr="3" Abbr="21 str. 3 d." DocPartId="f76ad96c1a8144049eb2bf163b105468" PartId="f71926f843934d5e91f3f20ade5402e5"/>
        <Part Type="strDalis" Nr="4" Abbr="21 str. 4 d." DocPartId="02abc5b4d9504ccfb3cde0ada956c02a" PartId="02a03f32e8bf470ba03b1e35bb095894"/>
        <Part Type="strDalis" Nr="5" Abbr="21 str. 5 d." DocPartId="1da6e9f50128456096a78c3a253faf41" PartId="3abaf16f7b944e20839a2311453236ef"/>
      </Part>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c63b61cb105145ef80e5cb8711c85b52">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8067FD66-CD47-41C8-839D-0380AB0FDCAC}">
  <ds:schemaRefs>
    <ds:schemaRef ds:uri="http://lrs.lt/TAIS/DocParts"/>
  </ds:schemaRefs>
</ds:datastoreItem>
</file>

<file path=docProps/app.xml><?xml version="1.0" encoding="utf-8"?>
<Properties xmlns="http://schemas.openxmlformats.org/officeDocument/2006/extended-properties">
  <Template>Normal.dotm</Template>
  <TotalTime>9</TotalTime>
  <Pages>20</Pages>
  <Words>30589</Words>
  <Characters>17437</Characters>
  <Application>Microsoft Office Word</Application>
  <DocSecurity>0</DocSecurity>
  <Lines>145</Lines>
  <Paragraphs>95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47931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TRAPINSKIENĖ Aušrinė</lastModifiedBy>
  <lastPrinted>2016-09-15T05:46:00Z</lastPrinted>
  <dcterms:modified xsi:type="dcterms:W3CDTF">2019-07-02T12:36:00Z</dcterms:modified>
  <revision>16</revision>
</coreProperties>
</file>