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2021-12-30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Aprašo 1, 3, 4 ir 5 priedai pildomi rengiant ir teikiant reguliuojamosios veiklos ataskaitas už 2022 metus ir vėlesnius ataskaitinius laikotarpius. Reguliuojamosios veiklos ataskaitos už 2021 metus ir ankstesnius atskaitinius laikotarpius rengiamos ir teikiamos pagal iki 2021-12-29 nutarimo Nr. O3E-1796 galiojusias Aprašo nuostatas ir priedus</w:t>
          </w:r>
        </w:p>
        <w:p>
          <w:pPr>
            <w:pStyle w:val="PlainText"/>
            <w:rPr>
              <w:rFonts w:ascii="Times New Roman" w:eastAsia="MS Mincho" w:hAnsi="Times New Roman"/>
              <w:sz w:val="20"/>
              <w:i/>
              <w:iCs/>
            </w:rPr>
          </w:pPr>
          <w:r>
            <w:rPr>
              <w:rFonts w:ascii="Times New Roman" w:eastAsia="MS Mincho" w:hAnsi="Times New Roman"/>
              <w:sz w:val="20"/>
              <w:i/>
              <w:iCs/>
            </w:rPr>
            <w:t>Valstybinė energetikos reguliavimo taryba,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pPr>
            <w:pStyle w:val="PlainText"/>
            <w:rPr>
              <w:rFonts w:ascii="Times New Roman" w:eastAsia="MS Mincho" w:hAnsi="Times New Roman"/>
              <w:sz w:val="20"/>
              <w:i/>
              <w:iCs/>
            </w:rPr>
          </w:pPr>
          <w:r>
            <w:rPr>
              <w:rFonts w:ascii="Times New Roman" w:eastAsia="MS Mincho" w:hAnsi="Times New Roman"/>
              <w:sz w:val="20"/>
              <w:i/>
              <w:iCs/>
            </w:rPr>
            <w:t>Dėl Valstybinės energetikos reguliavimo tarybos 2018 m. gruodžio 21 d. nutarimo Nr. O3E-468 „Dėl Elektros energetikos įmonių apskaitos atskyrimo ir sąnaudų paskirstymo reikalavimų aprašo patvirtinimo“ pakeitimo</w:t>
          </w:r>
        </w:p>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5dc6fb548a934d7c8466ed88ed802691"/>
        <w:lock w:val="sdtLocked"/>
        <w:richText/>
      </w:sdtPr>
      <w:sdtContent>
        <w:p>
          <w:pPr>
            <w:widowControl w:val="0"/>
            <w:tabs>
              <w:tab w:val="num" w:pos="7088"/>
              <w:tab w:val="left" w:pos="7890"/>
            </w:tabs>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5dc6fb548a934d7c8466ed88ed802691"/>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8ba57a14ebe94b55b119240128087775"/>
                    <w:lock w:val="sdtLocked"/>
                    <w:richText/>
                  </w:sdtPr>
                  <w:sdtContent>
                    <w:p>
                      <w:pPr>
                        <w:tabs>
                          <w:tab w:val="left" w:pos="1296"/>
                          <w:tab w:val="center" w:pos="4153"/>
                          <w:tab w:val="right" w:pos="8306"/>
                        </w:tabs>
                        <w:ind w:firstLine="720"/>
                        <w:jc w:val="both"/>
                      </w:pPr>
                      <w:sdt>
                        <w:sdtPr>
                          <w:alias w:val="Numeris"/>
                          <w:tag w:val="nr_8ba57a14ebe94b55b119240128087775"/>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7-1 pp."/>
                    <w:tag w:val="part_ad399cbaf8944e26a29e6b6145d3ff71"/>
                    <w:lock w:val="sdtLocked"/>
                    <w:richText/>
                  </w:sdtPr>
                  <w:sdtContent>
                    <w:p>
                      <w:pPr>
                        <w:widowControl w:val="0"/>
                        <w:tabs>
                          <w:tab w:val="left" w:pos="851"/>
                        </w:tabs>
                        <w:ind w:firstLine="720"/>
                        <w:jc w:val="both"/>
                        <w:rPr>
                          <w:szCs w:val="24"/>
                          <w:lang w:eastAsia="lt-LT"/>
                        </w:rPr>
                      </w:pPr>
                      <w:sdt>
                        <w:sdtPr>
                          <w:alias w:val="Numeris"/>
                          <w:tag w:val="nr_ad399cbaf8944e26a29e6b6145d3ff71"/>
                          <w:lock w:val="sdtLocked"/>
                          <w:richText/>
                        </w:sdtPr>
                        <w:sdtContent>
                          <w:r>
                            <w:rPr>
                              <w:bCs/>
                              <w:lang w:eastAsia="lt-LT"/>
                            </w:rPr>
                            <w:t>2.7</w:t>
                          </w:r>
                          <w:r>
                            <w:rPr>
                              <w:bCs/>
                              <w:vertAlign w:val="superscript"/>
                              <w:lang w:eastAsia="lt-LT"/>
                            </w:rPr>
                            <w:t>1</w:t>
                          </w:r>
                        </w:sdtContent>
                      </w:sdt>
                      <w:r>
                        <w:rPr>
                          <w:bCs/>
                          <w:lang w:eastAsia="lt-LT"/>
                        </w:rPr>
                        <w:t>. paskirtasis kaupimo sistemos operatorius, teikiantis izoliuoto elektros energetikos sistemos darbo rezervo užtikrinimo (toliau – 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16e8ecfd85b949b4ba8c8d4de347bfe1"/>
                    <w:lock w:val="sdtLocked"/>
                    <w:richText/>
                  </w:sdtPr>
                  <w:sdtContent>
                    <w:p>
                      <w:pPr>
                        <w:widowControl w:val="0"/>
                        <w:tabs>
                          <w:tab w:val="left" w:pos="851"/>
                        </w:tabs>
                        <w:ind w:firstLine="720"/>
                        <w:jc w:val="both"/>
                        <w:rPr>
                          <w:szCs w:val="24"/>
                          <w:lang w:eastAsia="lt-LT"/>
                        </w:rPr>
                      </w:pPr>
                      <w:sdt>
                        <w:sdtPr>
                          <w:alias w:val="Numeris"/>
                          <w:tag w:val="nr_16e8ecfd85b949b4ba8c8d4de347bfe1"/>
                          <w:lock w:val="sdtLocked"/>
                          <w:richText/>
                        </w:sdtPr>
                        <w:sdtContent>
                          <w:r>
                            <w:rPr>
                              <w:szCs w:val="24"/>
                              <w:lang w:eastAsia="lt-LT"/>
                            </w:rPr>
                            <w:t>3.4</w:t>
                          </w:r>
                        </w:sdtContent>
                      </w:sdt>
                      <w:r>
                        <w:rPr>
                          <w:szCs w:val="24"/>
                          <w:lang w:eastAsia="lt-LT"/>
                        </w:rPr>
                        <w:t>. Elektros energetikos infrastruktūrinė įmonė – elektros energetikos įmonė, kuri vykdo bent vieną iš perdavimo, skirstymo, kaupimo ir elektros energijos gamybos veiklų ir kurios teikiamų paslaugų (produktų) kainos yra reguliuojamos.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b51fe3fc73d490599a30af3e341d3ee"/>
                    <w:lock w:val="sdtLocked"/>
                    <w:richText/>
                  </w:sdtPr>
                  <w:sdtContent>
                    <w:p>
                      <w:pPr>
                        <w:ind w:firstLine="720"/>
                        <w:jc w:val="both"/>
                        <w:textAlignment w:val="baseline"/>
                        <w:rPr>
                          <w:rFonts w:ascii="Segoe UI" w:hAnsi="Segoe UI" w:cs="Segoe UI"/>
                          <w:sz w:val="18"/>
                          <w:szCs w:val="18"/>
                          <w:lang w:eastAsia="lt-LT"/>
                        </w:rPr>
                      </w:pPr>
                      <w:sdt>
                        <w:sdtPr>
                          <w:alias w:val="Numeris"/>
                          <w:tag w:val="nr_5b51fe3fc73d490599a30af3e341d3ee"/>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 </w:t>
                      </w:r>
                    </w:p>
                    <w:sdt>
                      <w:sdtPr>
                        <w:alias w:val="9.3.1 pp."/>
                        <w:tag w:val="part_ef3b5581f3734ef0876c2b28774ba077"/>
                        <w:lock w:val="sdtLocked"/>
                        <w:richText/>
                      </w:sdtPr>
                      <w:sdtContent>
                        <w:p>
                          <w:pPr>
                            <w:ind w:firstLine="720"/>
                            <w:jc w:val="both"/>
                            <w:textAlignment w:val="baseline"/>
                            <w:rPr>
                              <w:rFonts w:ascii="Segoe UI" w:hAnsi="Segoe UI" w:cs="Segoe UI"/>
                              <w:sz w:val="18"/>
                              <w:szCs w:val="18"/>
                              <w:lang w:eastAsia="lt-LT"/>
                            </w:rPr>
                          </w:pPr>
                          <w:sdt>
                            <w:sdtPr>
                              <w:alias w:val="Numeris"/>
                              <w:tag w:val="nr_ef3b5581f3734ef0876c2b28774ba077"/>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 </w:t>
                          </w:r>
                        </w:p>
                      </w:sdtContent>
                    </w:sdt>
                    <w:sdt>
                      <w:sdtPr>
                        <w:alias w:val="9.3.2 pp."/>
                        <w:tag w:val="part_2b7ad9dc0df4469a956cd1d428e6e494"/>
                        <w:lock w:val="sdtLocked"/>
                        <w:richText/>
                      </w:sdtPr>
                      <w:sdtContent>
                        <w:p>
                          <w:pPr>
                            <w:ind w:firstLine="720"/>
                            <w:jc w:val="both"/>
                            <w:textAlignment w:val="baseline"/>
                            <w:rPr>
                              <w:rFonts w:ascii="Segoe UI" w:hAnsi="Segoe UI" w:cs="Segoe UI"/>
                              <w:sz w:val="18"/>
                              <w:szCs w:val="18"/>
                              <w:lang w:eastAsia="lt-LT"/>
                            </w:rPr>
                          </w:pPr>
                          <w:sdt>
                            <w:sdtPr>
                              <w:alias w:val="Numeris"/>
                              <w:tag w:val="nr_2b7ad9dc0df4469a956cd1d428e6e494"/>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 </w:t>
                          </w:r>
                        </w:p>
                      </w:sdtContent>
                    </w:sdt>
                    <w:sdt>
                      <w:sdtPr>
                        <w:alias w:val="9.3.3 pp."/>
                        <w:tag w:val="part_71e8282da3034c8fbb1f390d90e295df"/>
                        <w:lock w:val="sdtLocked"/>
                        <w:richText/>
                      </w:sdtPr>
                      <w:sdtContent>
                        <w:p>
                          <w:pPr>
                            <w:ind w:firstLine="720"/>
                            <w:jc w:val="both"/>
                            <w:textAlignment w:val="baseline"/>
                            <w:rPr>
                              <w:rFonts w:ascii="Segoe UI" w:hAnsi="Segoe UI" w:cs="Segoe UI"/>
                              <w:sz w:val="18"/>
                              <w:szCs w:val="18"/>
                              <w:lang w:eastAsia="lt-LT"/>
                            </w:rPr>
                          </w:pPr>
                          <w:sdt>
                            <w:sdtPr>
                              <w:alias w:val="Numeris"/>
                              <w:tag w:val="nr_71e8282da3034c8fbb1f390d90e295df"/>
                              <w:lock w:val="sdtLocked"/>
                              <w:richText/>
                            </w:sdtPr>
                            <w:sdtContent>
                              <w:r>
                                <w:rPr>
                                  <w:szCs w:val="24"/>
                                  <w:lang w:eastAsia="lt-LT"/>
                                </w:rPr>
                                <w:t>9.3.3</w:t>
                              </w:r>
                            </w:sdtContent>
                          </w:sdt>
                          <w:r>
                            <w:rPr>
                              <w:szCs w:val="24"/>
                              <w:lang w:eastAsia="lt-LT"/>
                            </w:rPr>
                            <w:t>. balansavimo; </w:t>
                          </w:r>
                        </w:p>
                      </w:sdtContent>
                    </w:sdt>
                    <w:sdt>
                      <w:sdtPr>
                        <w:alias w:val="9.3.4 pp."/>
                        <w:tag w:val="part_7eaac8112e3b479081217597b2b75d6c"/>
                        <w:lock w:val="sdtLocked"/>
                        <w:richText/>
                      </w:sdtPr>
                      <w:sdtContent>
                        <w:p>
                          <w:pPr>
                            <w:ind w:firstLine="720"/>
                            <w:jc w:val="both"/>
                            <w:textAlignment w:val="baseline"/>
                            <w:rPr>
                              <w:rFonts w:ascii="Segoe UI" w:hAnsi="Segoe UI" w:cs="Segoe UI"/>
                              <w:sz w:val="18"/>
                              <w:szCs w:val="18"/>
                              <w:lang w:eastAsia="lt-LT"/>
                            </w:rPr>
                          </w:pPr>
                          <w:sdt>
                            <w:sdtPr>
                              <w:alias w:val="Numeris"/>
                              <w:tag w:val="nr_7eaac8112e3b479081217597b2b75d6c"/>
                              <w:lock w:val="sdtLocked"/>
                              <w:richText/>
                            </w:sdtPr>
                            <w:sdtContent>
                              <w:r>
                                <w:rPr>
                                  <w:szCs w:val="24"/>
                                  <w:lang w:eastAsia="lt-LT"/>
                                </w:rPr>
                                <w:t>9.3.4</w:t>
                              </w:r>
                            </w:sdtContent>
                          </w:sdt>
                          <w:r>
                            <w:rPr>
                              <w:szCs w:val="24"/>
                              <w:lang w:eastAsia="lt-LT"/>
                            </w:rPr>
                            <w:t>. kompensacijos už servitutus; </w:t>
                          </w:r>
                        </w:p>
                      </w:sdtContent>
                    </w:sdt>
                    <w:sdt>
                      <w:sdtPr>
                        <w:alias w:val="9.3.5 pp."/>
                        <w:tag w:val="part_6276859660e4404b83b6e6ad1f690a8f"/>
                        <w:lock w:val="sdtLocked"/>
                        <w:richText/>
                      </w:sdtPr>
                      <w:sdtContent>
                        <w:p>
                          <w:pPr>
                            <w:ind w:firstLine="720"/>
                            <w:jc w:val="both"/>
                            <w:textAlignment w:val="baseline"/>
                            <w:rPr>
                              <w:rFonts w:ascii="Segoe UI" w:hAnsi="Segoe UI" w:cs="Segoe UI"/>
                              <w:sz w:val="18"/>
                              <w:szCs w:val="18"/>
                              <w:lang w:eastAsia="lt-LT"/>
                            </w:rPr>
                          </w:pPr>
                          <w:sdt>
                            <w:sdtPr>
                              <w:alias w:val="Numeris"/>
                              <w:tag w:val="nr_6276859660e4404b83b6e6ad1f690a8f"/>
                              <w:lock w:val="sdtLocked"/>
                              <w:richText/>
                            </w:sdtPr>
                            <w:sdtContent>
                              <w:r>
                                <w:rPr>
                                  <w:szCs w:val="24"/>
                                  <w:lang w:eastAsia="lt-LT"/>
                                </w:rPr>
                                <w:t>9.3.5</w:t>
                              </w:r>
                            </w:sdtContent>
                          </w:sdt>
                          <w:r>
                            <w:rPr>
                              <w:szCs w:val="24"/>
                              <w:lang w:eastAsia="lt-LT"/>
                            </w:rPr>
                            <w:t>. kompensacijos už apsaugos zonas; </w:t>
                          </w:r>
                        </w:p>
                      </w:sdtContent>
                    </w:sdt>
                    <w:sdt>
                      <w:sdtPr>
                        <w:alias w:val="9.3.6 pp."/>
                        <w:tag w:val="part_080066168a5b4ebab180197648a496be"/>
                        <w:lock w:val="sdtLocked"/>
                        <w:richText/>
                      </w:sdtPr>
                      <w:sdtContent>
                        <w:p>
                          <w:pPr>
                            <w:ind w:firstLine="720"/>
                            <w:jc w:val="both"/>
                            <w:textAlignment w:val="baseline"/>
                            <w:rPr>
                              <w:rFonts w:ascii="Segoe UI" w:hAnsi="Segoe UI" w:cs="Segoe UI"/>
                              <w:sz w:val="18"/>
                              <w:szCs w:val="18"/>
                              <w:lang w:eastAsia="lt-LT"/>
                            </w:rPr>
                          </w:pPr>
                          <w:sdt>
                            <w:sdtPr>
                              <w:alias w:val="Numeris"/>
                              <w:tag w:val="nr_080066168a5b4ebab180197648a496be"/>
                              <w:lock w:val="sdtLocked"/>
                              <w:richText/>
                            </w:sdtPr>
                            <w:sdtContent>
                              <w:r>
                                <w:rPr>
                                  <w:szCs w:val="24"/>
                                  <w:lang w:eastAsia="lt-LT"/>
                                </w:rPr>
                                <w:t>9.3.6</w:t>
                              </w:r>
                            </w:sdtContent>
                          </w:sdt>
                          <w:r>
                            <w:rPr>
                              <w:szCs w:val="24"/>
                              <w:lang w:eastAsia="lt-LT"/>
                            </w:rPr>
                            <w:t>. elektros energijos garantinio tiekimo; </w:t>
                          </w:r>
                        </w:p>
                      </w:sdtContent>
                    </w:sdt>
                    <w:sdt>
                      <w:sdtPr>
                        <w:alias w:val="9.3.7 pp."/>
                        <w:tag w:val="part_6869f5fe3f9a471ebde0533b079c1163"/>
                        <w:lock w:val="sdtLocked"/>
                        <w:richText/>
                      </w:sdtPr>
                      <w:sdtContent>
                        <w:p>
                          <w:pPr>
                            <w:ind w:firstLine="720"/>
                            <w:jc w:val="both"/>
                            <w:textAlignment w:val="baseline"/>
                            <w:rPr>
                              <w:szCs w:val="24"/>
                              <w:lang w:eastAsia="lt-LT"/>
                            </w:rPr>
                          </w:pPr>
                          <w:sdt>
                            <w:sdtPr>
                              <w:alias w:val="Numeris"/>
                              <w:tag w:val="nr_6869f5fe3f9a471ebde0533b079c1163"/>
                              <w:lock w:val="sdtLocked"/>
                              <w:richText/>
                            </w:sdtPr>
                            <w:sdtContent>
                              <w:r>
                                <w:rPr>
                                  <w:szCs w:val="24"/>
                                  <w:lang w:eastAsia="lt-LT"/>
                                </w:rPr>
                                <w:t>9.3.7</w:t>
                              </w:r>
                            </w:sdtContent>
                          </w:sdt>
                          <w:r>
                            <w:rPr>
                              <w:szCs w:val="24"/>
                              <w:lang w:eastAsia="lt-LT"/>
                            </w:rPr>
                            <w:t>. prijungimo sąlygų, išankstinių prijungimo sąlygų, prijungimo paslaugos sutarčių, kai jose nurodomos prijungimo sąlygos, parengimo; </w:t>
                          </w:r>
                        </w:p>
                      </w:sdtContent>
                    </w:sdt>
                    <w:sdt>
                      <w:sdtPr>
                        <w:alias w:val="9.3.8 pp."/>
                        <w:tag w:val="part_2be8c5d0b61a4eabbe9b0004c55644f2"/>
                        <w:lock w:val="sdtLocked"/>
                        <w:richText/>
                      </w:sdtPr>
                      <w:sdtContent>
                        <w:p>
                          <w:pPr>
                            <w:ind w:firstLine="720"/>
                            <w:jc w:val="both"/>
                            <w:textAlignment w:val="baseline"/>
                            <w:rPr>
                              <w:color w:val="000000"/>
                            </w:rPr>
                          </w:pPr>
                          <w:sdt>
                            <w:sdtPr>
                              <w:alias w:val="Numeris"/>
                              <w:tag w:val="nr_2be8c5d0b61a4eabbe9b0004c55644f2"/>
                              <w:lock w:val="sdtLocked"/>
                              <w:richText/>
                            </w:sdtPr>
                            <w:sdtContent>
                              <w:r>
                                <w:rPr>
                                  <w:szCs w:val="24"/>
                                  <w:lang w:eastAsia="lt-LT"/>
                                </w:rPr>
                                <w:t>9.3.8</w:t>
                              </w:r>
                            </w:sdtContent>
                          </w:sdt>
                          <w:r>
                            <w:rPr>
                              <w:szCs w:val="24"/>
                              <w:lang w:eastAsia="lt-LT"/>
                            </w:rPr>
                            <w:t>. kitos su elektros energijos skirstymo veiklos verslo vienetu tiesiogiai susijusios paslaugos (produktai);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4-1 pp."/>
                    <w:tag w:val="part_c1152e56afe54a7d9daf19a26795960f"/>
                    <w:lock w:val="sdtLocked"/>
                    <w:richText/>
                  </w:sdtPr>
                  <w:sdtContent>
                    <w:p>
                      <w:pPr>
                        <w:widowControl w:val="0"/>
                        <w:tabs>
                          <w:tab w:val="left" w:pos="851"/>
                        </w:tabs>
                        <w:ind w:firstLine="720"/>
                        <w:jc w:val="both"/>
                        <w:rPr>
                          <w:color w:val="000000"/>
                        </w:rPr>
                      </w:pPr>
                      <w:sdt>
                        <w:sdtPr>
                          <w:alias w:val="Numeris"/>
                          <w:tag w:val="nr_c1152e56afe54a7d9daf19a26795960f"/>
                          <w:lock w:val="sdtLocked"/>
                          <w:richText/>
                        </w:sdtPr>
                        <w:sdtContent>
                          <w:r>
                            <w:rPr>
                              <w:szCs w:val="24"/>
                              <w:lang w:eastAsia="lt-LT"/>
                            </w:rPr>
                            <w:t>9.4</w:t>
                          </w:r>
                          <w:r>
                            <w:rPr>
                              <w:szCs w:val="24"/>
                              <w:vertAlign w:val="superscript"/>
                              <w:lang w:eastAsia="lt-LT"/>
                            </w:rPr>
                            <w:t>1</w:t>
                          </w:r>
                        </w:sdtContent>
                      </w:sdt>
                      <w:r>
                        <w:rPr>
                          <w:szCs w:val="24"/>
                          <w:lang w:eastAsia="lt-LT"/>
                        </w:rPr>
                        <w:t>. elektros energijos kaupimo veiklą, vykdomą paskirtojo kaupimo sistemos operatoriaus, teikiančio 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e60486e1c3f94d92b96f0a26ee9876a7"/>
                        <w:lock w:val="sdtLocked"/>
                        <w:richText/>
                      </w:sdtPr>
                      <w:sdtContent>
                        <w:p>
                          <w:pPr>
                            <w:widowControl w:val="0"/>
                            <w:tabs>
                              <w:tab w:val="left" w:pos="851"/>
                            </w:tabs>
                            <w:ind w:firstLine="709"/>
                            <w:jc w:val="both"/>
                            <w:rPr>
                              <w:szCs w:val="24"/>
                              <w:lang w:eastAsia="lt-LT"/>
                            </w:rPr>
                          </w:pPr>
                          <w:sdt>
                            <w:sdtPr>
                              <w:alias w:val="Numeris"/>
                              <w:tag w:val="nr_e60486e1c3f94d92b96f0a26ee9876a7"/>
                              <w:lock w:val="sdtLocked"/>
                              <w:richText/>
                            </w:sdtPr>
                            <w:sdtContent>
                              <w:r>
                                <w:rPr>
                                  <w:color w:val="000000"/>
                                  <w:szCs w:val="24"/>
                                  <w:lang w:eastAsia="lt-LT"/>
                                </w:rPr>
                                <w:t>13.4.7</w:t>
                              </w:r>
                            </w:sdtContent>
                          </w:sdt>
                          <w:r>
                            <w:rPr>
                              <w:color w:val="000000"/>
                              <w:szCs w:val="24"/>
                              <w:lang w:eastAsia="lt-LT"/>
                            </w:rPr>
                            <w:t xml:space="preserve">. </w:t>
                          </w:r>
                          <w:r>
                            <w:rPr>
                              <w:bCs/>
                              <w:color w:val="000000"/>
                              <w:szCs w:val="24"/>
                              <w:lang w:eastAsia="lt-LT"/>
                            </w:rPr>
                            <w:t xml:space="preserve">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4.8 pp."/>
                        <w:tag w:val="part_ccaa8511ca7b4f34b49d62fa1cf7fa59"/>
                        <w:lock w:val="sdtLocked"/>
                        <w:richText/>
                      </w:sdtPr>
                      <w:sdtContent>
                        <w:p>
                          <w:pPr>
                            <w:widowControl w:val="0"/>
                            <w:ind w:firstLine="720"/>
                            <w:jc w:val="both"/>
                            <w:rPr>
                              <w:szCs w:val="24"/>
                              <w:lang w:eastAsia="lt-LT"/>
                            </w:rPr>
                          </w:pPr>
                          <w:sdt>
                            <w:sdtPr>
                              <w:alias w:val="Numeris"/>
                              <w:tag w:val="nr_ccaa8511ca7b4f34b49d62fa1cf7fa59"/>
                              <w:lock w:val="sdtLocked"/>
                              <w:richText/>
                            </w:sdtPr>
                            <w:sdtContent>
                              <w:r>
                                <w:t>13.4.8</w:t>
                              </w:r>
                            </w:sdtContent>
                          </w:sdt>
                          <w:r>
                            <w:t>. išsinuomoto ilgalaikio turto,</w:t>
                          </w:r>
                          <w:r>
                            <w:rPr>
                              <w:szCs w:val="24"/>
                              <w:lang w:eastAsia="lt-LT"/>
                            </w:rPr>
                            <w:t xml:space="preserve"> kuris vadovaujantis Tarptautiniais apskaitos standartais yra apskaitomas ilgalaikiame turte,</w:t>
                          </w:r>
                          <w:r>
                            <w:t xml:space="preserve"> vertę;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13.5.4 pp."/>
                        <w:tag w:val="part_921d2fb64fd14120a475d34b69601b09"/>
                        <w:lock w:val="sdtLocked"/>
                        <w:richText/>
                      </w:sdtPr>
                      <w:sdtContent>
                        <w:p>
                          <w:pPr>
                            <w:widowControl w:val="0"/>
                            <w:tabs>
                              <w:tab w:val="left" w:pos="851"/>
                            </w:tabs>
                            <w:ind w:firstLine="709"/>
                            <w:jc w:val="both"/>
                          </w:pPr>
                          <w:sdt>
                            <w:sdtPr>
                              <w:alias w:val="Numeris"/>
                              <w:tag w:val="nr_921d2fb64fd14120a475d34b69601b09"/>
                              <w:lock w:val="sdtLocked"/>
                              <w:richText/>
                            </w:sdt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 taip pat perkrovų pajamas, ilgalaikio turto vertės dalį, sukurtą diegiant energetikos inovacijas ir finansuotą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4-1 pp."/>
                        <w:tag w:val="part_d9afe3f0718a40d4a3d376caeab5ca41"/>
                        <w:lock w:val="sdtLocked"/>
                        <w:richText/>
                      </w:sdtPr>
                      <w:sdtContent>
                        <w:p>
                          <w:pPr>
                            <w:widowControl w:val="0"/>
                            <w:tabs>
                              <w:tab w:val="left" w:pos="851"/>
                            </w:tabs>
                            <w:ind w:firstLine="709"/>
                            <w:jc w:val="both"/>
                            <w:rPr>
                              <w:szCs w:val="24"/>
                              <w:lang w:eastAsia="lt-LT"/>
                            </w:rPr>
                          </w:pPr>
                          <w:sdt>
                            <w:sdtPr>
                              <w:alias w:val="Numeris"/>
                              <w:tag w:val="nr_d9afe3f0718a40d4a3d376caeab5ca41"/>
                              <w:lock w:val="sdtLocked"/>
                              <w:richText/>
                            </w:sdtPr>
                            <w:sdtContent>
                              <w:r>
                                <w:rPr>
                                  <w:szCs w:val="24"/>
                                  <w:lang w:eastAsia="lt-LT"/>
                                </w:rPr>
                                <w:t>13.5.4</w:t>
                              </w:r>
                              <w:r>
                                <w:rPr>
                                  <w:szCs w:val="24"/>
                                  <w:vertAlign w:val="superscript"/>
                                  <w:lang w:eastAsia="lt-LT"/>
                                </w:rPr>
                                <w:t>1</w:t>
                              </w:r>
                            </w:sdtContent>
                          </w:sdt>
                          <w:r>
                            <w:rPr>
                              <w:szCs w:val="24"/>
                              <w:lang w:eastAsia="lt-LT"/>
                            </w:rPr>
                            <w:t>. ilgalaikio turto vertės dalį, sukurtą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3-1 pp."/>
                    <w:tag w:val="part_d0cf8829bda04fdaaa37a4d2c49f67ae"/>
                    <w:lock w:val="sdtLocked"/>
                    <w:richText/>
                  </w:sdtPr>
                  <w:sdtContent>
                    <w:p>
                      <w:pPr>
                        <w:tabs>
                          <w:tab w:val="left" w:pos="1134"/>
                        </w:tabs>
                        <w:ind w:firstLine="720"/>
                        <w:jc w:val="both"/>
                        <w:rPr>
                          <w:szCs w:val="24"/>
                          <w:lang w:val="en-US" w:eastAsia="lt-LT"/>
                        </w:rPr>
                      </w:pPr>
                      <w:sdt>
                        <w:sdtPr>
                          <w:alias w:val="Numeris"/>
                          <w:tag w:val="nr_d0cf8829bda04fdaaa37a4d2c49f67ae"/>
                          <w:lock w:val="sdtLocked"/>
                          <w:richText/>
                        </w:sdtPr>
                        <w:sdtContent>
                          <w:r>
                            <w:rPr>
                              <w:szCs w:val="24"/>
                              <w:lang w:eastAsia="lt-LT"/>
                            </w:rPr>
                            <w:t>20.3</w:t>
                          </w:r>
                          <w:r>
                            <w:rPr>
                              <w:szCs w:val="24"/>
                              <w:vertAlign w:val="superscript"/>
                              <w:lang w:eastAsia="lt-LT"/>
                            </w:rPr>
                            <w:t>1</w:t>
                          </w:r>
                        </w:sdtContent>
                      </w:sdt>
                      <w:r>
                        <w:rPr>
                          <w:szCs w:val="24"/>
                          <w:lang w:eastAsia="lt-LT"/>
                        </w:rPr>
                        <w:t>. elektros energetikos įmonė, gali taikyti trumpesnius, nei Tarybos nustatyti, ilgalaikio turto nusidėvėjimo normatyvus projekto turtui, jei pagal Tarybos patvirtintą Investicijų projektų papildomų reguliacinių paskatų ir rizikų vertinimo metodiką priimtuose Tarybos sprendimuose (nutarimuose) yra numatytas tokios reguliacinės rizikos mažinimo priemonės projektui suteikimas.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be5d22031c66401cbf0ff654b7962155"/>
                    <w:lock w:val="sdtLocked"/>
                    <w:richText/>
                  </w:sdtPr>
                  <w:sdtContent>
                    <w:p>
                      <w:pPr>
                        <w:widowControl w:val="0"/>
                        <w:tabs>
                          <w:tab w:val="left" w:pos="851"/>
                        </w:tabs>
                        <w:ind w:firstLine="720"/>
                        <w:jc w:val="both"/>
                        <w:rPr>
                          <w:szCs w:val="24"/>
                          <w:lang w:eastAsia="lt-LT"/>
                        </w:rPr>
                      </w:pPr>
                      <w:sdt>
                        <w:sdtPr>
                          <w:alias w:val="Numeris"/>
                          <w:tag w:val="nr_be5d22031c66401cbf0ff654b7962155"/>
                          <w:lock w:val="sdtLocked"/>
                          <w:richText/>
                        </w:sdtPr>
                        <w:sdtContent>
                          <w:r>
                            <w:rPr>
                              <w:color w:val="000000"/>
                              <w:szCs w:val="24"/>
                              <w:lang w:eastAsia="lt-LT"/>
                            </w:rPr>
                            <w:t>20.6</w:t>
                          </w:r>
                        </w:sdtContent>
                      </w:sdt>
                      <w:r>
                        <w:rPr>
                          <w:color w:val="000000"/>
                          <w:szCs w:val="24"/>
                          <w:lang w:eastAsia="lt-LT"/>
                        </w:rPr>
                        <w:t>.  jeigu iki Aprašo įsigaliojimo dienos įsigytiems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6a464fce1c54aad8687f0513a8451f5"/>
                    <w:lock w:val="sdtLocked"/>
                    <w:richText/>
                  </w:sdtPr>
                  <w:sdtContent>
                    <w:p>
                      <w:pPr>
                        <w:ind w:firstLine="720"/>
                        <w:jc w:val="both"/>
                        <w:rPr>
                          <w:szCs w:val="24"/>
                          <w:lang w:eastAsia="lt-LT"/>
                        </w:rPr>
                      </w:pPr>
                      <w:sdt>
                        <w:sdtPr>
                          <w:alias w:val="Numeris"/>
                          <w:tag w:val="nr_b6a464fce1c54aad8687f0513a8451f5"/>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7cb1642e48ac4a519576fb4d9652f3da"/>
                    <w:lock w:val="sdtLocked"/>
                    <w:richText/>
                  </w:sdtPr>
                  <w:sdtContent>
                    <w:p>
                      <w:pPr>
                        <w:ind w:firstLine="720"/>
                        <w:jc w:val="both"/>
                      </w:pPr>
                      <w:sdt>
                        <w:sdtPr>
                          <w:alias w:val="Numeris"/>
                          <w:tag w:val="nr_7cb1642e48ac4a519576fb4d9652f3da"/>
                          <w:lock w:val="sdtLocked"/>
                          <w:richText/>
                        </w:sdtPr>
                        <w:sdtContent>
                          <w:r>
                            <w:rPr>
                              <w:color w:val="000000"/>
                              <w:szCs w:val="24"/>
                            </w:rPr>
                            <w:t>30.5</w:t>
                          </w:r>
                        </w:sdtContent>
                      </w:sdt>
                      <w:r>
                        <w:rPr>
                          <w:color w:val="000000"/>
                          <w:szCs w:val="24"/>
                        </w:rPr>
                        <w:t>. patirtas palūkanų</w:t>
                      </w:r>
                      <w:r>
                        <w:rPr>
                          <w:b/>
                          <w:bCs/>
                          <w:color w:val="000000"/>
                          <w:szCs w:val="24"/>
                        </w:rPr>
                        <w:t xml:space="preserve"> </w:t>
                      </w:r>
                      <w:r>
                        <w:rPr>
                          <w:color w:val="000000"/>
                          <w:szCs w:val="24"/>
                        </w:rPr>
                        <w:t xml:space="preserve">sąnaudas, išskyrus sąnaudas, kurios reikalingos padengti apyvartinių lėšų trūkumą vykdant Lietuvos Respublikos Vyriausybės 2020 m. kovo 16 d. pasitarimo sprendimo (protokolo Nr. 14) priede numatytas priemones, kartu </w:t>
                      </w:r>
                      <w:r>
                        <w:rPr>
                          <w:szCs w:val="24"/>
                        </w:rPr>
                        <w:t xml:space="preserve">atsižvelgiant į vartotojų ar elektros energetikos įmonių, įtrauktų į Sąrašą, ir visuomeninio tiekėjo </w:t>
                      </w:r>
                      <w:r>
                        <w:rPr>
                          <w:color w:val="000000"/>
                          <w:szCs w:val="24"/>
                        </w:rPr>
                        <w:t>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t>rumpalaikių paskolų (iki vienerių metų), skirtų subalansuoti elektros energetikos įmonės finansinius srautus Lietuvos Respublikos teritorijoje paskelbto karantino laikotarpiu,</w:t>
                      </w:r>
                      <w:r>
                        <w:rPr>
                          <w:color w:val="000000"/>
                          <w:szCs w:val="24"/>
                        </w:rPr>
                        <w:t xml:space="preserve"> </w:t>
                      </w:r>
                      <w:r>
                        <w:t>palūkanų sąnaudos. R</w:t>
                      </w:r>
                      <w:r>
                        <w:rPr>
                          <w:color w:val="000000"/>
                          <w:szCs w:val="24"/>
                        </w:rPr>
                        <w:t>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5-1 pp."/>
                    <w:tag w:val="part_c34af1e21613420aa842e72e50a2be0a"/>
                    <w:lock w:val="sdtLocked"/>
                    <w:richText/>
                  </w:sdtPr>
                  <w:sdtContent>
                    <w:p>
                      <w:pPr>
                        <w:ind w:firstLine="720"/>
                        <w:jc w:val="both"/>
                        <w:rPr>
                          <w:szCs w:val="24"/>
                          <w:lang w:eastAsia="lt-LT"/>
                        </w:rPr>
                      </w:pPr>
                      <w:sdt>
                        <w:sdtPr>
                          <w:alias w:val="Numeris"/>
                          <w:tag w:val="nr_c34af1e21613420aa842e72e50a2be0a"/>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sdt>
                      <w:sdtPr>
                        <w:alias w:val="30.6.5 pp."/>
                        <w:tag w:val="part_f0a00f0203604333b583d226186208ea"/>
                        <w:lock w:val="sdtLocked"/>
                        <w:richText/>
                      </w:sdtPr>
                      <w:sdtContent>
                        <w:p>
                          <w:pPr>
                            <w:tabs>
                              <w:tab w:val="left" w:pos="1134"/>
                            </w:tabs>
                            <w:ind w:firstLine="720"/>
                            <w:jc w:val="both"/>
                            <w:rPr>
                              <w:szCs w:val="24"/>
                              <w:lang w:eastAsia="lt-LT"/>
                            </w:rPr>
                          </w:pPr>
                          <w:sdt>
                            <w:sdtPr>
                              <w:alias w:val="Numeris"/>
                              <w:tag w:val="nr_f0a00f0203604333b583d226186208ea"/>
                              <w:lock w:val="sdtLocked"/>
                              <w:richText/>
                            </w:sdtPr>
                            <w:sdtContent>
                              <w:r>
                                <w:rPr>
                                  <w:szCs w:val="24"/>
                                  <w:lang w:eastAsia="lt-LT"/>
                                </w:rPr>
                                <w:t>30.6.5</w:t>
                              </w:r>
                            </w:sdtContent>
                          </w:sdt>
                          <w:r>
                            <w:rPr>
                              <w:szCs w:val="24"/>
                              <w:lang w:eastAsia="lt-LT"/>
                            </w:rPr>
                            <w:t>. 2,8 proc. energijos kaupimo veiklą vykdančios įmonės – paskirtojo kaupimo sistemos operatoriaus – verslo vieneto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27cf932a38d6428091a436e39e3e6030"/>
                    <w:lock w:val="sdtLocked"/>
                    <w:richText/>
                  </w:sdtPr>
                  <w:sdtContent>
                    <w:p>
                      <w:pPr>
                        <w:tabs>
                          <w:tab w:val="left" w:pos="1134"/>
                        </w:tabs>
                        <w:ind w:firstLine="720"/>
                        <w:jc w:val="both"/>
                      </w:pPr>
                      <w:sdt>
                        <w:sdtPr>
                          <w:alias w:val="Numeris"/>
                          <w:tag w:val="nr_27cf932a38d6428091a436e39e3e6030"/>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 nuo ilgalaikio turto vertės dalies, sukurtos diegiant energetikos inovacijas ir finansuotos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19-1 pp."/>
                    <w:tag w:val="part_a0ffeb2de3f3439d8d944bf0013fe85a"/>
                    <w:lock w:val="sdtLocked"/>
                    <w:richText/>
                  </w:sdtPr>
                  <w:sdtContent>
                    <w:p>
                      <w:pPr>
                        <w:tabs>
                          <w:tab w:val="left" w:pos="1134"/>
                        </w:tabs>
                        <w:ind w:firstLine="720"/>
                        <w:jc w:val="both"/>
                        <w:rPr>
                          <w:szCs w:val="24"/>
                          <w:lang w:eastAsia="lt-LT"/>
                        </w:rPr>
                      </w:pPr>
                      <w:sdt>
                        <w:sdtPr>
                          <w:alias w:val="Numeris"/>
                          <w:tag w:val="nr_a0ffeb2de3f3439d8d944bf0013fe85a"/>
                          <w:lock w:val="sdtLocked"/>
                          <w:richText/>
                        </w:sdt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03db438392744baa4374d99fe0b9760"/>
                    <w:lock w:val="sdtLocked"/>
                    <w:richText/>
                  </w:sdtPr>
                  <w:sdtContent>
                    <w:p>
                      <w:pPr>
                        <w:tabs>
                          <w:tab w:val="left" w:pos="1134"/>
                        </w:tabs>
                        <w:ind w:firstLine="720"/>
                        <w:jc w:val="both"/>
                      </w:pPr>
                      <w:sdt>
                        <w:sdtPr>
                          <w:alias w:val="Numeris"/>
                          <w:tag w:val="nr_b03db438392744baa4374d99fe0b9760"/>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3 pp."/>
                    <w:tag w:val="part_758fbf6f06fc4f8b9a7a4c52ed4230f0"/>
                    <w:lock w:val="sdtLocked"/>
                    <w:richText/>
                  </w:sdtPr>
                  <w:sdtContent>
                    <w:p>
                      <w:pPr>
                        <w:tabs>
                          <w:tab w:val="left" w:pos="1134"/>
                        </w:tabs>
                        <w:ind w:firstLine="720"/>
                        <w:jc w:val="both"/>
                      </w:pPr>
                      <w:sdt>
                        <w:sdtPr>
                          <w:alias w:val="Numeris"/>
                          <w:tag w:val="nr_758fbf6f06fc4f8b9a7a4c52ed4230f0"/>
                          <w:lock w:val="sdtLocked"/>
                          <w:richText/>
                        </w:sdtPr>
                        <w:sdtContent>
                          <w:r>
                            <w:rPr>
                              <w:szCs w:val="24"/>
                              <w:lang w:eastAsia="lt-LT"/>
                            </w:rPr>
                            <w:t>30.23</w:t>
                          </w:r>
                        </w:sdtContent>
                      </w:sdt>
                      <w:r>
                        <w:rPr>
                          <w:szCs w:val="24"/>
                          <w:lang w:eastAsia="lt-LT"/>
                        </w:rPr>
                        <w:t>. tyrimų, susijusių su energetikos inovacijomis, sąnaudas sudarančias daugiau kaip 0,05 proc. nuo elektros sektoriuje veiklą vykdančios įmonės verslo vieneto ataskaitinio laikotarpio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4 pp."/>
                    <w:tag w:val="part_f9111f10be194013b74d2dfe33e381db"/>
                    <w:lock w:val="sdtLocked"/>
                    <w:richText/>
                  </w:sdtPr>
                  <w:sdtContent>
                    <w:p>
                      <w:pPr>
                        <w:ind w:firstLine="720"/>
                        <w:jc w:val="both"/>
                        <w:rPr>
                          <w:szCs w:val="24"/>
                          <w:lang w:eastAsia="lt-LT"/>
                        </w:rPr>
                      </w:pPr>
                      <w:sdt>
                        <w:sdtPr>
                          <w:alias w:val="Numeris"/>
                          <w:tag w:val="nr_f9111f10be194013b74d2dfe33e381db"/>
                          <w:lock w:val="sdtLocked"/>
                          <w:richText/>
                        </w:sdtPr>
                        <w:sdtContent>
                          <w:r>
                            <w:rPr>
                              <w:rFonts w:eastAsia="MS Mincho"/>
                              <w:szCs w:val="24"/>
                            </w:rPr>
                            <w:t>30.24</w:t>
                          </w:r>
                        </w:sdtContent>
                      </w:sdt>
                      <w:r>
                        <w:rPr>
                          <w:rFonts w:eastAsia="MS Mincho"/>
                          <w:szCs w:val="24"/>
                        </w:rPr>
                        <w:t>. Gamtinių dujų, elektros energetikos, suskystintų naftos dujų įmonių investicijų vertinimo ir derinimo tvarkos aprašo, patvirtinto Tarybos 2009 m. liepos 10 d. nutarimu Nr. O3-100 „Dėl Gamtinių dujų, elektros energetikos, suskystintų naftos dujų įmonių investicijų vertinimo ir derinimo tvarkos aprašo patvirtinimo“, nustatyta tvarka su Taryba suderintų projektų, skirtų pakeisti elektros energetikos įmonės eksploatuojamą reguliuojamą ilgalaikį turtą, kuriais perkamos paslaugos iš išorės, (toliau – OPEX projektai) faktinę sąnaudų apimtį, viršijančią Tarybos sprendime dėl atitinkamo OPEX projekto derinimo numatytą sąnaudų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96e326dc46824a989be59a5b8849a181"/>
                <w:lock w:val="sdtLocked"/>
                <w:richText/>
              </w:sdtPr>
              <w:sdtContent>
                <w:p>
                  <w:pPr>
                    <w:tabs>
                      <w:tab w:val="left" w:pos="1134"/>
                    </w:tabs>
                    <w:ind w:firstLine="720"/>
                    <w:jc w:val="both"/>
                    <w:rPr>
                      <w:szCs w:val="24"/>
                      <w:lang w:eastAsia="lt-LT"/>
                    </w:rPr>
                  </w:pPr>
                  <w:sdt>
                    <w:sdtPr>
                      <w:alias w:val="Numeris"/>
                      <w:tag w:val="nr_96e326dc46824a989be59a5b8849a181"/>
                      <w:lock w:val="sdtLocked"/>
                      <w:richText/>
                    </w:sdtPr>
                    <w:sdtContent>
                      <w:r>
                        <w:rPr>
                          <w:szCs w:val="24"/>
                          <w:lang w:eastAsia="lt-LT"/>
                        </w:rPr>
                        <w:t>32</w:t>
                      </w:r>
                    </w:sdtContent>
                  </w:sdt>
                  <w:r>
                    <w:rPr>
                      <w:szCs w:val="24"/>
                      <w:lang w:eastAsia="lt-LT"/>
                    </w:rPr>
                    <w:t>. Elektros energetikos įmonei, vykdančiai Aprašo 9 punkte nurodytą reguliuojamą veiklą (veiklas),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ir paskirtojo kaupimo sistemos operatoriaus, teikiančio izoliuoto darbo rezervo paslaugą, atveju, 0,18 proc. – elektros energetikos įmonės ilgalaikio reguliuojamo turto vertės skirstymo sistemos operatoriaus atveju. Ilgalaikio turto nurašymo sąnaudos turi būti sumažintos pajamomis, gautomis realizuojant nurašomą ilgalaikį turtą, jeigu elektros energetikos įmonė tokias pajamas gavo.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3-1 p."/>
                <w:tag w:val="part_4e18b82c761d41af989b3c1c4dbc4d72"/>
                <w:lock w:val="sdtLocked"/>
                <w:richText/>
              </w:sdtPr>
              <w:sdtContent>
                <w:p>
                  <w:pPr>
                    <w:tabs>
                      <w:tab w:val="left" w:pos="1134"/>
                    </w:tabs>
                    <w:ind w:firstLine="720"/>
                    <w:jc w:val="both"/>
                    <w:rPr>
                      <w:szCs w:val="24"/>
                      <w:lang w:eastAsia="lt-LT"/>
                    </w:rPr>
                  </w:pPr>
                  <w:sdt>
                    <w:sdtPr>
                      <w:alias w:val="Numeris"/>
                      <w:tag w:val="nr_4e18b82c761d41af989b3c1c4dbc4d72"/>
                      <w:lock w:val="sdtLocked"/>
                      <w:richText/>
                    </w:sdt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4 p."/>
                <w:tag w:val="part_992ad130e39d4cb9b640c92b9c320412"/>
                <w:lock w:val="sdtLocked"/>
                <w:richText/>
              </w:sdtPr>
              <w:sdtContent>
                <w:p>
                  <w:pPr>
                    <w:tabs>
                      <w:tab w:val="left" w:pos="1134"/>
                    </w:tabs>
                    <w:ind w:firstLine="720"/>
                    <w:jc w:val="both"/>
                  </w:pPr>
                  <w:sdt>
                    <w:sdtPr>
                      <w:alias w:val="Numeris"/>
                      <w:tag w:val="nr_992ad130e39d4cb9b640c92b9c320412"/>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sdtContent>
            </w:sdt>
            <w:sdt>
              <w:sdtPr>
                <w:alias w:val="34-1 p."/>
                <w:tag w:val="part_5abe2fa8e3b84c27b946c813c160f9fe"/>
                <w:lock w:val="sdtLocked"/>
                <w:richText/>
              </w:sdtPr>
              <w:sdtContent>
                <w:p>
                  <w:pPr>
                    <w:tabs>
                      <w:tab w:val="left" w:pos="1134"/>
                    </w:tabs>
                    <w:ind w:firstLine="720"/>
                    <w:jc w:val="both"/>
                    <w:rPr>
                      <w:b/>
                      <w:szCs w:val="24"/>
                      <w:lang w:eastAsia="lt-LT"/>
                    </w:rPr>
                  </w:pPr>
                  <w:sdt>
                    <w:sdtPr>
                      <w:alias w:val="Numeris"/>
                      <w:tag w:val="nr_5abe2fa8e3b84c27b946c813c160f9fe"/>
                      <w:lock w:val="sdtLocked"/>
                      <w:richText/>
                    </w:sdtPr>
                    <w:sdtContent>
                      <w:r>
                        <w:rPr>
                          <w:szCs w:val="24"/>
                          <w:lang w:eastAsia="lt-LT"/>
                        </w:rPr>
                        <w:t>34</w:t>
                      </w:r>
                      <w:r>
                        <w:rPr>
                          <w:szCs w:val="24"/>
                          <w:vertAlign w:val="superscript"/>
                          <w:lang w:eastAsia="lt-LT"/>
                        </w:rPr>
                        <w:t>1</w:t>
                      </w:r>
                    </w:sdtContent>
                  </w:sdt>
                  <w:r>
                    <w:rPr>
                      <w:szCs w:val="24"/>
                      <w:lang w:eastAsia="lt-LT"/>
                    </w:rPr>
                    <w:t>. Lietuvos Respublikos elektros energetikos sistemos sujungimo su kontinentinės Europos elektros tinklais darbui sinchroniniu režimu įstatymo 12 straipsnio 5 dalyje nurodytu laikotarpiu paskirtojo kaupimo sistemos operatoriaus patirtos būtinosios elektros energijos kaupimo įrenginių techninio palaikymo ir saugos užtikrinimo sąnaudos, kurios Tarybos nustatyta tvarka pripažįstamos ekonomiškai pagrįstomis paskirtojo kaupimo sistemos operatoriaus sąnaudomis, įtraukiamos į reguliuojamų paslaugų kainas. Šio laikotarpio reguliuojamos veiklos ataskaitas paskirtasis kaupimo sistemos operatorius privalo pateikti Tarybai Aprašo 41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ea1c668cc8544e31b4ab117af4530263"/>
                <w:lock w:val="sdtLocked"/>
                <w:richText/>
              </w:sdtPr>
              <w:sdtContent>
                <w:p>
                  <w:pPr>
                    <w:tabs>
                      <w:tab w:val="left" w:pos="1134"/>
                    </w:tabs>
                    <w:ind w:firstLine="720"/>
                    <w:jc w:val="both"/>
                    <w:rPr>
                      <w:szCs w:val="24"/>
                      <w:lang w:eastAsia="lt-LT"/>
                    </w:rPr>
                  </w:pPr>
                  <w:sdt>
                    <w:sdtPr>
                      <w:alias w:val="Numeris"/>
                      <w:tag w:val="nr_ea1c668cc8544e31b4ab117af4530263"/>
                      <w:lock w:val="sdtLocked"/>
                      <w:richText/>
                    </w:sdtPr>
                    <w:sdtContent>
                      <w:r>
                        <w:rPr>
                          <w:szCs w:val="24"/>
                          <w:lang w:eastAsia="lt-LT"/>
                        </w:rPr>
                        <w:t>37</w:t>
                      </w:r>
                    </w:sdtContent>
                  </w:sdt>
                  <w:r>
                    <w:rPr>
                      <w:szCs w:val="24"/>
                      <w:lang w:eastAsia="lt-LT"/>
                    </w:rPr>
                    <w:t>. Aprašo 2 punkte nurodytos elektros energetikos įmonės veiklą pradėjusios po Aprašo įsigaliojimo dienos – per šešis mėnesius nuo veiklos vykdymo pradžios privalo pateikti Tarybai reguliavimo apskaitos sistemos laisvos formos aprašą (toliau – Sistemos aprašas). Elektros energetikos įmonių Tarybai pateiktas Sistemos aprašas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26f5243119c848a58f3014aec20d1e1f"/>
                <w:lock w:val="sdtLocked"/>
                <w:richText/>
              </w:sdtPr>
              <w:sdtContent>
                <w:p>
                  <w:pPr>
                    <w:ind w:firstLine="720"/>
                    <w:jc w:val="both"/>
                    <w:rPr>
                      <w:szCs w:val="24"/>
                      <w:lang w:eastAsia="lt-LT"/>
                    </w:rPr>
                  </w:pPr>
                  <w:sdt>
                    <w:sdtPr>
                      <w:alias w:val="Numeris"/>
                      <w:tag w:val="nr_26f5243119c848a58f3014aec20d1e1f"/>
                      <w:lock w:val="sdtLocked"/>
                      <w:richText/>
                    </w:sdtPr>
                    <w:sdtContent>
                      <w:r>
                        <w:rPr>
                          <w:color w:val="000000"/>
                          <w:szCs w:val="24"/>
                          <w:lang w:eastAsia="lt-LT" w:bidi="bn-IN"/>
                        </w:rPr>
                        <w:t>39</w:t>
                      </w:r>
                    </w:sdtContent>
                  </w:sdt>
                  <w:r>
                    <w:rPr>
                      <w:color w:val="000000"/>
                      <w:szCs w:val="24"/>
                      <w:lang w:eastAsia="lt-LT" w:bidi="bn-IN"/>
                    </w:rPr>
                    <w:t xml:space="preserve">. Elektros energetikos įmonės kasmet </w:t>
                  </w:r>
                  <w:r>
                    <w:rPr>
                      <w:szCs w:val="24"/>
                      <w:lang w:eastAsia="lt-LT"/>
                    </w:rPr>
                    <w:t xml:space="preserve">įvertina naudojamos reguliavimo apskaitos sistemos, kurios pagrindu verslo vienetams yra paskirstomos pajamos, sąnaudos ir ilgalaikis turtas, pakeitimo poreikį ir, jeigu reikia atlikti šios sistemos pakeitimus einamųjų atskaitinių metų pajamų, sąnaudų ir ilgalaikiui turtui paskirstyti, ne vėliau kaip iki kovo 1 d. apie tai praneša Tarybai, pateikdama pakeistą Sistemos aprašą su priedais. Tuo atveju, jei dėl teisės aktų pakeitimų įgyvendinimo ar kitų naujai atsiradusių nenumatytų aplinkybių poreikis pakeisti šią sistemą ir Sistemos aprašą būtų nustatytas vėliau nei einamųjų metų kovo 1 d., elektros energetikos įmonė apie sistemos pakeitimus Tarybai praneša ne vėliau kaip per 30 kalendorinių dienų nuo tokių pakeitimų dienos, pateikdama pakeistą Sistemos aprašą su </w:t>
                  </w:r>
                  <w:r>
                    <w:rPr>
                      <w:color w:val="000000"/>
                      <w:szCs w:val="24"/>
                      <w:lang w:eastAsia="lt-LT" w:bidi="bn-IN"/>
                    </w:rPr>
                    <w:t>priedais.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f3afb1c5739840c19070093c2691f46c"/>
                    <w:lock w:val="sdtLocked"/>
                    <w:richText/>
                  </w:sdtPr>
                  <w:sdtContent>
                    <w:p>
                      <w:pPr>
                        <w:ind w:firstLine="720"/>
                        <w:jc w:val="both"/>
                        <w:rPr>
                          <w:szCs w:val="24"/>
                          <w:lang w:eastAsia="lt-LT"/>
                        </w:rPr>
                      </w:pPr>
                      <w:sdt>
                        <w:sdtPr>
                          <w:alias w:val="Numeris"/>
                          <w:tag w:val="nr_f3afb1c5739840c19070093c2691f46c"/>
                          <w:lock w:val="sdtLocked"/>
                          <w:richText/>
                        </w:sdtPr>
                        <w:sdtContent>
                          <w:r>
                            <w:rPr>
                              <w:color w:val="000000"/>
                              <w:szCs w:val="24"/>
                              <w:lang w:eastAsia="lt-LT" w:bidi="bn-IN"/>
                            </w:rPr>
                            <w:t>41.9</w:t>
                          </w:r>
                        </w:sdtContent>
                      </w:sdt>
                      <w:r>
                        <w:rPr>
                          <w:color w:val="000000"/>
                          <w:szCs w:val="24"/>
                          <w:lang w:eastAsia="lt-LT" w:bidi="bn-IN"/>
                        </w:rPr>
                        <w:t>. skirstomųjų tinklų operatorius, kurio veiklos teritorijoje esančių vartotojų skaičius didesnis nei 100 tūkst., pateikia faktinių sąnaudų suvestinę pagal Ilgo laikotarpio padidėjimo sąnaudų (LRAIC) modelio suvestinių duomenų lentelę</w:t>
                      </w:r>
                      <w:r>
                        <w:t xml:space="preserve"> (Aprašo 7 priedas);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3 pp."/>
                    <w:tag w:val="part_95eb22ef91774eb2b1180fbbf8ab886b"/>
                    <w:lock w:val="sdtLocked"/>
                    <w:richText/>
                  </w:sdtPr>
                  <w:sdtContent>
                    <w:p>
                      <w:pPr>
                        <w:tabs>
                          <w:tab w:val="left" w:pos="567"/>
                        </w:tabs>
                        <w:ind w:firstLine="720"/>
                        <w:jc w:val="both"/>
                      </w:pPr>
                      <w:sdt>
                        <w:sdtPr>
                          <w:alias w:val="Numeris"/>
                          <w:tag w:val="nr_95eb22ef91774eb2b1180fbbf8ab886b"/>
                          <w:lock w:val="sdtLocked"/>
                          <w:richText/>
                        </w:sdtPr>
                        <w:sdtContent>
                          <w:r>
                            <w:rPr>
                              <w:color w:val="000000"/>
                              <w:szCs w:val="24"/>
                              <w:lang w:eastAsia="lt-LT" w:bidi="bn-IN"/>
                            </w:rPr>
                            <w:t>41.13</w:t>
                          </w:r>
                        </w:sdtContent>
                      </w:sdt>
                      <w:r>
                        <w:rPr>
                          <w:color w:val="000000"/>
                          <w:szCs w:val="24"/>
                          <w:lang w:eastAsia="lt-LT" w:bidi="bn-IN"/>
                        </w:rPr>
                        <w:t>. perdavimo sistemos operatorius pateikia faktinių investicijų į LRAIC modelio optimizuotą ir neoptimizuotą turtą duomenis pagal Investicijų į ilgo laikotarpio vidutinių padidėjimo sąnaudų (LRAIC) modelio optimizuoto ir neoptimizuoto perdavimo tinklo turtą suvestinę (Aprašo 10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41.13 papunktis taikomas rengiant ir teikiant reguliuojamosios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1.14 pp."/>
                    <w:tag w:val="part_00c3064648de4a389f3d61cd1a63a465"/>
                    <w:lock w:val="sdtLocked"/>
                    <w:richText/>
                  </w:sdtPr>
                  <w:sdtContent>
                    <w:p>
                      <w:pPr>
                        <w:tabs>
                          <w:tab w:val="left" w:pos="567"/>
                        </w:tabs>
                        <w:ind w:firstLine="720"/>
                        <w:jc w:val="both"/>
                      </w:pPr>
                      <w:sdt>
                        <w:sdtPr>
                          <w:alias w:val="Numeris"/>
                          <w:tag w:val="nr_00c3064648de4a389f3d61cd1a63a465"/>
                          <w:lock w:val="sdtLocked"/>
                          <w:richText/>
                        </w:sdtPr>
                        <w:sdtContent>
                          <w:r>
                            <w:rPr>
                              <w:color w:val="000000"/>
                              <w:szCs w:val="24"/>
                              <w:lang w:eastAsia="lt-LT" w:bidi="bn-IN"/>
                            </w:rPr>
                            <w:t>41.14</w:t>
                          </w:r>
                        </w:sdtContent>
                      </w:sdt>
                      <w:r>
                        <w:rPr>
                          <w:color w:val="000000"/>
                          <w:szCs w:val="24"/>
                          <w:lang w:eastAsia="lt-LT" w:bidi="bn-IN"/>
                        </w:rPr>
                        <w:t>. skirstomųjų tinklų operatorius, kurio veiklos teritorijoje esančių vartotojų skaičius didesnis nei 100 tūkst., pateikia faktinių investicijų į LRAIC modelio optimizuotą ir neoptimizuotą turtą duomenis pagal Investicijų į ilgo laikotarpio vidutinių padidėjimo sąnaudų (LRAIC) modelio optimizuoto ir neoptimizuoto skirstomojo tinklo turtą suvestinę (Aprašo 11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41.14 papunktis taikomas rengiant ir teikiant reguliuojamosios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9ce9cb4f012943e882855a62b870be97"/>
                <w:lock w:val="sdtLocked"/>
                <w:richText/>
              </w:sdtPr>
              <w:sdtContent>
                <w:p>
                  <w:pPr>
                    <w:tabs>
                      <w:tab w:val="left" w:pos="567"/>
                    </w:tabs>
                    <w:ind w:firstLine="720"/>
                    <w:jc w:val="both"/>
                    <w:rPr>
                      <w:szCs w:val="24"/>
                      <w:lang w:eastAsia="lt-LT"/>
                    </w:rPr>
                  </w:pPr>
                  <w:sdt>
                    <w:sdtPr>
                      <w:alias w:val="Numeris"/>
                      <w:tag w:val="nr_9ce9cb4f012943e882855a62b870be97"/>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tabs>
                      <w:tab w:val="left" w:pos="567"/>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9cf987b57c084bfdb2bbe06165cd5359"/>
                <w:lock w:val="sdtLocked"/>
                <w:richText/>
              </w:sdtPr>
              <w:sdtContent>
                <w:p>
                  <w:pPr>
                    <w:ind w:firstLine="720"/>
                    <w:jc w:val="both"/>
                  </w:pPr>
                  <w:sdt>
                    <w:sdtPr>
                      <w:alias w:val="Numeris"/>
                      <w:tag w:val="nr_9cf987b57c084bfdb2bbe06165cd535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a76309b6c11ea9515f752ff221ec9">
            <w:r w:rsidRPr="00532B9F">
              <w:rPr>
                <w:rFonts w:ascii="Times New Roman" w:eastAsia="MS Mincho" w:hAnsi="Times New Roman"/>
                <w:sz w:val="20"/>
                <w:iCs/>
                <w:color w:val="0000FF" w:themeColor="hyperlink"/>
                <w:u w:val="single"/>
              </w:rPr>
              <w:t>O3E-438</w:t>
            </w:r>
          </w:fldSimple>
          <w:r>
            <w:rPr>
              <w:rFonts w:ascii="Times New Roman" w:eastAsia="MS Mincho" w:hAnsi="Times New Roman"/>
              <w:sz w:val="20"/>
              <w:iCs/>
            </w:rPr>
            <w:t>,
2020-05-21,
paskelbta TAR 2020-05-21, i. k. 2020-10800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42f2904b3811eb8d9fe110e148c770">
            <w:r w:rsidRPr="00532B9F">
              <w:rPr>
                <w:rFonts w:ascii="Times New Roman" w:eastAsia="MS Mincho" w:hAnsi="Times New Roman"/>
                <w:sz w:val="20"/>
                <w:iCs/>
                <w:color w:val="0000FF" w:themeColor="hyperlink"/>
                <w:u w:val="single"/>
              </w:rPr>
              <w:t>O3E-1568</w:t>
            </w:r>
          </w:fldSimple>
          <w:r>
            <w:rPr>
              <w:rFonts w:ascii="Times New Roman" w:eastAsia="MS Mincho" w:hAnsi="Times New Roman"/>
              <w:sz w:val="20"/>
              <w:iCs/>
            </w:rPr>
            <w:t>,
2020-12-31,
paskelbta TAR 2020-12-31, i. k. 2020-29267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cf1440f08411eb9f09e7df20500045">
            <w:r w:rsidRPr="00532B9F">
              <w:rPr>
                <w:rFonts w:ascii="Times New Roman" w:eastAsia="MS Mincho" w:hAnsi="Times New Roman"/>
                <w:sz w:val="20"/>
                <w:iCs/>
                <w:color w:val="0000FF" w:themeColor="hyperlink"/>
                <w:u w:val="single"/>
              </w:rPr>
              <w:t>O3E-934</w:t>
            </w:r>
          </w:fldSimple>
          <w:r>
            <w:rPr>
              <w:rFonts w:ascii="Times New Roman" w:eastAsia="MS Mincho" w:hAnsi="Times New Roman"/>
              <w:sz w:val="20"/>
              <w:iCs/>
            </w:rPr>
            <w:t>,
2021-07-29,
paskelbta TAR 2021-07-29, i. k. 2021-16740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3cdda068af11eca9ac839120d251c4">
            <w:r w:rsidRPr="00532B9F">
              <w:rPr>
                <w:rFonts w:ascii="Times New Roman" w:eastAsia="MS Mincho" w:hAnsi="Times New Roman"/>
                <w:sz w:val="20"/>
                <w:iCs/>
                <w:color w:val="0000FF" w:themeColor="hyperlink"/>
                <w:u w:val="single"/>
              </w:rPr>
              <w:t>O3E-1796</w:t>
            </w:r>
          </w:fldSimple>
          <w:r>
            <w:rPr>
              <w:rFonts w:ascii="Times New Roman" w:eastAsia="MS Mincho" w:hAnsi="Times New Roman"/>
              <w:sz w:val="20"/>
              <w:iCs/>
            </w:rPr>
            <w:t>,
2021-12-29,
paskelbta TAR 2021-12-29, i. k. 2021-27525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17</w:t>
    </w:r>
    <w:r>
      <w:rPr>
        <w:sz w:val="20"/>
        <w:lang w:eastAsia="lt-LT"/>
      </w:rPr>
      <w:fldChar w:fldCharType="end"/>
    </w:r>
  </w:p>
  <w:p>
    <w:pPr>
      <w:tabs>
        <w:tab w:val="center" w:pos="4819"/>
        <w:tab w:val="right" w:pos="9638"/>
      </w:tabs>
      <w:rPr>
        <w:rFonts w:ascii="Arial" w:hAnsi="Arial" w:cs="Arial"/>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4A11296-D68A-4DC9-B2A7-941A6656620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25.xml"/>
  <Relationship Id="rId13" Type="http://schemas.openxmlformats.org/officeDocument/2006/relationships/header" Target="header26.xml"/>
  <Relationship Id="rId14" Type="http://schemas.openxmlformats.org/officeDocument/2006/relationships/footer" Target="footer25.xml"/>
  <Relationship Id="rId15" Type="http://schemas.openxmlformats.org/officeDocument/2006/relationships/footer" Target="footer26.xml"/>
  <Relationship Id="rId16" Type="http://schemas.openxmlformats.org/officeDocument/2006/relationships/header" Target="header27.xml"/>
  <Relationship Id="rId17" Type="http://schemas.openxmlformats.org/officeDocument/2006/relationships/footer" Target="footer27.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5dc6fb548a934d7c8466ed88ed802691">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8ba57a14ebe94b55b119240128087775"/>
        <Part Type="papunktis" Nr="2.7-1" Abbr="2.7-1 pp." DocPartId="963a8dbaa369460d8ce4675e95a4bdfa" PartId="ad399cbaf8944e26a29e6b6145d3ff71"/>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16e8ecfd85b949b4ba8c8d4de347bfe1"/>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b51fe3fc73d490599a30af3e341d3ee">
          <Part Type="papunktis" Nr="9.3.1" Abbr="9.3.1 pp." DocPartId="53bfbc6ac87a4fc8a1c58b10bab2aec9" PartId="ef3b5581f3734ef0876c2b28774ba077"/>
          <Part Type="papunktis" Nr="9.3.2" Abbr="9.3.2 pp." DocPartId="82f1cb0b8102438c8b48eaf0ff3d7f30" PartId="2b7ad9dc0df4469a956cd1d428e6e494"/>
          <Part Type="papunktis" Nr="9.3.3" Abbr="9.3.3 pp." DocPartId="aaa3b22f61e74fc68e2c1a4b47fa8e3e" PartId="71e8282da3034c8fbb1f390d90e295df"/>
          <Part Type="papunktis" Nr="9.3.4" Abbr="9.3.4 pp." DocPartId="60139b0a04d44c899e6fa2383358f1ba" PartId="7eaac8112e3b479081217597b2b75d6c"/>
          <Part Type="papunktis" Nr="9.3.5" Abbr="9.3.5 pp." DocPartId="5e0d8440f53047749e38ced6c77670e9" PartId="6276859660e4404b83b6e6ad1f690a8f"/>
          <Part Type="papunktis" Nr="9.3.6" Abbr="9.3.6 pp." DocPartId="c97723cbb32943f6b57f3876befd2fb1" PartId="080066168a5b4ebab180197648a496be"/>
          <Part Type="papunktis" Nr="9.3.7" Abbr="9.3.7 pp." DocPartId="8ff8b4480cde4bd191996d29ce6d42ec" PartId="6869f5fe3f9a471ebde0533b079c1163"/>
          <Part Type="papunktis" Nr="9.3.8" Abbr="9.3.8 pp." DocPartId="118bed1344a94cc88d7cb7c23ad2d389" PartId="2be8c5d0b61a4eabbe9b0004c55644f2"/>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4-1" Abbr="9.4-1 pp." DocPartId="76f8753f2aee4610bf8bfcab3643bc5f" PartId="c1152e56afe54a7d9daf19a26795960f"/>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e60486e1c3f94d92b96f0a26ee9876a7"/>
          <Part Type="papunktis" Nr="13.4.8" Abbr="13.4.8 pp." DocPartId="5e81d8d463584eb6bfc286158556f647" PartId="ccaa8511ca7b4f34b49d62fa1cf7fa59"/>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921d2fb64fd14120a475d34b69601b09"/>
          <Part Type="papunktis" Nr="13.5.4-1" Abbr="13.5.4-1 pp." DocPartId="e44e9df45190468dada133caa8b92c19" PartId="d9afe3f0718a40d4a3d376caeab5ca41"/>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3-1" Abbr="20.3-1 pp." DocPartId="95ef570cf5c84459b9fe3d2e0b40e537" PartId="d0cf8829bda04fdaaa37a4d2c49f67ae"/>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be5d22031c66401cbf0ff654b7962155"/>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6a464fce1c54aad8687f0513a8451f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7cb1642e48ac4a519576fb4d9652f3da"/>
        <Part Type="papunktis" Nr="30.5-1" Abbr="30.5-1 pp." DocPartId="cd423f7c6abf48a8b6696fcb45f0338e" PartId="c34af1e21613420aa842e72e50a2be0a"/>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Type="papunktis" Nr="30.6.5" Abbr="30.6.5 pp." DocPartId="96983b600f2b4d42babd962a2d5540f9" PartId="f0a00f0203604333b583d226186208e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27cf932a38d6428091a436e39e3e6030"/>
        <Part Type="papunktis" Nr="30.19-1" Abbr="30.19-1 pp." DocPartId="27c574eb87f942df9f10b6e39bbd0ca5" PartId="a0ffeb2de3f3439d8d944bf0013fe85a"/>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03db438392744baa4374d99fe0b9760"/>
        <Part Type="papunktis" Nr="30.23" Abbr="30.23 pp." DocPartId="679171ce6f364dc980c98d66a8a08ca6" PartId="758fbf6f06fc4f8b9a7a4c52ed4230f0"/>
        <Part Type="papunktis" Nr="30.24" Abbr="30.24 pp." DocPartId="302244bcf2c948f787c94ddc8463734e" PartId="f9111f10be194013b74d2dfe33e381db"/>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96e326dc46824a989be59a5b8849a181"/>
      <Part Type="punktas" Nr="33" Abbr="33 p." DocPartId="d5e37c342f2142d8a537ed2ce7d6e795" PartId="dd3d38ea2e7b4130949baee4041c7461"/>
      <Part Type="punktas" Nr="33-1" Abbr="33-1 p." DocPartId="ca42c420cea74fdfbfcde27529988921" PartId="4e18b82c761d41af989b3c1c4dbc4d72"/>
      <Part Type="punktas" Nr="34" Abbr="34 p." DocPartId="be4d64db8b5a4f2299d4eb256463e5bd" PartId="992ad130e39d4cb9b640c92b9c320412"/>
      <Part Type="punktas" Nr="34-1" Abbr="34-1 p." DocPartId="88d3b48ca41e4678a73bceacb478cab1" PartId="5abe2fa8e3b84c27b946c813c160f9fe"/>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ea1c668cc8544e31b4ab117af4530263">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26f5243119c848a58f3014aec20d1e1f"/>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f3afb1c5739840c19070093c2691f46c"/>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Type="papunktis" Nr="41.13" Abbr="41.13 pp." DocPartId="13ba81efa41246dbb4c1f0769aeaf993" PartId="95eb22ef91774eb2b1180fbbf8ab886b"/>
        <Part Type="papunktis" Nr="41.14" Abbr="41.14 pp." DocPartId="7474823b3b4b4c2b9a04626e4f3e9023" PartId="00c3064648de4a389f3d61cd1a63a465"/>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9ce9cb4f012943e882855a62b870be97"/>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9cf987b57c084bfdb2bbe06165cd5359"/>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B2A11E0-FB80-4786-BC51-BA662ED53650}">
  <ds:schemaRefs>
    <ds:schemaRef ds:uri="http://lrs.lt/TAIS/DocParts"/>
  </ds:schemaRefs>
</ds:datastoreItem>
</file>

<file path=docProps/app.xml><?xml version="1.0" encoding="utf-8"?>
<Properties xmlns="http://schemas.openxmlformats.org/officeDocument/2006/extended-properties">
  <Template>Normal.dotm</Template>
  <TotalTime>46</TotalTime>
  <Pages>21</Pages>
  <Words>9345</Words>
  <Characters>72547</Characters>
  <Application>Microsoft Office Word</Application>
  <DocSecurity>0</DocSecurity>
  <Lines>604</Lines>
  <Paragraphs>163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81729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JŪRĖNIENĖ Jolanta</lastModifiedBy>
  <lastPrinted>2014-04-29T09:57:00Z</lastPrinted>
  <dcterms:modified xsi:type="dcterms:W3CDTF">2022-01-01T09:42:00Z</dcterms:modified>
  <revision>23</revision>
  <dc:title>Dėl Elektros energetikos įmonių apskaitos atskyrimo, sąnaudų paskirstymo ir su apskaitos atskyrimu susijusių reikalavimų aprašo patvirtinimo</dc:title>
</coreProperties>
</file>