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37fb6e759243a3aaeb8697ddeb4101"/>
        <w:lock w:val="sdtLocked"/>
        <w:richText/>
      </w:sdtPr>
      <w:sdtContent>
        <w:p>
          <w:pPr>
            <w:jc w:val="both"/>
            <w:rPr>
              <w:rFonts w:ascii="Times New Roman" w:hAnsi="Times New Roman"/>
            </w:rPr>
          </w:pPr>
          <w:r>
            <w:rPr>
              <w:rFonts w:ascii="Times New Roman" w:hAnsi="Times New Roman"/>
              <w:b/>
              <w:i/>
            </w:rPr>
            <w:t>Suvestinė redakcija nuo 2026-01-10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2026-01-10:</w:t>
          </w:r>
        </w:p>
        <w:p>
          <w:pPr>
            <w:rPr>
              <w:rFonts w:ascii="Times New Roman" w:hAnsi="Times New Roman"/>
              <w:sz w:val="20"/>
              <w:i/>
            </w:rPr>
          </w:pPr>
          <w:r>
            <w:rPr>
              <w:rFonts w:ascii="Times New Roman" w:hAnsi="Times New Roman"/>
              <w:sz w:val="20"/>
              <w:i/>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bCs/>
            </w:rPr>
          </w:pPr>
          <w:r>
            <w:rPr>
              <w:b/>
              <w:bCs/>
            </w:rPr>
            <w:t>DĖL ŽUVININKYSTĖS KONTROLĖS PAREIGŪNŲ ATLIEKAMŲ PATIKRINIMŲ TVARKOS APRAŠO PATVIRTINIMO</w:t>
          </w:r>
        </w:p>
        <w:p>
          <w:pPr>
            <w:overflowPunct w:val="0"/>
            <w:jc w:val="center"/>
            <w:textAlignment w:val="baseline"/>
            <w:rPr>
              <w:b/>
              <w:bCs/>
            </w:rPr>
          </w:pPr>
        </w:p>
        <w:p>
          <w:pPr>
            <w:overflowPunct w:val="0"/>
            <w:jc w:val="center"/>
            <w:textAlignment w:val="baseline"/>
            <w:rPr>
              <w:b/>
              <w:bCs/>
            </w:rPr>
          </w:pPr>
          <w:r>
            <w:rPr>
              <w:szCs w:val="24"/>
            </w:rPr>
            <w:t>2014 m. spalio 24 d. Nr.</w:t>
          </w:r>
          <w:r>
            <w:rPr>
              <w:szCs w:val="24"/>
              <w:lang w:val="en-US"/>
            </w:rPr>
            <w:t xml:space="preserve"> 3D-792</w:t>
          </w:r>
        </w:p>
        <w:p>
          <w:pPr>
            <w:overflowPunct w:val="0"/>
            <w:jc w:val="center"/>
            <w:textAlignment w:val="baseline"/>
            <w:rPr>
              <w:b/>
              <w:bCs/>
            </w:rPr>
          </w:pPr>
          <w:r>
            <w:rPr>
              <w:szCs w:val="24"/>
            </w:rPr>
            <w:t>Vilnius</w:t>
          </w:r>
        </w:p>
        <w:p>
          <w:pPr>
            <w:overflowPunct w:val="0"/>
            <w:jc w:val="center"/>
            <w:textAlignment w:val="baseline"/>
          </w:pPr>
        </w:p>
        <w:p>
          <w:pPr>
            <w:overflowPunct w:val="0"/>
            <w:jc w:val="center"/>
            <w:textAlignment w:val="baseline"/>
          </w:pPr>
        </w:p>
        <w:sdt>
          <w:sdtPr>
            <w:alias w:val="preambule"/>
            <w:tag w:val="part_1cd56ef59e5441069112b746d5cc6f5e"/>
            <w:lock w:val="sdtLocked"/>
            <w:richText/>
          </w:sdtPr>
          <w:sdtContent>
            <w:p>
              <w:pPr>
                <w:overflowPunct w:val="0"/>
                <w:spacing w:line="360" w:lineRule="auto"/>
                <w:ind w:firstLine="709"/>
                <w:jc w:val="both"/>
                <w:textAlignment w:val="baseline"/>
                <w:rPr>
                  <w:szCs w:val="24"/>
                </w:rPr>
              </w:pPr>
              <w:r>
                <w:rPr>
                  <w:szCs w:val="24"/>
                </w:rPr>
                <w:t>Vadovaudamasi Lietuvos Respublikos žuvininkystės įstatymo 52</w:t>
              </w:r>
              <w:r>
                <w:rPr>
                  <w:b/>
                  <w:bCs/>
                  <w:szCs w:val="24"/>
                </w:rPr>
                <w:t xml:space="preserve"> </w:t>
              </w:r>
              <w:r>
                <w:rPr>
                  <w:szCs w:val="24"/>
                </w:rPr>
                <w:t>straipsnio 5 dalimi,</w:t>
              </w:r>
            </w:p>
          </w:sdtContent>
        </w:sdt>
        <w:sdt>
          <w:sdtPr>
            <w:alias w:val="pastraipa"/>
            <w:tag w:val="part_9a2a7d38c2464f9da77c33d8f25fa43f"/>
            <w:lock w:val="sdtLocked"/>
            <w:richText/>
          </w:sdtPr>
          <w:sdtContent>
            <w:p>
              <w:pPr>
                <w:overflowPunct w:val="0"/>
                <w:spacing w:line="360" w:lineRule="auto"/>
                <w:ind w:firstLine="709"/>
                <w:jc w:val="both"/>
                <w:textAlignment w:val="baseline"/>
              </w:pPr>
              <w:r>
                <w:rPr>
                  <w:szCs w:val="24"/>
                </w:rPr>
                <w:t>t v i r t i n u Žuvininkystės kontrolės pareigūnų atliekamų patikrinimų tvarkos aprašą (pridedama).</w:t>
              </w:r>
            </w:p>
          </w:sdtContent>
        </w:sdt>
        <w:sdt>
          <w:sdtPr>
            <w:alias w:val="signatura"/>
            <w:tag w:val="part_5159258d23ab436b92ca8026a457aa20"/>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 xml:space="preserve">Žemės ūkio ministrė </w:t>
                <w:tab/>
                <w:t>Virginija Baltraitienė</w:t>
              </w:r>
            </w:p>
            <w:p>
              <w:pPr>
                <w:rPr>
                  <w:color w:val="000000"/>
                  <w:szCs w:val="24"/>
                </w:rPr>
              </w:pPr>
            </w:p>
          </w:sdtContent>
        </w:sdt>
        <w:p/>
      </w:sdtContent>
    </w:sdt>
    <w:sdt>
      <w:sdtPr>
        <w:alias w:val="patvirtinta"/>
        <w:tag w:val="part_c54f130be15447c992852282f9cb2343"/>
        <w:lock w:val="sdtLocked"/>
        <w:richText/>
      </w:sdtPr>
      <w:sdtContent>
        <w:p>
          <w:pPr>
            <w:keepLines/>
            <w:tabs>
              <w:tab w:val="left" w:pos="1304"/>
              <w:tab w:val="left" w:pos="1457"/>
              <w:tab w:val="left" w:pos="1604"/>
              <w:tab w:val="left" w:pos="1757"/>
            </w:tabs>
            <w:suppressAutoHyphens/>
            <w:overflowPunct w:val="0"/>
            <w:jc w:val="both"/>
            <w:textAlignment w:val="baseline"/>
          </w:pPr>
        </w:p>
        <w:p>
          <w:pPr>
            <w:keepLines/>
            <w:tabs>
              <w:tab w:val="left" w:pos="1304"/>
              <w:tab w:val="left" w:pos="1457"/>
              <w:tab w:val="left" w:pos="1604"/>
              <w:tab w:val="left" w:pos="1757"/>
            </w:tabs>
            <w:suppressAutoHyphens/>
            <w:overflowPunct w:val="0"/>
            <w:ind w:left="5953"/>
            <w:jc w:val="both"/>
            <w:textAlignment w:val="baseline"/>
            <w:rPr>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60"/>
            </w:sectPr>
          </w:pP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2014 m. spalio 24 d. įsakymu Nr. 3D-792</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įsakymo 2016 m. lapkričio 2 d.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c54f130be15447c992852282f9cb2343"/>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01f85bf5394941b6a1b967b33b0d5089"/>
            <w:lock w:val="sdtLocked"/>
            <w:richText/>
          </w:sdtPr>
          <w:sdtContent>
            <w:p>
              <w:pPr>
                <w:keepLines/>
                <w:suppressAutoHyphens/>
                <w:overflowPunct w:val="0"/>
                <w:jc w:val="center"/>
                <w:textAlignment w:val="baseline"/>
                <w:rPr>
                  <w:b/>
                  <w:bCs/>
                  <w:caps/>
                  <w:color w:val="000000"/>
                  <w:szCs w:val="24"/>
                </w:rPr>
              </w:pPr>
              <w:sdt>
                <w:sdtPr>
                  <w:alias w:val="Numeris"/>
                  <w:tag w:val="nr_01f85bf5394941b6a1b967b33b0d5089"/>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jc w:val="center"/>
                <w:textAlignment w:val="baseline"/>
                <w:rPr>
                  <w:b/>
                  <w:bCs/>
                  <w:caps/>
                  <w:color w:val="000000"/>
                  <w:szCs w:val="24"/>
                </w:rPr>
              </w:pPr>
              <w:sdt>
                <w:sdtPr>
                  <w:alias w:val="Pavadinimas"/>
                  <w:tag w:val="title_01f85bf5394941b6a1b967b33b0d5089"/>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90ebe69b97084ab9b30d0eb8416b245c"/>
                <w:lock w:val="sdtLocked"/>
                <w:richText/>
              </w:sdtPr>
              <w:sdtContent>
                <w:p>
                  <w:pPr>
                    <w:suppressAutoHyphens/>
                    <w:spacing w:line="360" w:lineRule="auto"/>
                    <w:ind w:firstLine="709"/>
                    <w:jc w:val="both"/>
                    <w:textAlignment w:val="center"/>
                    <w:rPr>
                      <w:szCs w:val="24"/>
                      <w:lang w:eastAsia="lt-LT"/>
                    </w:rPr>
                  </w:pPr>
                  <w:sdt>
                    <w:sdtPr>
                      <w:alias w:val="Numeris"/>
                      <w:tag w:val="nr_90ebe69b97084ab9b30d0eb8416b245c"/>
                      <w:lock w:val="sdtLocked"/>
                      <w:richText/>
                    </w:sdtPr>
                    <w:sdtContent>
                      <w:r>
                        <w:rPr>
                          <w:szCs w:val="24"/>
                          <w:lang w:eastAsia="lt-LT"/>
                        </w:rPr>
                        <w:t>1</w:t>
                      </w:r>
                    </w:sdtContent>
                  </w:sdt>
                  <w:r>
                    <w:rPr>
                      <w:szCs w:val="24"/>
                      <w:lang w:eastAsia="lt-LT"/>
                    </w:rPr>
                    <w:t xml:space="preserve">. </w:t>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a975a990d60f4c698cfcff10e95ba9c5"/>
                <w:lock w:val="sdtLocked"/>
                <w:richText/>
              </w:sdtPr>
              <w:sdtContent>
                <w:p>
                  <w:pPr>
                    <w:overflowPunct w:val="0"/>
                    <w:spacing w:line="360" w:lineRule="auto"/>
                    <w:ind w:firstLine="709"/>
                    <w:jc w:val="both"/>
                    <w:textAlignment w:val="baseline"/>
                    <w:rPr>
                      <w:szCs w:val="24"/>
                      <w:lang w:eastAsia="lt-LT"/>
                    </w:rPr>
                  </w:pPr>
                  <w:sdt>
                    <w:sdtPr>
                      <w:alias w:val="Numeris"/>
                      <w:tag w:val="nr_a975a990d60f4c698cfcff10e95ba9c5"/>
                      <w:lock w:val="sdtLocked"/>
                      <w:richText/>
                    </w:sdtPr>
                    <w:sdtContent>
                      <w:r>
                        <w:rPr>
                          <w:szCs w:val="24"/>
                        </w:rPr>
                        <w:t>2</w:t>
                      </w:r>
                    </w:sdtContent>
                  </w:sdt>
                  <w:r>
                    <w:rPr>
                      <w:szCs w:val="24"/>
                    </w:rPr>
                    <w:t xml:space="preserve">. Aprašas parengtas vadovaujantis 2008 m. rugsėjo 29 d. Tarybos reglamentu </w:t>
                  </w:r>
                  <w:hyperlink r:id="rId16" w:tgtFrame="_blank" w:history="1">
                    <w:r>
                      <w:rPr>
                        <w:color w:val="0000FF" w:themeColor="hyperlink"/>
                        <w:szCs w:val="24"/>
                        <w:u w:val="single"/>
                      </w:rPr>
                      <w:t>(EB) Nr. 1005/2008</w:t>
                    </w:r>
                  </w:hyperlink>
                  <w:r>
                    <w:rPr>
                      <w:szCs w:val="24"/>
                    </w:rPr>
                    <w:t xml:space="preserve">, nustatančiu Bendrijos sistemą, kuria siekiama užkirsti kelią neteisėtai, nedeklaruojamai ir nereglamentuojamai žvejybai, atgrasyti nuo jos ir ją panaikinti, iš dalies keičiančiu reglamentus </w:t>
                  </w:r>
                  <w:hyperlink r:id="rId17" w:tgtFrame="_blank" w:history="1">
                    <w:r>
                      <w:rPr>
                        <w:color w:val="0000FF" w:themeColor="hyperlink"/>
                        <w:szCs w:val="24"/>
                        <w:u w:val="single"/>
                      </w:rPr>
                      <w:t>(EEB) Nr. 2847/93</w:t>
                    </w:r>
                  </w:hyperlink>
                  <w:r>
                    <w:rPr>
                      <w:szCs w:val="24"/>
                    </w:rPr>
                    <w:t xml:space="preserve">, </w:t>
                  </w:r>
                  <w:hyperlink r:id="rId18" w:tgtFrame="_blank" w:history="1">
                    <w:r>
                      <w:rPr>
                        <w:color w:val="0000FF" w:themeColor="hyperlink"/>
                        <w:szCs w:val="24"/>
                        <w:u w:val="single"/>
                      </w:rPr>
                      <w:t>(EB) Nr. 1936/2001</w:t>
                    </w:r>
                  </w:hyperlink>
                  <w:r>
                    <w:rPr>
                      <w:szCs w:val="24"/>
                    </w:rPr>
                    <w:t xml:space="preserve"> ir </w:t>
                  </w:r>
                  <w:hyperlink r:id="rId19" w:tgtFrame="_blank" w:history="1">
                    <w:r>
                      <w:rPr>
                        <w:color w:val="0000FF" w:themeColor="hyperlink"/>
                        <w:szCs w:val="24"/>
                        <w:u w:val="single"/>
                      </w:rPr>
                      <w:t>(EB) Nr. 601/2004</w:t>
                    </w:r>
                  </w:hyperlink>
                  <w:r>
                    <w:rPr>
                      <w:szCs w:val="24"/>
                    </w:rPr>
                    <w:t xml:space="preserve"> bei panaikinančiu reglamentus </w:t>
                  </w:r>
                  <w:hyperlink r:id="rId20" w:tgtFrame="_blank" w:history="1">
                    <w:r>
                      <w:rPr>
                        <w:color w:val="0000FF" w:themeColor="hyperlink"/>
                        <w:szCs w:val="24"/>
                        <w:u w:val="single"/>
                      </w:rPr>
                      <w:t>(EB) Nr. 1093/94</w:t>
                    </w:r>
                  </w:hyperlink>
                  <w:r>
                    <w:rPr>
                      <w:szCs w:val="24"/>
                    </w:rPr>
                    <w:t xml:space="preserve"> ir </w:t>
                  </w:r>
                  <w:hyperlink r:id="rId21" w:tgtFrame="_blank" w:history="1">
                    <w:r>
                      <w:rPr>
                        <w:color w:val="0000FF" w:themeColor="hyperlink"/>
                        <w:szCs w:val="24"/>
                        <w:u w:val="single"/>
                      </w:rPr>
                      <w:t>(EB) Nr. 1447/1999</w:t>
                    </w:r>
                  </w:hyperlink>
                  <w:r>
                    <w:rPr>
                      <w:szCs w:val="24"/>
                    </w:rPr>
                    <w:t xml:space="preserve">, su visais pakeitimais, 2009 m. spalio 22 d. Komisijos reglamentu </w:t>
                  </w:r>
                  <w:hyperlink r:id="rId22" w:tgtFrame="_blank" w:history="1">
                    <w:r>
                      <w:rPr>
                        <w:color w:val="0000FF" w:themeColor="hyperlink"/>
                        <w:szCs w:val="24"/>
                        <w:u w:val="single"/>
                      </w:rPr>
                      <w:t>(EB) Nr. 1010/2009</w:t>
                    </w:r>
                  </w:hyperlink>
                  <w:r>
                    <w:rPr>
                      <w:szCs w:val="24"/>
                    </w:rPr>
                    <w:t xml:space="preserve">, kuriuo nustatomos išsamios Tarybos reglamento </w:t>
                  </w:r>
                  <w:hyperlink r:id="rId23" w:tgtFrame="_blank" w:history="1">
                    <w:r>
                      <w:rPr>
                        <w:color w:val="0000FF" w:themeColor="hyperlink"/>
                        <w:szCs w:val="24"/>
                        <w:u w:val="single"/>
                      </w:rPr>
                      <w:t>(EB) Nr. 1005/2008</w:t>
                    </w:r>
                  </w:hyperlink>
                  <w:r>
                    <w:rPr>
                      <w:szCs w:val="24"/>
                    </w:rPr>
                    <w:t xml:space="preserve">, nustatančio Bendrijos sistemą, kuria siekiama užkirsti kelią neteisėtai, nedeklaruojamai ir nereglamentuojamai žvejybai, atgrasyti nuo jos ir ją panaikinti, įgyvendinimo taisyklės, su visais pakeitimais, 2009 m. lapkričio 20 d. Tarybos reglamentu </w:t>
                  </w:r>
                  <w:hyperlink r:id="rId24" w:tgtFrame="_blank" w:history="1">
                    <w:r>
                      <w:rPr>
                        <w:color w:val="0000FF" w:themeColor="hyperlink"/>
                        <w:szCs w:val="24"/>
                        <w:u w:val="single"/>
                      </w:rPr>
                      <w:t>(EB) Nr. 1224/2009</w:t>
                    </w:r>
                  </w:hyperlink>
                  <w:r>
                    <w:rPr>
                      <w:szCs w:val="24"/>
                    </w:rPr>
                    <w:t xml:space="preserve">, nustatančiu Bendrijos kontrolės sistemą, kuria užtikrinamas bendrosios žuvininkystės politikos taisyklių laikymasis, iš dalies keičiančiu reglamentus </w:t>
                  </w:r>
                  <w:hyperlink r:id="rId25" w:tgtFrame="_blank" w:history="1">
                    <w:r>
                      <w:rPr>
                        <w:color w:val="0000FF" w:themeColor="hyperlink"/>
                        <w:szCs w:val="24"/>
                        <w:u w:val="single"/>
                      </w:rPr>
                      <w:t>(EB) Nr. 847/96</w:t>
                    </w:r>
                  </w:hyperlink>
                  <w:r>
                    <w:rPr>
                      <w:szCs w:val="24"/>
                    </w:rPr>
                    <w:t xml:space="preserve">, </w:t>
                  </w:r>
                  <w:hyperlink r:id="rId26" w:tgtFrame="_blank" w:history="1">
                    <w:r>
                      <w:rPr>
                        <w:color w:val="0000FF" w:themeColor="hyperlink"/>
                        <w:szCs w:val="24"/>
                        <w:u w:val="single"/>
                      </w:rPr>
                      <w:t>(EB) Nr. 2371/2002</w:t>
                    </w:r>
                  </w:hyperlink>
                  <w:r>
                    <w:rPr>
                      <w:szCs w:val="24"/>
                    </w:rPr>
                    <w:t xml:space="preserve">, </w:t>
                  </w:r>
                  <w:hyperlink r:id="rId27" w:tgtFrame="_blank" w:history="1">
                    <w:r>
                      <w:rPr>
                        <w:color w:val="0000FF" w:themeColor="hyperlink"/>
                        <w:szCs w:val="24"/>
                        <w:u w:val="single"/>
                      </w:rPr>
                      <w:t>(EB) Nr. 811/2004</w:t>
                    </w:r>
                  </w:hyperlink>
                  <w:r>
                    <w:rPr>
                      <w:szCs w:val="24"/>
                    </w:rPr>
                    <w:t xml:space="preserve">, </w:t>
                  </w:r>
                  <w:hyperlink r:id="rId28" w:tgtFrame="_blank" w:history="1">
                    <w:r>
                      <w:rPr>
                        <w:color w:val="0000FF" w:themeColor="hyperlink"/>
                        <w:szCs w:val="24"/>
                        <w:u w:val="single"/>
                      </w:rPr>
                      <w:t>(EB) Nr. 768/2005</w:t>
                    </w:r>
                  </w:hyperlink>
                  <w:r>
                    <w:rPr>
                      <w:szCs w:val="24"/>
                    </w:rPr>
                    <w:t xml:space="preserve">, </w:t>
                  </w:r>
                  <w:hyperlink r:id="rId29" w:tgtFrame="_blank" w:history="1">
                    <w:r>
                      <w:rPr>
                        <w:color w:val="0000FF" w:themeColor="hyperlink"/>
                        <w:szCs w:val="24"/>
                        <w:u w:val="single"/>
                      </w:rPr>
                      <w:t>(EB) Nr. 2115/2005</w:t>
                    </w:r>
                  </w:hyperlink>
                  <w:r>
                    <w:rPr>
                      <w:szCs w:val="24"/>
                    </w:rPr>
                    <w:t xml:space="preserve">, </w:t>
                  </w:r>
                  <w:hyperlink r:id="rId30" w:tgtFrame="_blank" w:history="1">
                    <w:r>
                      <w:rPr>
                        <w:color w:val="0000FF" w:themeColor="hyperlink"/>
                        <w:szCs w:val="24"/>
                        <w:u w:val="single"/>
                      </w:rPr>
                      <w:t>(EB) Nr. 2166/2005</w:t>
                    </w:r>
                  </w:hyperlink>
                  <w:r>
                    <w:rPr>
                      <w:szCs w:val="24"/>
                    </w:rPr>
                    <w:t xml:space="preserve">, </w:t>
                  </w:r>
                  <w:hyperlink r:id="rId31" w:tgtFrame="_blank" w:history="1">
                    <w:r>
                      <w:rPr>
                        <w:color w:val="0000FF" w:themeColor="hyperlink"/>
                        <w:szCs w:val="24"/>
                        <w:u w:val="single"/>
                      </w:rPr>
                      <w:t>(EB) Nr. 388/2006</w:t>
                    </w:r>
                  </w:hyperlink>
                  <w:r>
                    <w:rPr>
                      <w:szCs w:val="24"/>
                    </w:rPr>
                    <w:t xml:space="preserve">, </w:t>
                  </w:r>
                  <w:hyperlink r:id="rId32" w:tgtFrame="_blank" w:history="1">
                    <w:r>
                      <w:rPr>
                        <w:color w:val="0000FF" w:themeColor="hyperlink"/>
                        <w:szCs w:val="24"/>
                        <w:u w:val="single"/>
                      </w:rPr>
                      <w:t>(EB) Nr. 509/2007</w:t>
                    </w:r>
                  </w:hyperlink>
                  <w:r>
                    <w:rPr>
                      <w:szCs w:val="24"/>
                    </w:rPr>
                    <w:t xml:space="preserve">, </w:t>
                  </w:r>
                  <w:hyperlink r:id="rId33" w:tgtFrame="_blank" w:history="1">
                    <w:r>
                      <w:rPr>
                        <w:color w:val="0000FF" w:themeColor="hyperlink"/>
                        <w:szCs w:val="24"/>
                        <w:u w:val="single"/>
                      </w:rPr>
                      <w:t>(EB) Nr. 676/2007</w:t>
                    </w:r>
                  </w:hyperlink>
                  <w:r>
                    <w:rPr>
                      <w:szCs w:val="24"/>
                    </w:rPr>
                    <w:t xml:space="preserve">, </w:t>
                  </w:r>
                  <w:hyperlink r:id="rId34" w:tgtFrame="_blank" w:history="1">
                    <w:r>
                      <w:rPr>
                        <w:color w:val="0000FF" w:themeColor="hyperlink"/>
                        <w:szCs w:val="24"/>
                        <w:u w:val="single"/>
                      </w:rPr>
                      <w:t>(EB) Nr. 1098/2007</w:t>
                    </w:r>
                  </w:hyperlink>
                  <w:r>
                    <w:rPr>
                      <w:szCs w:val="24"/>
                    </w:rPr>
                    <w:t xml:space="preserve">, </w:t>
                  </w:r>
                  <w:hyperlink r:id="rId35" w:tgtFrame="_blank" w:history="1">
                    <w:r>
                      <w:rPr>
                        <w:color w:val="0000FF" w:themeColor="hyperlink"/>
                        <w:szCs w:val="24"/>
                        <w:u w:val="single"/>
                      </w:rPr>
                      <w:t>(EB) Nr. 1300/2008</w:t>
                    </w:r>
                  </w:hyperlink>
                  <w:r>
                    <w:rPr>
                      <w:szCs w:val="24"/>
                    </w:rPr>
                    <w:t xml:space="preserve">, </w:t>
                  </w:r>
                  <w:hyperlink r:id="rId36" w:tgtFrame="_blank" w:history="1">
                    <w:r>
                      <w:rPr>
                        <w:color w:val="0000FF" w:themeColor="hyperlink"/>
                        <w:szCs w:val="24"/>
                        <w:u w:val="single"/>
                      </w:rPr>
                      <w:t>(EB) Nr. 1342/2008</w:t>
                    </w:r>
                  </w:hyperlink>
                  <w:r>
                    <w:rPr>
                      <w:szCs w:val="24"/>
                    </w:rPr>
                    <w:t xml:space="preserve"> ir panaikinančiu reglamentus </w:t>
                  </w:r>
                  <w:hyperlink r:id="rId37" w:tgtFrame="_blank" w:history="1">
                    <w:r>
                      <w:rPr>
                        <w:color w:val="0000FF" w:themeColor="hyperlink"/>
                        <w:szCs w:val="24"/>
                        <w:u w:val="single"/>
                      </w:rPr>
                      <w:t>(EEB) Nr. 2847/93</w:t>
                    </w:r>
                  </w:hyperlink>
                  <w:r>
                    <w:rPr>
                      <w:szCs w:val="24"/>
                    </w:rPr>
                    <w:t xml:space="preserve">, </w:t>
                  </w:r>
                  <w:hyperlink r:id="rId38" w:tgtFrame="_blank" w:history="1">
                    <w:r>
                      <w:rPr>
                        <w:color w:val="0000FF" w:themeColor="hyperlink"/>
                        <w:szCs w:val="24"/>
                        <w:u w:val="single"/>
                      </w:rPr>
                      <w:t>(EB) Nr. 1627/94</w:t>
                    </w:r>
                  </w:hyperlink>
                  <w:r>
                    <w:rPr>
                      <w:szCs w:val="24"/>
                    </w:rPr>
                    <w:t xml:space="preserve"> ir </w:t>
                  </w:r>
                  <w:hyperlink r:id="rId39" w:tgtFrame="_blank" w:history="1">
                    <w:r>
                      <w:rPr>
                        <w:color w:val="0000FF" w:themeColor="hyperlink"/>
                        <w:szCs w:val="24"/>
                        <w:u w:val="single"/>
                      </w:rPr>
                      <w:t>(EB) Nr. 1966/2006</w:t>
                    </w:r>
                  </w:hyperlink>
                  <w:r>
                    <w:rPr>
                      <w:szCs w:val="24"/>
                    </w:rPr>
                    <w:t xml:space="preserve">, su visais pakeitimais, 2024 m. rugsėjo 18 d. Europos Parlamento ir Tarybos reglamentu </w:t>
                  </w:r>
                  <w:hyperlink r:id="rId40" w:tgtFrame="_blank" w:history="1">
                    <w:r>
                      <w:rPr>
                        <w:color w:val="0000FF" w:themeColor="hyperlink"/>
                        <w:szCs w:val="24"/>
                        <w:u w:val="single"/>
                      </w:rPr>
                      <w:t>(ES) 2024/2594</w:t>
                    </w:r>
                  </w:hyperlink>
                  <w:r>
                    <w:rPr>
                      <w:szCs w:val="24"/>
                    </w:rPr>
                    <w:t xml:space="preserve">, kuriuo nustatomos išteklių išsaugojimo, valdymo ir kontrolės priemonės, taikytinos rajone, kuriam taikoma Konvencija dėl būsimo daugiašalio bendradarbiavimo žvejybai šiaurės rytų Atlante, iš dalies keičiamas Europos Parlamento ir Tarybos reglamentas </w:t>
                  </w:r>
                  <w:hyperlink r:id="rId41" w:tgtFrame="_blank" w:history="1">
                    <w:r>
                      <w:rPr>
                        <w:color w:val="0000FF" w:themeColor="hyperlink"/>
                        <w:szCs w:val="24"/>
                        <w:u w:val="single"/>
                      </w:rPr>
                      <w:t>(ES) 2019/1241</w:t>
                    </w:r>
                  </w:hyperlink>
                  <w:r>
                    <w:rPr>
                      <w:szCs w:val="24"/>
                    </w:rPr>
                    <w:t xml:space="preserve"> ir Tarybos reglamentas </w:t>
                  </w:r>
                  <w:hyperlink r:id="rId42" w:tgtFrame="_blank" w:history="1">
                    <w:r>
                      <w:rPr>
                        <w:color w:val="0000FF" w:themeColor="hyperlink"/>
                        <w:szCs w:val="24"/>
                        <w:u w:val="single"/>
                      </w:rPr>
                      <w:t>(EB) Nr. 1224/2009</w:t>
                    </w:r>
                  </w:hyperlink>
                  <w:r>
                    <w:rPr>
                      <w:szCs w:val="24"/>
                    </w:rPr>
                    <w:t xml:space="preserve">, taip pat panaikinamas Europos Parlamento ir Tarybos reglamentas </w:t>
                  </w:r>
                  <w:hyperlink r:id="rId43" w:tgtFrame="_blank" w:history="1">
                    <w:r>
                      <w:rPr>
                        <w:color w:val="0000FF" w:themeColor="hyperlink"/>
                        <w:szCs w:val="24"/>
                        <w:u w:val="single"/>
                      </w:rPr>
                      <w:t>(ES) Nr. 1236/2010</w:t>
                    </w:r>
                  </w:hyperlink>
                  <w:r>
                    <w:rPr>
                      <w:szCs w:val="24"/>
                    </w:rPr>
                    <w:t xml:space="preserve"> ir Tarybos reglamentai </w:t>
                  </w:r>
                  <w:hyperlink r:id="rId44" w:tgtFrame="_blank" w:history="1">
                    <w:r>
                      <w:rPr>
                        <w:color w:val="0000FF" w:themeColor="hyperlink"/>
                        <w:szCs w:val="24"/>
                        <w:u w:val="single"/>
                      </w:rPr>
                      <w:t>(EEB) Nr. 1899/85</w:t>
                    </w:r>
                  </w:hyperlink>
                  <w:r>
                    <w:rPr>
                      <w:szCs w:val="24"/>
                    </w:rPr>
                    <w:t xml:space="preserve"> ir </w:t>
                  </w:r>
                  <w:hyperlink r:id="rId45" w:tgtFrame="_blank" w:history="1">
                    <w:r>
                      <w:rPr>
                        <w:color w:val="0000FF" w:themeColor="hyperlink"/>
                        <w:szCs w:val="24"/>
                        <w:u w:val="single"/>
                      </w:rPr>
                      <w:t>(EEB) Nr. 1638/87</w:t>
                    </w:r>
                  </w:hyperlink>
                  <w:r>
                    <w:rPr>
                      <w:szCs w:val="24"/>
                    </w:rPr>
                    <w:t xml:space="preserve">, 2011 m. balandžio 8 d. Komisijos įgyvendinimo reglamentu </w:t>
                  </w:r>
                  <w:hyperlink r:id="rId46" w:tgtFrame="_blank" w:history="1">
                    <w:r>
                      <w:rPr>
                        <w:color w:val="0000FF" w:themeColor="hyperlink"/>
                        <w:szCs w:val="24"/>
                        <w:u w:val="single"/>
                      </w:rPr>
                      <w:t>(ES) Nr. 404/2011</w:t>
                    </w:r>
                  </w:hyperlink>
                  <w:r>
                    <w:rPr>
                      <w:szCs w:val="24"/>
                    </w:rPr>
                    <w:t xml:space="preserve">, kuriuo nustatomos išsamios Tarybos reglamento </w:t>
                  </w:r>
                  <w:hyperlink r:id="rId47" w:tgtFrame="_blank" w:history="1">
                    <w:r>
                      <w:rPr>
                        <w:color w:val="0000FF" w:themeColor="hyperlink"/>
                        <w:szCs w:val="24"/>
                        <w:u w:val="single"/>
                      </w:rPr>
                      <w:t>(EB) Nr. 1224/2009</w:t>
                    </w:r>
                  </w:hyperlink>
                  <w:r>
                    <w:rPr>
                      <w:szCs w:val="24"/>
                    </w:rPr>
                    <w:t xml:space="preserve">, nustatančio Bendrijos kontrolės sistemą, kuria užtikrinamas bendrosios žuvininkystės politikos taisyklių laikymasis, įgyvendinimo taisyklės, su visais pakeitimais, 2019 m. gegužės 20 d. Europos Parlamento ir Tarybos reglamentu </w:t>
                  </w:r>
                  <w:hyperlink r:id="rId48" w:tgtFrame="_blank" w:history="1">
                    <w:r>
                      <w:rPr>
                        <w:color w:val="0000FF" w:themeColor="hyperlink"/>
                        <w:szCs w:val="24"/>
                        <w:u w:val="single"/>
                      </w:rPr>
                      <w:t>(ES) Nr. 2019/833</w:t>
                    </w:r>
                  </w:hyperlink>
                  <w:r>
                    <w:rPr>
                      <w:szCs w:val="24"/>
                    </w:rPr>
                    <w:t xml:space="preserve">, kuriuo nustatomos išsaugojimo ir vykdymo užtikrinimo priemonės, taikytinos Žvejybos šiaurės vakarų Atlante organizacijos reguliuojamame rajone, iš dalies keičiamas Reglamentas </w:t>
                  </w:r>
                  <w:hyperlink r:id="rId49" w:tgtFrame="_blank" w:history="1">
                    <w:r>
                      <w:rPr>
                        <w:color w:val="0000FF" w:themeColor="hyperlink"/>
                        <w:szCs w:val="24"/>
                        <w:u w:val="single"/>
                      </w:rPr>
                      <w:t>(ES) 2016/1627</w:t>
                    </w:r>
                  </w:hyperlink>
                  <w:r>
                    <w:rPr>
                      <w:szCs w:val="24"/>
                    </w:rPr>
                    <w:t xml:space="preserve"> ir panaikinami Tarybos reglamentai </w:t>
                  </w:r>
                  <w:hyperlink r:id="rId50" w:tgtFrame="_blank" w:history="1">
                    <w:r>
                      <w:rPr>
                        <w:color w:val="0000FF" w:themeColor="hyperlink"/>
                        <w:szCs w:val="24"/>
                        <w:u w:val="single"/>
                      </w:rPr>
                      <w:t>(EB) Nr. 2115/2005</w:t>
                    </w:r>
                  </w:hyperlink>
                  <w:r>
                    <w:rPr>
                      <w:szCs w:val="24"/>
                    </w:rPr>
                    <w:t xml:space="preserve"> ir </w:t>
                  </w:r>
                  <w:hyperlink r:id="rId51" w:tgtFrame="_blank" w:history="1">
                    <w:r>
                      <w:rPr>
                        <w:color w:val="0000FF" w:themeColor="hyperlink"/>
                        <w:szCs w:val="24"/>
                        <w:u w:val="single"/>
                      </w:rPr>
                      <w:t>(EB) Nr. 1386/2007</w:t>
                    </w:r>
                  </w:hyperlink>
                  <w:r>
                    <w:rPr>
                      <w:szCs w:val="24"/>
                    </w:rPr>
                    <w:t>, su visais pakeitimais, Lietuvos Respublikos žuvininkystės įstatymu, Lietuvos Respublikos viešojo administravimo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 p."/>
                <w:tag w:val="part_9eb8543805e34de7bdb106bb15a167dc"/>
                <w:lock w:val="sdtLocked"/>
                <w:richText/>
              </w:sdtPr>
              <w:sdtContent>
                <w:p>
                  <w:pPr>
                    <w:suppressAutoHyphens/>
                    <w:spacing w:line="360" w:lineRule="auto"/>
                    <w:ind w:firstLine="709"/>
                    <w:jc w:val="both"/>
                    <w:textAlignment w:val="center"/>
                    <w:rPr>
                      <w:color w:val="000000"/>
                      <w:szCs w:val="24"/>
                      <w:lang w:eastAsia="lt-LT"/>
                    </w:rPr>
                  </w:pPr>
                  <w:sdt>
                    <w:sdtPr>
                      <w:alias w:val="Numeris"/>
                      <w:tag w:val="nr_9eb8543805e34de7bdb106bb15a167dc"/>
                      <w:lock w:val="sdtLocked"/>
                      <w:richText/>
                    </w:sdtPr>
                    <w:sdtContent>
                      <w:r>
                        <w:rPr>
                          <w:color w:val="000000"/>
                          <w:szCs w:val="24"/>
                          <w:lang w:eastAsia="lt-LT"/>
                        </w:rPr>
                        <w:t>3</w:t>
                      </w:r>
                    </w:sdtContent>
                  </w:sdt>
                  <w:r>
                    <w:rPr>
                      <w:color w:val="000000"/>
                      <w:szCs w:val="24"/>
                      <w:lang w:eastAsia="lt-LT"/>
                    </w:rPr>
                    <w:t>. Apraše vartojamos sąvokos apibrėžtos Žuvininkystės įstatyme, Viešojo administravimo įstatyme ir kituose teisės aktuose.</w:t>
                  </w:r>
                </w:p>
              </w:sdtContent>
            </w:sdt>
            <w:sdt>
              <w:sdtPr>
                <w:alias w:val="4 p."/>
                <w:tag w:val="part_d46d34be278147a19e66d62090561d79"/>
                <w:lock w:val="sdtLocked"/>
                <w:richText/>
              </w:sdtPr>
              <w:sdtContent>
                <w:p>
                  <w:pPr>
                    <w:suppressAutoHyphens/>
                    <w:spacing w:line="360" w:lineRule="auto"/>
                    <w:ind w:firstLine="709"/>
                    <w:jc w:val="both"/>
                    <w:textAlignment w:val="center"/>
                    <w:rPr>
                      <w:color w:val="000000"/>
                      <w:szCs w:val="24"/>
                      <w:lang w:eastAsia="lt-LT"/>
                    </w:rPr>
                  </w:pPr>
                  <w:sdt>
                    <w:sdtPr>
                      <w:alias w:val="Numeris"/>
                      <w:tag w:val="nr_d46d34be278147a19e66d62090561d79"/>
                      <w:lock w:val="sdtLocked"/>
                      <w:richText/>
                    </w:sdtPr>
                    <w:sdtContent>
                      <w:r>
                        <w:rPr>
                          <w:color w:val="000000"/>
                          <w:szCs w:val="24"/>
                          <w:lang w:eastAsia="lt-LT"/>
                        </w:rPr>
                        <w:t>4</w:t>
                      </w:r>
                    </w:sdtContent>
                  </w:sdt>
                  <w:r>
                    <w:rPr>
                      <w:color w:val="000000"/>
                      <w:szCs w:val="24"/>
                      <w:lang w:eastAsia="lt-LT"/>
                    </w:rPr>
                    <w:t xml:space="preserve">. Pareigūnų atliekamų patikrinimų objektas  – ūkio subjektai, užsiimantys žuvininkyste.</w:t>
                  </w:r>
                </w:p>
              </w:sdtContent>
            </w:sdt>
            <w:sdt>
              <w:sdtPr>
                <w:alias w:val="5 p."/>
                <w:tag w:val="part_16321f6fd6404932bf1f742c35a0c1b2"/>
                <w:lock w:val="sdtLocked"/>
                <w:richText/>
              </w:sdtPr>
              <w:sdtContent>
                <w:p>
                  <w:pPr>
                    <w:suppressAutoHyphens/>
                    <w:spacing w:line="360" w:lineRule="auto"/>
                    <w:ind w:firstLine="709"/>
                    <w:jc w:val="both"/>
                    <w:textAlignment w:val="center"/>
                    <w:rPr>
                      <w:color w:val="000000"/>
                      <w:szCs w:val="24"/>
                      <w:lang w:eastAsia="lt-LT"/>
                    </w:rPr>
                  </w:pPr>
                  <w:sdt>
                    <w:sdtPr>
                      <w:alias w:val="Numeris"/>
                      <w:tag w:val="nr_16321f6fd6404932bf1f742c35a0c1b2"/>
                      <w:lock w:val="sdtLocked"/>
                      <w:richText/>
                    </w:sdtPr>
                    <w:sdtContent>
                      <w:r>
                        <w:rPr>
                          <w:color w:val="000000"/>
                          <w:szCs w:val="24"/>
                          <w:lang w:eastAsia="lt-LT"/>
                        </w:rPr>
                        <w:t>5</w:t>
                      </w:r>
                    </w:sdtContent>
                  </w:sdt>
                  <w:r>
                    <w:rPr>
                      <w:color w:val="000000"/>
                      <w:szCs w:val="24"/>
                      <w:lang w:eastAsia="lt-LT"/>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f12fe8ed3bc84b9cb5717041e8024e53"/>
                <w:lock w:val="sdtLocked"/>
                <w:richText/>
              </w:sdtPr>
              <w:sdtContent>
                <w:p>
                  <w:pPr>
                    <w:suppressAutoHyphens/>
                    <w:spacing w:line="360" w:lineRule="auto"/>
                    <w:ind w:firstLine="709"/>
                    <w:jc w:val="both"/>
                    <w:textAlignment w:val="center"/>
                    <w:rPr>
                      <w:color w:val="000000"/>
                      <w:szCs w:val="24"/>
                      <w:lang w:eastAsia="lt-LT"/>
                    </w:rPr>
                  </w:pPr>
                  <w:sdt>
                    <w:sdtPr>
                      <w:alias w:val="Numeris"/>
                      <w:tag w:val="nr_f12fe8ed3bc84b9cb5717041e8024e53"/>
                      <w:lock w:val="sdtLocked"/>
                      <w:richText/>
                    </w:sdtPr>
                    <w:sdtContent>
                      <w:r>
                        <w:rPr>
                          <w:color w:val="000000"/>
                          <w:szCs w:val="24"/>
                          <w:lang w:eastAsia="lt-LT"/>
                        </w:rPr>
                        <w:t>6</w:t>
                      </w:r>
                    </w:sdtContent>
                  </w:sdt>
                  <w:r>
                    <w:rPr>
                      <w:color w:val="000000"/>
                      <w:szCs w:val="24"/>
                      <w:lang w:eastAsia="lt-LT"/>
                    </w:rPr>
                    <w:t>. 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a811100397644006af8d469959881259"/>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a811100397644006af8d469959881259"/>
                      <w:lock w:val="sdtLocked"/>
                      <w:richText/>
                    </w:sdtPr>
                    <w:sdtContent>
                      <w:r>
                        <w:rPr>
                          <w:bCs/>
                          <w:caps/>
                          <w:color w:val="000000"/>
                          <w:szCs w:val="24"/>
                        </w:rPr>
                        <w:t>7</w:t>
                      </w:r>
                    </w:sdtContent>
                  </w:sdt>
                  <w:r>
                    <w:rPr>
                      <w:bCs/>
                      <w:caps/>
                      <w:color w:val="000000"/>
                      <w:szCs w:val="24"/>
                    </w:rPr>
                    <w:t xml:space="preserve">. </w:t>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cdcbcc5523204f60987304f5fb914abd"/>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cdcbcc5523204f60987304f5fb914abd"/>
                      <w:lock w:val="sdtLocked"/>
                      <w:richText/>
                    </w:sdtPr>
                    <w:sdtContent>
                      <w:r>
                        <w:rPr>
                          <w:bCs/>
                          <w:caps/>
                          <w:color w:val="000000"/>
                          <w:szCs w:val="24"/>
                        </w:rPr>
                        <w:t>8</w:t>
                      </w:r>
                    </w:sdtContent>
                  </w:sdt>
                  <w:r>
                    <w:rPr>
                      <w:bCs/>
                      <w:caps/>
                      <w:color w:val="000000"/>
                      <w:szCs w:val="24"/>
                    </w:rPr>
                    <w:t xml:space="preserve">. </w:t>
                  </w:r>
                  <w:r>
                    <w:rPr>
                      <w:bCs/>
                      <w:color w:val="000000"/>
                      <w:szCs w:val="24"/>
                    </w:rPr>
                    <w:t>Ūkio subjektų patikrinimai gali būti planiniai, neplaniniai ir atsitiktiniai.</w:t>
                  </w:r>
                </w:p>
              </w:sdtContent>
            </w:sdt>
            <w:sdt>
              <w:sdtPr>
                <w:alias w:val="9 p."/>
                <w:tag w:val="part_e346df2512b646f3938dd589991af70f"/>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346df2512b646f3938dd589991af70f"/>
                      <w:lock w:val="sdtLocked"/>
                      <w:richText/>
                    </w:sdtPr>
                    <w:sdtContent>
                      <w:r>
                        <w:rPr>
                          <w:bCs/>
                          <w:caps/>
                          <w:color w:val="000000"/>
                          <w:szCs w:val="24"/>
                        </w:rPr>
                        <w:t>9</w:t>
                      </w:r>
                    </w:sdtContent>
                  </w:sdt>
                  <w:r>
                    <w:rPr>
                      <w:bCs/>
                      <w:caps/>
                      <w:color w:val="000000"/>
                      <w:szCs w:val="24"/>
                    </w:rPr>
                    <w:t xml:space="preserve">. </w:t>
                  </w:r>
                  <w:r>
                    <w:rPr>
                      <w:color w:val="000000"/>
                      <w:szCs w:val="24"/>
                    </w:rPr>
                    <w:t>Planiniai patikrinimai atliekami pagal metinį patikrinimų planą.</w:t>
                  </w:r>
                </w:p>
              </w:sdtContent>
            </w:sdt>
            <w:sdt>
              <w:sdtPr>
                <w:alias w:val="10 p."/>
                <w:tag w:val="part_1e79840f72b54a60b40efc36898f118d"/>
                <w:lock w:val="sdtLocked"/>
                <w:richText/>
              </w:sdtPr>
              <w:sdtContent>
                <w:p>
                  <w:pPr>
                    <w:overflowPunct w:val="0"/>
                    <w:spacing w:line="360" w:lineRule="auto"/>
                    <w:ind w:firstLine="709"/>
                    <w:jc w:val="both"/>
                    <w:textAlignment w:val="baseline"/>
                    <w:rPr>
                      <w:bCs/>
                      <w:caps/>
                      <w:color w:val="000000"/>
                      <w:szCs w:val="24"/>
                    </w:rPr>
                  </w:pPr>
                  <w:sdt>
                    <w:sdtPr>
                      <w:alias w:val="Numeris"/>
                      <w:tag w:val="nr_1e79840f72b54a60b40efc36898f118d"/>
                      <w:lock w:val="sdtLocked"/>
                      <w:richText/>
                    </w:sdtPr>
                    <w:sdtContent>
                      <w:r>
                        <w:rPr>
                          <w:szCs w:val="24"/>
                        </w:rPr>
                        <w:t>10</w:t>
                      </w:r>
                    </w:sdtContent>
                  </w:sdt>
                  <w:r>
                    <w:rPr>
                      <w:szCs w:val="24"/>
                    </w:rPr>
                    <w:t>. Neplaniniai patikrinimai atliekami Žuvininkystės tarnybos direktoriaus ar jo įgalioto asmens pasirašytu ir nustatyta tvarka užregistruotu Pavedimu atlikti patikrinimą (toliau – Pavedimas). Pavedimo forma tvirtinama Žuvininkystės tarnybos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11 p."/>
                <w:tag w:val="part_f8f91c4ea67a4f8383c125f54162444b"/>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f8f91c4ea67a4f8383c125f54162444b"/>
                      <w:lock w:val="sdtLocked"/>
                      <w:richText/>
                    </w:sdtPr>
                    <w:sdtContent>
                      <w:r>
                        <w:rPr>
                          <w:color w:val="000000"/>
                          <w:szCs w:val="24"/>
                        </w:rPr>
                        <w:t>11</w:t>
                      </w:r>
                    </w:sdtContent>
                  </w:sdt>
                  <w:r>
                    <w:rPr>
                      <w:color w:val="000000"/>
                      <w:szCs w:val="24"/>
                    </w:rPr>
                    <w:t xml:space="preserve">. 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e8ae98fcc3f941499a1abfb30ae8b42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e8ae98fcc3f941499a1abfb30ae8b420"/>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308610957dec46f294c3b1c56f93aafd"/>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308610957dec46f294c3b1c56f93aafd"/>
                      <w:lock w:val="sdtLocked"/>
                      <w:richText/>
                    </w:sdtPr>
                    <w:sdtContent>
                      <w:r>
                        <w:rPr>
                          <w:color w:val="000000"/>
                          <w:szCs w:val="24"/>
                        </w:rPr>
                        <w:t>13</w:t>
                      </w:r>
                    </w:sdtContent>
                  </w:sdt>
                  <w:r>
                    <w:rPr>
                      <w:color w:val="000000"/>
                      <w:szCs w:val="24"/>
                    </w:rPr>
                    <w:t>. Pavedime nurodoma:</w:t>
                  </w:r>
                </w:p>
                <w:sdt>
                  <w:sdtPr>
                    <w:alias w:val="13.1 pp."/>
                    <w:tag w:val="part_8c8bd174d81c4840aa68529190cf2c7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8c8bd174d81c4840aa68529190cf2c70"/>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1cb8b970dead4c219020870befdb38bc"/>
                <w:lock w:val="sdtLocked"/>
                <w:richText/>
              </w:sdtPr>
              <w:sdtContent>
                <w:p>
                  <w:pPr>
                    <w:keepLines/>
                    <w:tabs>
                      <w:tab w:val="left" w:pos="709"/>
                      <w:tab w:val="left" w:pos="1134"/>
                    </w:tabs>
                    <w:suppressAutoHyphens/>
                    <w:overflowPunct w:val="0"/>
                    <w:spacing w:line="360" w:lineRule="auto"/>
                    <w:ind w:firstLine="709"/>
                    <w:jc w:val="both"/>
                    <w:textAlignment w:val="baseline"/>
                  </w:pPr>
                  <w:sdt>
                    <w:sdtPr>
                      <w:alias w:val="Numeris"/>
                      <w:tag w:val="nr_1cb8b970dead4c219020870befdb38bc"/>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sdtContent>
            </w:sdt>
            <w:sdt>
              <w:sdtPr>
                <w:alias w:val="18-1 p."/>
                <w:tag w:val="part_46abd595d2c24a368cf408de1a074ae3"/>
                <w:lock w:val="sdtLocked"/>
                <w:richText/>
              </w:sdtPr>
              <w:sdtContent>
                <w:p>
                  <w:pPr>
                    <w:tabs>
                      <w:tab w:val="left" w:pos="709"/>
                      <w:tab w:val="left" w:pos="993"/>
                    </w:tabs>
                    <w:spacing w:line="360" w:lineRule="auto"/>
                    <w:ind w:firstLine="720"/>
                    <w:jc w:val="both"/>
                    <w:rPr>
                      <w:b/>
                      <w:color w:val="000000"/>
                      <w:szCs w:val="24"/>
                    </w:rPr>
                  </w:pPr>
                  <w:sdt>
                    <w:sdtPr>
                      <w:alias w:val="Numeris"/>
                      <w:tag w:val="nr_46abd595d2c24a368cf408de1a074ae3"/>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w:t>
                  </w:r>
                  <w:r>
                    <w:rPr>
                      <w:color w:val="000000"/>
                      <w:sz w:val="22"/>
                      <w:szCs w:val="24"/>
                      <w:lang w:eastAsia="lt-LT"/>
                    </w:rPr>
                    <w:t xml:space="preserve"> </w:t>
                  </w:r>
                  <w:r>
                    <w:rPr>
                      <w:color w:val="000000"/>
                      <w:szCs w:val="24"/>
                    </w:rPr>
                    <w:t>Planinio ar neplaninio ūkio subjekto veiklos patikrinimo metu paaiškėjus, kad yra būtinybė tikrinti ir kitas ūkio subjekto veiklos sritis, kurios nebuvo numatytos metiniame patikrinimų plane arba nurodytos Pavedime, Žuvininkystės tarnybos Pareigūnai, raštu išdėstę papildomas aplinkybes ir suderinę su tiesioginiu vadovu, turi teisę išplėsti ūkio subjekto veiklos patikrinimo sritį ir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5b91ef143c034fa39247ce80ccad4125"/>
            <w:lock w:val="sdtLocked"/>
            <w:richText/>
          </w:sdtPr>
          <w:sdtContent>
            <w:p>
              <w:pPr>
                <w:keepLines/>
                <w:tabs>
                  <w:tab w:val="left" w:pos="709"/>
                </w:tabs>
                <w:suppressAutoHyphens/>
                <w:overflowPunct w:val="0"/>
                <w:jc w:val="center"/>
                <w:textAlignment w:val="baseline"/>
                <w:rPr>
                  <w:b/>
                  <w:color w:val="000000"/>
                  <w:szCs w:val="24"/>
                </w:rPr>
              </w:pPr>
              <w:sdt>
                <w:sdtPr>
                  <w:alias w:val="Numeris"/>
                  <w:tag w:val="nr_5b91ef143c034fa39247ce80ccad4125"/>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jc w:val="center"/>
                <w:textAlignment w:val="baseline"/>
                <w:rPr>
                  <w:color w:val="000000"/>
                  <w:szCs w:val="24"/>
                </w:rPr>
              </w:pPr>
              <w:sdt>
                <w:sdtPr>
                  <w:alias w:val="Pavadinimas"/>
                  <w:tag w:val="title_5b91ef143c034fa39247ce80ccad4125"/>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8529c5cfdf1d4a329d3ecf6ca946f11a"/>
                <w:lock w:val="sdtLocked"/>
                <w:richText/>
              </w:sdtPr>
              <w:sdtContent>
                <w:p>
                  <w:pPr>
                    <w:overflowPunct w:val="0"/>
                    <w:spacing w:line="360" w:lineRule="auto"/>
                    <w:ind w:firstLine="709"/>
                    <w:jc w:val="both"/>
                    <w:textAlignment w:val="baseline"/>
                  </w:pPr>
                  <w:sdt>
                    <w:sdtPr>
                      <w:alias w:val="Numeris"/>
                      <w:tag w:val="nr_8529c5cfdf1d4a329d3ecf6ca946f11a"/>
                      <w:lock w:val="sdtLocked"/>
                      <w:richText/>
                    </w:sdtPr>
                    <w:sdtContent>
                      <w:r>
                        <w:t>19</w:t>
                      </w:r>
                    </w:sdtContent>
                  </w:sdt>
                  <w:r>
                    <w:t>. Žuvininkystės tarnyba sudaro kitų metų metinį patikrinimų planą (toliau – Patikrinimų planas) ir jį tvirtina Žuvininkystės tarnybos direktoriaus įsakymu ne vėliau kaip iki einamųjų metų gruodžio 15 d. Patikrinimų planas sudaromas:</w:t>
                  </w:r>
                </w:p>
                <w:sdt>
                  <w:sdtPr>
                    <w:alias w:val="19.1 pp."/>
                    <w:tag w:val="part_b012b26a40bc495a92c8b52489885d6f"/>
                    <w:lock w:val="sdtLocked"/>
                    <w:richText/>
                  </w:sdtPr>
                  <w:sdtContent>
                    <w:p>
                      <w:pPr>
                        <w:overflowPunct w:val="0"/>
                        <w:spacing w:line="360" w:lineRule="auto"/>
                        <w:ind w:firstLine="709"/>
                        <w:jc w:val="both"/>
                        <w:textAlignment w:val="baseline"/>
                      </w:pPr>
                      <w:sdt>
                        <w:sdtPr>
                          <w:alias w:val="Numeris"/>
                          <w:tag w:val="nr_b012b26a40bc495a92c8b52489885d6f"/>
                          <w:lock w:val="sdtLocked"/>
                          <w:richText/>
                        </w:sdtPr>
                        <w:sdtContent>
                          <w:r>
                            <w:t>19.1</w:t>
                          </w:r>
                        </w:sdtContent>
                      </w:sdt>
                      <w:r>
                        <w:t>. atsižvelgiant į rizikos kriterijus, nustatytus Žuvininkystės tarnybos direktoriaus įsakymu patvirtintuose teisės aktuose dėl ūkio subjektų atrankos žuvininkystės kontrolės pareigūnų atliekamiems planiniams patikrinimams;</w:t>
                      </w:r>
                    </w:p>
                  </w:sdtContent>
                </w:sdt>
                <w:sdt>
                  <w:sdtPr>
                    <w:alias w:val="19.2 pp."/>
                    <w:tag w:val="part_610e36fb70134c7ea4c1a08ef34347d0"/>
                    <w:lock w:val="sdtLocked"/>
                    <w:richText/>
                  </w:sdtPr>
                  <w:sdtContent>
                    <w:p>
                      <w:pPr>
                        <w:overflowPunct w:val="0"/>
                        <w:spacing w:line="360" w:lineRule="auto"/>
                        <w:ind w:firstLine="709"/>
                        <w:jc w:val="both"/>
                        <w:textAlignment w:val="baseline"/>
                        <w:rPr>
                          <w:color w:val="000000"/>
                          <w:szCs w:val="24"/>
                        </w:rPr>
                      </w:pPr>
                      <w:sdt>
                        <w:sdtPr>
                          <w:alias w:val="Numeris"/>
                          <w:tag w:val="nr_610e36fb70134c7ea4c1a08ef34347d0"/>
                          <w:lock w:val="sdtLocked"/>
                          <w:richText/>
                        </w:sdtPr>
                        <w:sdtContent>
                          <w:r>
                            <w:t>19.2</w:t>
                          </w:r>
                        </w:sdtContent>
                      </w:sdt>
                      <w:r>
                        <w:t xml:space="preserve">. vadovaujantis teisės aktais, reglamentuojančiais žvejybos produktų gamintojų organizacijų ir akvakultūros produktų gamintojų organizacijų veiklos tikrinimo periodiškumą.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0 p."/>
                <w:tag w:val="part_4958e472fc1e4dd8852af01e534f27a5"/>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4958e472fc1e4dd8852af01e534f27a5"/>
                      <w:lock w:val="sdtLocked"/>
                      <w:richText/>
                    </w:sdtPr>
                    <w:sdtContent>
                      <w:r>
                        <w:rPr>
                          <w:color w:val="000000"/>
                          <w:szCs w:val="24"/>
                        </w:rPr>
                        <w:t>20</w:t>
                      </w:r>
                    </w:sdtContent>
                  </w:sdt>
                  <w:r>
                    <w:rPr>
                      <w:color w:val="000000"/>
                      <w:szCs w:val="24"/>
                    </w:rPr>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0d04787cf0154b06b83620100ec843b0"/>
                <w:lock w:val="sdtLocked"/>
                <w:richText/>
              </w:sdtPr>
              <w:sdtContent>
                <w:p>
                  <w:pPr>
                    <w:overflowPunct w:val="0"/>
                    <w:spacing w:line="360" w:lineRule="auto"/>
                    <w:ind w:firstLine="709"/>
                    <w:jc w:val="both"/>
                    <w:textAlignment w:val="baseline"/>
                    <w:rPr>
                      <w:color w:val="000000"/>
                      <w:szCs w:val="24"/>
                    </w:rPr>
                  </w:pPr>
                  <w:sdt>
                    <w:sdtPr>
                      <w:alias w:val="Numeris"/>
                      <w:tag w:val="nr_0d04787cf0154b06b83620100ec843b0"/>
                      <w:lock w:val="sdtLocked"/>
                      <w:richText/>
                    </w:sdtPr>
                    <w:sdtContent>
                      <w:r>
                        <w:t>21</w:t>
                      </w:r>
                    </w:sdtContent>
                  </w:sdt>
                  <w:r>
                    <w:t xml:space="preserve">. Patikrinimų plane nurodoma: planuojamo patikrinimo data (gali būti 4 savaičių tikslumu), Žuvininkystės tarnybos struktūrinio padalinio, atliekančio patikrinimą, pavadinimas, numatomo tikrinti ūkio subjekto rekvizitai (planuojant tikrinti ūkio subjektą – buveinės adresas, valdomą žvejybos laivą – žvejybos uosto pavadinimas arba žvejybos produktų iškrovimo vieta), rizikos kriterijai, numatyti teisės aktuose, nurodytuose 19.1 papunktyje, pagal kuriuos buvo atrinktas ūkio subjektas, ir kita tikrinimui reikalinga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2 p."/>
                <w:tag w:val="part_8279dc15d0824ef88e8d00b7196e738d"/>
                <w:lock w:val="sdtLocked"/>
                <w:richText/>
              </w:sdtPr>
              <w:sdtContent>
                <w:p>
                  <w:pPr>
                    <w:overflowPunct w:val="0"/>
                    <w:spacing w:line="360" w:lineRule="auto"/>
                    <w:ind w:firstLine="709"/>
                    <w:jc w:val="both"/>
                    <w:textAlignment w:val="baseline"/>
                    <w:rPr>
                      <w:color w:val="000000"/>
                      <w:szCs w:val="24"/>
                    </w:rPr>
                  </w:pPr>
                  <w:sdt>
                    <w:sdtPr>
                      <w:alias w:val="Numeris"/>
                      <w:tag w:val="nr_8279dc15d0824ef88e8d00b7196e738d"/>
                      <w:lock w:val="sdtLocked"/>
                      <w:richText/>
                    </w:sdtPr>
                    <w:sdtContent>
                      <w:r>
                        <w:rPr>
                          <w:szCs w:val="24"/>
                        </w:rPr>
                        <w:t>22</w:t>
                      </w:r>
                    </w:sdtContent>
                  </w:sdt>
                  <w:r>
                    <w:rPr>
                      <w:szCs w:val="24"/>
                    </w:rPr>
                    <w:t>. Žuvininkystės tarnyba, prieš pradėdama ūkio subjekto planinį patikrinimą, likus ne mažiau kaip 10 darbo dienų, privalo ūkio subjektą raštu arba elektroniniu būdu informuoti apie numatomą vykdyti patikrinimą, nurodyti atliekamo patikrinimo pagrindą, trukmę, terminą, dalyką ir pateikti preliminarų dokumentų, kuriuos ūkio subjektas turi pateikti Žuvininkystės tarnybai,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23 p."/>
                <w:tag w:val="part_ecc78e757dba427e89044e4530f31aca"/>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ecc78e757dba427e89044e4530f31aca"/>
                      <w:lock w:val="sdtLocked"/>
                      <w:richText/>
                    </w:sdtPr>
                    <w:sdtContent>
                      <w:r>
                        <w:rPr>
                          <w:szCs w:val="24"/>
                        </w:rPr>
                        <w:t>23</w:t>
                      </w:r>
                    </w:sdtContent>
                  </w:sdt>
                  <w:r>
                    <w:rPr>
                      <w:szCs w:val="24"/>
                    </w:rPr>
                    <w:t>. 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
              <w:sdtPr>
                <w:alias w:val="23-1 p."/>
                <w:tag w:val="part_9eecc7dad3cb4a6fafb1a655672aaf2a"/>
                <w:lock w:val="sdtLocked"/>
                <w:richText/>
              </w:sdtPr>
              <w:sdtContent>
                <w:p>
                  <w:pPr>
                    <w:overflowPunct w:val="0"/>
                    <w:spacing w:line="360" w:lineRule="auto"/>
                    <w:ind w:firstLine="709"/>
                    <w:jc w:val="both"/>
                    <w:textAlignment w:val="baseline"/>
                    <w:rPr>
                      <w:b/>
                      <w:color w:val="000000"/>
                      <w:szCs w:val="24"/>
                    </w:rPr>
                  </w:pPr>
                  <w:sdt>
                    <w:sdtPr>
                      <w:alias w:val="Numeris"/>
                      <w:tag w:val="nr_9eecc7dad3cb4a6fafb1a655672aaf2a"/>
                      <w:lock w:val="sdtLocked"/>
                      <w:richText/>
                    </w:sdtPr>
                    <w:sdtContent>
                      <w:r>
                        <w:rPr>
                          <w:color w:val="000000"/>
                          <w:szCs w:val="24"/>
                          <w:lang w:eastAsia="lt-LT"/>
                        </w:rPr>
                        <w:t>23</w:t>
                      </w:r>
                      <w:r>
                        <w:rPr>
                          <w:color w:val="000000"/>
                          <w:szCs w:val="24"/>
                          <w:vertAlign w:val="superscript"/>
                          <w:lang w:eastAsia="lt-LT"/>
                        </w:rPr>
                        <w:t>1</w:t>
                      </w:r>
                    </w:sdtContent>
                  </w:sdt>
                  <w:r>
                    <w:rPr>
                      <w:color w:val="000000"/>
                      <w:sz w:val="22"/>
                      <w:szCs w:val="24"/>
                      <w:lang w:eastAsia="lt-LT"/>
                    </w:rPr>
                    <w:t xml:space="preserve">. </w:t>
                  </w:r>
                  <w:r>
                    <w:rPr>
                      <w:color w:val="000000"/>
                      <w:szCs w:val="24"/>
                      <w:vertAlign w:val="superscript"/>
                      <w:lang w:eastAsia="lt-LT"/>
                    </w:rPr>
                    <w:t xml:space="preserve"> </w:t>
                  </w:r>
                  <w:r>
                    <w:rPr>
                      <w:szCs w:val="24"/>
                    </w:rPr>
                    <w:t xml:space="preserve">Planinio ūkio subjekto veiklos patikrinimo maksimali trukmė neturi viršyti 2 valandų, išskyrus Aprašo </w:t>
                  </w:r>
                  <w:r>
                    <w:rPr>
                      <w:color w:val="000000"/>
                      <w:szCs w:val="24"/>
                      <w:lang w:eastAsia="lt-LT"/>
                    </w:rPr>
                    <w:t>18</w:t>
                  </w:r>
                  <w:r>
                    <w:rPr>
                      <w:color w:val="000000"/>
                      <w:szCs w:val="24"/>
                      <w:vertAlign w:val="superscript"/>
                      <w:lang w:eastAsia="lt-LT"/>
                    </w:rPr>
                    <w:t>1</w:t>
                  </w:r>
                  <w:r>
                    <w:rPr>
                      <w:szCs w:val="24"/>
                    </w:rPr>
                    <w:t xml:space="preserve"> punkte nustatytus atvejus. Į ūkio subjekto veiklos patikrinimo trukmę neįskaičiuojamas laikotarpis, per kurį ūkio subjektas Žuvininkystės tarnybos prašymu turi pateikti papildomą informaciją,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f7108166b6d44dc6b60d5f6bcec6ec7a"/>
            <w:lock w:val="sdtLocked"/>
            <w:richText/>
          </w:sdtPr>
          <w:sdtContent>
            <w:p>
              <w:pPr>
                <w:suppressAutoHyphens/>
                <w:overflowPunct w:val="0"/>
                <w:jc w:val="center"/>
                <w:textAlignment w:val="baseline"/>
                <w:rPr>
                  <w:b/>
                  <w:color w:val="000000"/>
                  <w:szCs w:val="24"/>
                </w:rPr>
              </w:pPr>
              <w:sdt>
                <w:sdtPr>
                  <w:alias w:val="Numeris"/>
                  <w:tag w:val="nr_f7108166b6d44dc6b60d5f6bcec6ec7a"/>
                  <w:lock w:val="sdtLocked"/>
                  <w:richText/>
                </w:sdtPr>
                <w:sdtContent>
                  <w:r>
                    <w:rPr>
                      <w:b/>
                      <w:color w:val="000000"/>
                      <w:szCs w:val="24"/>
                    </w:rPr>
                    <w:t>IV</w:t>
                  </w:r>
                </w:sdtContent>
              </w:sdt>
              <w:r>
                <w:rPr>
                  <w:b/>
                  <w:color w:val="000000"/>
                  <w:szCs w:val="24"/>
                </w:rPr>
                <w:t xml:space="preserve"> SKYRIUS</w:t>
              </w:r>
            </w:p>
            <w:p>
              <w:pPr>
                <w:suppressAutoHyphens/>
                <w:overflowPunct w:val="0"/>
                <w:jc w:val="center"/>
                <w:textAlignment w:val="baseline"/>
                <w:rPr>
                  <w:b/>
                  <w:color w:val="000000"/>
                  <w:szCs w:val="24"/>
                </w:rPr>
              </w:pPr>
              <w:sdt>
                <w:sdtPr>
                  <w:alias w:val="Pavadinimas"/>
                  <w:tag w:val="title_f7108166b6d44dc6b60d5f6bcec6ec7a"/>
                  <w:lock w:val="sdtLocked"/>
                  <w:richText/>
                </w:sdtPr>
                <w:sdtContent>
                  <w:r>
                    <w:rPr>
                      <w:b/>
                      <w:color w:val="000000"/>
                      <w:szCs w:val="24"/>
                    </w:rPr>
                    <w:t xml:space="preserve">NEPLANINIAI, ATSITIKTINIAI PATIKRINIMAI IR KONTROLĖ ŠIAURĖS ATLANTE </w:t>
                  </w:r>
                </w:sdtContent>
              </w:sdt>
            </w:p>
            <w:p>
              <w:pPr>
                <w:keepLines/>
                <w:suppressAutoHyphens/>
                <w:overflowPunct w:val="0"/>
                <w:spacing w:line="360" w:lineRule="auto"/>
                <w:ind w:firstLine="633"/>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
              <w:sdtPr>
                <w:alias w:val="24 p."/>
                <w:tag w:val="part_e1dfcfb761d943f2b4d271a40375f125"/>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e1dfcfb761d943f2b4d271a40375f125"/>
                      <w:lock w:val="sdtLocked"/>
                      <w:richText/>
                    </w:sdtPr>
                    <w:sdtContent>
                      <w:r>
                        <w:rPr>
                          <w:szCs w:val="24"/>
                        </w:rPr>
                        <w:t>24</w:t>
                      </w:r>
                    </w:sdtContent>
                  </w:sdt>
                  <w:r>
                    <w:rPr>
                      <w:szCs w:val="24"/>
                    </w:rPr>
                    <w:t xml:space="preserve">. </w:t>
                  </w:r>
                  <w:r>
                    <w:rPr>
                      <w:color w:val="000000"/>
                      <w:szCs w:val="24"/>
                    </w:rPr>
                    <w:t>Neplaniniai patikrinimai gali būti atliekami:</w:t>
                  </w:r>
                </w:p>
                <w:sdt>
                  <w:sdtPr>
                    <w:alias w:val="24.1 pp."/>
                    <w:tag w:val="part_0957fab210ca46b39408e406c2e5a573"/>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0957fab210ca46b39408e406c2e5a573"/>
                          <w:lock w:val="sdtLocked"/>
                          <w:richText/>
                        </w:sdtPr>
                        <w:sdtContent>
                          <w:r>
                            <w:rPr>
                              <w:color w:val="000000"/>
                              <w:szCs w:val="24"/>
                            </w:rPr>
                            <w:t>24.1</w:t>
                          </w:r>
                        </w:sdtContent>
                      </w:sdt>
                      <w:r>
                        <w:rPr>
                          <w:color w:val="000000"/>
                          <w:szCs w:val="24"/>
                        </w:rPr>
                        <w:t>. gavus kito kompetentingo viešojo administravimo subjekto rašytinį motyvuotą prašymą ar pavedimą, ar kitos valstybės kompetentingos institucijos prašymą;</w:t>
                      </w:r>
                    </w:p>
                  </w:sdtContent>
                </w:sdt>
                <w:sdt>
                  <w:sdtPr>
                    <w:alias w:val="24.2 pp."/>
                    <w:tag w:val="part_be7144db2dfd4eb5a2f858130a34f2b4"/>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be7144db2dfd4eb5a2f858130a34f2b4"/>
                          <w:lock w:val="sdtLocked"/>
                          <w:richText/>
                        </w:sdtPr>
                        <w:sdtContent>
                          <w:r>
                            <w:rPr>
                              <w:color w:val="000000"/>
                              <w:szCs w:val="24"/>
                            </w:rPr>
                            <w:t>24.2</w:t>
                          </w:r>
                        </w:sdtContent>
                      </w:sdt>
                      <w:r>
                        <w:rPr>
                          <w:color w:val="000000"/>
                          <w:szCs w:val="24"/>
                        </w:rPr>
                        <w:t>. gavus skundą dėl konkrečių ūkio subjekto veiksmų ar neveikimo;</w:t>
                      </w:r>
                    </w:p>
                  </w:sdtContent>
                </w:sdt>
                <w:sdt>
                  <w:sdtPr>
                    <w:alias w:val="24.3 pp."/>
                    <w:tag w:val="part_1a946b8200644e74a7a1b05f3f5ca938"/>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1a946b8200644e74a7a1b05f3f5ca938"/>
                          <w:lock w:val="sdtLocked"/>
                          <w:richText/>
                        </w:sdtPr>
                        <w:sdtContent>
                          <w:r>
                            <w:rPr>
                              <w:color w:val="000000"/>
                              <w:szCs w:val="24"/>
                            </w:rPr>
                            <w:t>24.3</w:t>
                          </w:r>
                        </w:sdtContent>
                      </w:sdt>
                      <w:r>
                        <w:rPr>
                          <w:color w:val="000000"/>
                          <w:szCs w:val="24"/>
                        </w:rPr>
                        <w:t>. siekiant užtikrinti, kad būtų pašalinti ūkio subjekto veiklos ankstesnio patikrinimo metu nustatyti teisės aktų pažeidimai ir įgyvendinti priimti sprendimai;</w:t>
                      </w:r>
                    </w:p>
                  </w:sdtContent>
                </w:sdt>
                <w:sdt>
                  <w:sdtPr>
                    <w:alias w:val="24.4 pp."/>
                    <w:tag w:val="part_8822aef0446a410592548e7ad4d9f936"/>
                    <w:lock w:val="sdtLocked"/>
                    <w:richText/>
                  </w:sdtPr>
                  <w:sdtContent>
                    <w:p>
                      <w:pPr>
                        <w:keepLines/>
                        <w:tabs>
                          <w:tab w:val="left" w:pos="1135"/>
                          <w:tab w:val="left" w:pos="1418"/>
                          <w:tab w:val="left" w:pos="1701"/>
                        </w:tabs>
                        <w:suppressAutoHyphens/>
                        <w:overflowPunct w:val="0"/>
                        <w:spacing w:line="360" w:lineRule="auto"/>
                        <w:ind w:firstLine="709"/>
                        <w:jc w:val="both"/>
                        <w:textAlignment w:val="baseline"/>
                        <w:rPr>
                          <w:color w:val="000000"/>
                          <w:szCs w:val="24"/>
                        </w:rPr>
                      </w:pPr>
                      <w:sdt>
                        <w:sdtPr>
                          <w:alias w:val="Numeris"/>
                          <w:tag w:val="nr_8822aef0446a410592548e7ad4d9f936"/>
                          <w:lock w:val="sdtLocked"/>
                          <w:richText/>
                        </w:sdtPr>
                        <w:sdtContent>
                          <w:r>
                            <w:rPr>
                              <w:bCs/>
                              <w:szCs w:val="24"/>
                            </w:rPr>
                            <w:t>24.4</w:t>
                          </w:r>
                        </w:sdtContent>
                      </w:sdt>
                      <w:r>
                        <w:rPr>
                          <w:bCs/>
                          <w:szCs w:val="24"/>
                        </w:rPr>
                        <w:t xml:space="preserve">. vykdant Europos Sąjungos teisės aktų, įstatymų ar kitų teisės aktų nustatytus reikalavimus. </w:t>
                      </w:r>
                    </w:p>
                  </w:sdtContent>
                </w:sdt>
              </w:sdtContent>
            </w:sdt>
            <w:sdt>
              <w:sdtPr>
                <w:alias w:val="25 p."/>
                <w:tag w:val="part_65f86002eb9b43819f29b7bec5f06bdb"/>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65f86002eb9b43819f29b7bec5f06bdb"/>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3bda98de32224041906fb885ec11dafc"/>
                    <w:lock w:val="sdtLocked"/>
                    <w:richText/>
                  </w:sdtPr>
                  <w:sdtContent>
                    <w:p>
                      <w:pPr>
                        <w:keepLines/>
                        <w:tabs>
                          <w:tab w:val="left" w:pos="1134"/>
                          <w:tab w:val="left" w:pos="1701"/>
                          <w:tab w:val="left" w:pos="2552"/>
                        </w:tabs>
                        <w:suppressAutoHyphens/>
                        <w:overflowPunct w:val="0"/>
                        <w:spacing w:line="360" w:lineRule="auto"/>
                        <w:ind w:firstLine="709"/>
                        <w:jc w:val="both"/>
                        <w:textAlignment w:val="baseline"/>
                        <w:rPr>
                          <w:color w:val="000000"/>
                          <w:szCs w:val="24"/>
                        </w:rPr>
                      </w:pPr>
                      <w:sdt>
                        <w:sdtPr>
                          <w:alias w:val="Numeris"/>
                          <w:tag w:val="nr_3bda98de32224041906fb885ec11dafc"/>
                          <w:lock w:val="sdtLocked"/>
                          <w:richText/>
                        </w:sdtPr>
                        <w:sdtContent>
                          <w:r>
                            <w:rPr>
                              <w:color w:val="000000"/>
                              <w:szCs w:val="24"/>
                            </w:rPr>
                            <w:t>25.1</w:t>
                          </w:r>
                        </w:sdtContent>
                      </w:sdt>
                      <w:r>
                        <w:rPr>
                          <w:color w:val="000000"/>
                          <w:szCs w:val="24"/>
                        </w:rPr>
                        <w:t>. turint informacijos ar kilus pagrįstų įtarimų dėl ūkio subjekto veiklos, kuri gali prieštarauti teisės aktams ar neatitikti teisės aktų reikalavimų;</w:t>
                      </w:r>
                    </w:p>
                  </w:sdtContent>
                </w:sdt>
                <w:sdt>
                  <w:sdtPr>
                    <w:alias w:val="25.2 pp."/>
                    <w:tag w:val="part_4af4e4ceafcb4d9f84bae546c3814d31"/>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rPr>
                          <w:color w:val="000000"/>
                          <w:szCs w:val="24"/>
                        </w:rPr>
                      </w:pPr>
                      <w:sdt>
                        <w:sdtPr>
                          <w:alias w:val="Numeris"/>
                          <w:tag w:val="nr_4af4e4ceafcb4d9f84bae546c3814d31"/>
                          <w:lock w:val="sdtLocked"/>
                          <w:richText/>
                        </w:sdtPr>
                        <w:sdtContent>
                          <w:r>
                            <w:rPr>
                              <w:color w:val="000000"/>
                              <w:szCs w:val="24"/>
                            </w:rPr>
                            <w:t>25.2</w:t>
                          </w:r>
                        </w:sdtContent>
                      </w:sdt>
                      <w:r>
                        <w:rPr>
                          <w:color w:val="000000"/>
                          <w:szCs w:val="24"/>
                        </w:rPr>
                        <w:t>. turint žinių arba pagrįstai įtariant, kad transporto priemonėje yra neteisėtų žvejybos produktų;</w:t>
                      </w:r>
                    </w:p>
                  </w:sdtContent>
                </w:sdt>
                <w:sdt>
                  <w:sdtPr>
                    <w:alias w:val="25.3 pp."/>
                    <w:tag w:val="part_36643290f45e40acabadd6e294e24edf"/>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pPr>
                      <w:sdt>
                        <w:sdtPr>
                          <w:alias w:val="Numeris"/>
                          <w:tag w:val="nr_36643290f45e40acabadd6e294e24edf"/>
                          <w:lock w:val="sdtLocked"/>
                          <w:richText/>
                        </w:sdtPr>
                        <w:sdtContent>
                          <w:r>
                            <w:rPr>
                              <w:color w:val="000000"/>
                              <w:szCs w:val="24"/>
                            </w:rPr>
                            <w:t>25.3</w:t>
                          </w:r>
                        </w:sdtContent>
                      </w:sdt>
                      <w:r>
                        <w:rPr>
                          <w:color w:val="000000"/>
                          <w:szCs w:val="24"/>
                        </w:rPr>
                        <w:t>. įtariant, kad transporto priemonė yra daromo pažeidimo įrankis arba priemonė ar transporto priemonėje gali būti asmenų padariusių pažeidimus;</w:t>
                      </w:r>
                    </w:p>
                  </w:sdtContent>
                </w:sdt>
              </w:sdtContent>
            </w:sdt>
            <w:sdt>
              <w:sdtPr>
                <w:alias w:val="25-1 p."/>
                <w:tag w:val="part_613845655e914b9c9fb0cf3d74a1c9a4"/>
                <w:lock w:val="sdtLocked"/>
                <w:richText/>
              </w:sdtPr>
              <w:sdtContent>
                <w:p>
                  <w:pPr>
                    <w:overflowPunct w:val="0"/>
                    <w:spacing w:line="360" w:lineRule="auto"/>
                    <w:ind w:firstLine="709"/>
                    <w:jc w:val="both"/>
                    <w:textAlignment w:val="baseline"/>
                  </w:pPr>
                  <w:sdt>
                    <w:sdtPr>
                      <w:alias w:val="Numeris"/>
                      <w:tag w:val="nr_613845655e914b9c9fb0cf3d74a1c9a4"/>
                      <w:lock w:val="sdtLocked"/>
                      <w:richText/>
                    </w:sdtPr>
                    <w:sdtContent>
                      <w:r>
                        <w:rPr>
                          <w:szCs w:val="24"/>
                        </w:rPr>
                        <w:t>25</w:t>
                      </w:r>
                      <w:r>
                        <w:rPr>
                          <w:szCs w:val="24"/>
                          <w:vertAlign w:val="superscript"/>
                        </w:rPr>
                        <w:t>1</w:t>
                      </w:r>
                    </w:sdtContent>
                  </w:sdt>
                  <w:r>
                    <w:rPr>
                      <w:szCs w:val="24"/>
                    </w:rPr>
                    <w:t xml:space="preserve">. Žuvininkystės tarnyba patikrinimus pagal Žvejybos šiaurės vakarų Atlante organizacijos (toliau – NAFO) nustatomus reikalavimus organizuoja ir vykdo vadovaudamasi Reglamento </w:t>
                  </w:r>
                  <w:hyperlink r:id="rId53" w:tgtFrame="_blank" w:history="1">
                    <w:r>
                      <w:rPr>
                        <w:color w:val="0000FF" w:themeColor="hyperlink"/>
                        <w:szCs w:val="24"/>
                        <w:u w:val="single"/>
                      </w:rPr>
                      <w:t>(ES) 2019/833</w:t>
                    </w:r>
                  </w:hyperlink>
                  <w:r>
                    <w:rPr>
                      <w:szCs w:val="24"/>
                    </w:rPr>
                    <w:t xml:space="preserve"> 28–31, 33–40, 42–43 ir 45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25-2 p."/>
                <w:tag w:val="part_2b998e1ec17f40a59b15bdef9af4d481"/>
                <w:lock w:val="sdtLocked"/>
                <w:richText/>
              </w:sdtPr>
              <w:sdtContent>
                <w:p>
                  <w:pPr>
                    <w:overflowPunct w:val="0"/>
                    <w:spacing w:line="360" w:lineRule="auto"/>
                    <w:ind w:firstLine="709"/>
                    <w:jc w:val="both"/>
                    <w:textAlignment w:val="baseline"/>
                    <w:rPr>
                      <w:b/>
                      <w:bCs/>
                      <w:caps/>
                      <w:color w:val="000000"/>
                      <w:szCs w:val="24"/>
                    </w:rPr>
                  </w:pPr>
                  <w:sdt>
                    <w:sdtPr>
                      <w:alias w:val="Numeris"/>
                      <w:tag w:val="nr_2b998e1ec17f40a59b15bdef9af4d481"/>
                      <w:lock w:val="sdtLocked"/>
                      <w:richText/>
                    </w:sdtPr>
                    <w:sdtContent>
                      <w:r>
                        <w:rPr>
                          <w:szCs w:val="24"/>
                        </w:rPr>
                        <w:t>25</w:t>
                      </w:r>
                      <w:r>
                        <w:rPr>
                          <w:szCs w:val="24"/>
                          <w:vertAlign w:val="superscript"/>
                        </w:rPr>
                        <w:t>2</w:t>
                      </w:r>
                    </w:sdtContent>
                  </w:sdt>
                  <w:r>
                    <w:rPr>
                      <w:szCs w:val="24"/>
                    </w:rPr>
                    <w:t xml:space="preserve">. Žuvininkystės tarnyba patikrinimus pagal Žvejybos šiaurės rytų Atlanto komisijos (toliau – NEAFC) nustatomus reikalavimus organizuoja ir vykdo vadovaudamasi Reglamento </w:t>
                  </w:r>
                  <w:hyperlink r:id="rId54" w:tgtFrame="_blank" w:history="1">
                    <w:r>
                      <w:rPr>
                        <w:color w:val="0000FF" w:themeColor="hyperlink"/>
                        <w:szCs w:val="24"/>
                        <w:u w:val="single"/>
                      </w:rPr>
                      <w:t>(ES) 2024/2594</w:t>
                    </w:r>
                  </w:hyperlink>
                  <w:r>
                    <w:rPr>
                      <w:szCs w:val="24"/>
                    </w:rPr>
                    <w:t xml:space="preserve"> 20–23, 25–31, 33–35, 37–38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25-3 p."/>
                <w:tag w:val="part_8e08634b503547bb834ddf95dcc9b01d"/>
                <w:lock w:val="sdtLocked"/>
                <w:richText/>
              </w:sdtPr>
              <w:sdtContent>
                <w:p>
                  <w:pPr>
                    <w:overflowPunct w:val="0"/>
                    <w:spacing w:line="360" w:lineRule="auto"/>
                    <w:ind w:firstLine="709"/>
                    <w:jc w:val="both"/>
                    <w:textAlignment w:val="baseline"/>
                    <w:rPr>
                      <w:b/>
                      <w:bCs/>
                      <w:caps/>
                      <w:color w:val="000000"/>
                      <w:szCs w:val="24"/>
                    </w:rPr>
                  </w:pPr>
                  <w:sdt>
                    <w:sdtPr>
                      <w:alias w:val="Numeris"/>
                      <w:tag w:val="nr_8e08634b503547bb834ddf95dcc9b01d"/>
                      <w:lock w:val="sdtLocked"/>
                      <w:richText/>
                    </w:sdtPr>
                    <w:sdtContent>
                      <w:r>
                        <w:rPr>
                          <w:color w:val="000000"/>
                          <w:szCs w:val="24"/>
                          <w:lang w:eastAsia="lt-LT"/>
                        </w:rPr>
                        <w:t>25</w:t>
                      </w:r>
                      <w:r>
                        <w:rPr>
                          <w:color w:val="000000"/>
                          <w:szCs w:val="24"/>
                          <w:vertAlign w:val="superscript"/>
                          <w:lang w:eastAsia="lt-LT"/>
                        </w:rPr>
                        <w:t>3</w:t>
                      </w:r>
                    </w:sdtContent>
                  </w:sdt>
                  <w:r>
                    <w:rPr>
                      <w:color w:val="000000"/>
                      <w:sz w:val="22"/>
                      <w:szCs w:val="24"/>
                      <w:lang w:eastAsia="lt-LT"/>
                    </w:rPr>
                    <w:t xml:space="preserve">. </w:t>
                  </w:r>
                  <w:r>
                    <w:rPr>
                      <w:szCs w:val="24"/>
                    </w:rPr>
                    <w:t xml:space="preserve">Neplaninio ir atsitiktinio ūkio subjekto veiklos patikrinimo trukmė priklauso nuo faktinių tyrimo eigos aplinkybių.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7686234243c04c80bba850bb3e506392"/>
            <w:lock w:val="sdtLocked"/>
            <w:richText/>
          </w:sdtPr>
          <w:sdtContent>
            <w:p>
              <w:pPr>
                <w:keepLines/>
                <w:suppressAutoHyphens/>
                <w:overflowPunct w:val="0"/>
                <w:jc w:val="center"/>
                <w:textAlignment w:val="baseline"/>
                <w:rPr>
                  <w:b/>
                  <w:bCs/>
                  <w:caps/>
                  <w:color w:val="000000"/>
                  <w:szCs w:val="24"/>
                </w:rPr>
              </w:pPr>
              <w:sdt>
                <w:sdtPr>
                  <w:alias w:val="Numeris"/>
                  <w:tag w:val="nr_7686234243c04c80bba850bb3e506392"/>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7686234243c04c80bba850bb3e506392"/>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ef6fc6d88ed642489bd13ad38d422ad4"/>
                <w:lock w:val="sdtLocked"/>
                <w:richText/>
              </w:sdtPr>
              <w:sdtContent>
                <w:p>
                  <w:pPr>
                    <w:overflowPunct w:val="0"/>
                    <w:spacing w:line="360" w:lineRule="auto"/>
                    <w:ind w:firstLine="709"/>
                    <w:jc w:val="both"/>
                    <w:textAlignment w:val="baseline"/>
                    <w:rPr>
                      <w:color w:val="000000"/>
                      <w:szCs w:val="24"/>
                    </w:rPr>
                  </w:pPr>
                  <w:sdt>
                    <w:sdtPr>
                      <w:alias w:val="Numeris"/>
                      <w:tag w:val="nr_ef6fc6d88ed642489bd13ad38d422ad4"/>
                      <w:lock w:val="sdtLocked"/>
                      <w:richText/>
                    </w:sdtPr>
                    <w:sdtContent>
                      <w:r>
                        <w:rPr>
                          <w:szCs w:val="24"/>
                        </w:rPr>
                        <w:t>26</w:t>
                      </w:r>
                    </w:sdtContent>
                  </w:sdt>
                  <w:r>
                    <w:rPr>
                      <w:szCs w:val="24"/>
                    </w:rPr>
                    <w:t>. Ūkio subjektai tikrinami tiesiogiai ir vykdant ūkio subjekto stebėseną nuotoliniu būdu, vadovaujantis Žuvininkystės įstatymo 53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27 p."/>
                <w:tag w:val="part_f7028ba6ad374d38aa344264069fdaf3"/>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7028ba6ad374d38aa344264069fdaf3"/>
                      <w:lock w:val="sdtLocked"/>
                      <w:richText/>
                    </w:sdtPr>
                    <w:sdtContent>
                      <w:r>
                        <w:rPr>
                          <w:szCs w:val="24"/>
                        </w:rPr>
                        <w:t>27</w:t>
                      </w:r>
                    </w:sdtContent>
                  </w:sdt>
                  <w:r>
                    <w:rPr>
                      <w:szCs w:val="24"/>
                    </w:rPr>
                    <w:t>. Ūkio subjektų veiklos tiesioginis patikrinimas atliekamas dalyvaujant ūkio subjektui arba ūkio subjekto atstovui.</w:t>
                  </w:r>
                </w:p>
              </w:sdtContent>
            </w:sdt>
            <w:sdt>
              <w:sdtPr>
                <w:alias w:val="28 p."/>
                <w:tag w:val="part_f0541e756e6245dabe3e3a9ec3adcc81"/>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0541e756e6245dabe3e3a9ec3adcc81"/>
                      <w:lock w:val="sdtLocked"/>
                      <w:richText/>
                    </w:sdtPr>
                    <w:sdtContent>
                      <w:r>
                        <w:rPr>
                          <w:szCs w:val="24"/>
                        </w:rPr>
                        <w:t>28</w:t>
                      </w:r>
                    </w:sdtContent>
                  </w:sdt>
                  <w:r>
                    <w:rPr>
                      <w:szCs w:val="24"/>
                    </w:rPr>
                    <w:t xml:space="preserve">. </w:t>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8ca2d1852d44402b5d15619f0e6a000"/>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e8ca2d1852d44402b5d15619f0e6a000"/>
                      <w:lock w:val="sdtLocked"/>
                      <w:richText/>
                    </w:sdtPr>
                    <w:sdtContent>
                      <w:r>
                        <w:rPr>
                          <w:szCs w:val="24"/>
                        </w:rPr>
                        <w:t>29</w:t>
                      </w:r>
                    </w:sdtContent>
                  </w:sdt>
                  <w:r>
                    <w:rPr>
                      <w:szCs w:val="24"/>
                    </w:rPr>
                    <w:t xml:space="preserve">. </w:t>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d0180180cd7d43498127b5923271a492"/>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d0180180cd7d43498127b5923271a492"/>
                      <w:lock w:val="sdtLocked"/>
                      <w:richText/>
                    </w:sdtPr>
                    <w:sdtContent>
                      <w:r>
                        <w:rPr>
                          <w:szCs w:val="24"/>
                        </w:rPr>
                        <w:t>30</w:t>
                      </w:r>
                    </w:sdtContent>
                  </w:sdt>
                  <w:r>
                    <w:rPr>
                      <w:szCs w:val="24"/>
                    </w:rPr>
                    <w:t xml:space="preserve">. </w:t>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71255754ca0d49d3b2698f4e3ea7e1c9"/>
                <w:lock w:val="sdtLocked"/>
                <w:richText/>
              </w:sdtPr>
              <w:sdtContent>
                <w:p>
                  <w:pPr>
                    <w:overflowPunct w:val="0"/>
                    <w:spacing w:line="360" w:lineRule="auto"/>
                    <w:ind w:firstLine="709"/>
                    <w:jc w:val="both"/>
                    <w:textAlignment w:val="baseline"/>
                  </w:pPr>
                  <w:sdt>
                    <w:sdtPr>
                      <w:alias w:val="Numeris"/>
                      <w:tag w:val="nr_71255754ca0d49d3b2698f4e3ea7e1c9"/>
                      <w:lock w:val="sdtLocked"/>
                      <w:richText/>
                    </w:sdtPr>
                    <w:sdtContent>
                      <w:r>
                        <w:rPr>
                          <w:szCs w:val="24"/>
                        </w:rPr>
                        <w:t>31</w:t>
                      </w:r>
                    </w:sdtContent>
                  </w:sdt>
                  <w:r>
                    <w:rPr>
                      <w:szCs w:val="24"/>
                    </w:rPr>
                    <w:t>. Pareigūnams įtarus, kad gali būti atliekamas sunkus pažeidimas, bei siekiant nutraukti daromą sunkų pažeidimą, užkirsti kelią sunkiems pažeidimams, užtikrinti bylų nagrinėjimą ir nutarimų priėmimą, Pareigūnai, vadovaudamiesi Žuvininkystės įstatymo 70 straipsnio 3 dalies nuostatomis, gali imtis neatidėliotinų vykdymo priemonių, numatytų Žuvininkystės įstatymo 70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1-1 p."/>
                <w:tag w:val="part_8c07c0a9272941af96e4f6afaf2d08b1"/>
                <w:lock w:val="sdtLocked"/>
                <w:richText/>
              </w:sdtPr>
              <w:sdtContent>
                <w:p>
                  <w:pPr>
                    <w:overflowPunct w:val="0"/>
                    <w:spacing w:line="360" w:lineRule="auto"/>
                    <w:ind w:firstLine="709"/>
                    <w:jc w:val="both"/>
                    <w:textAlignment w:val="baseline"/>
                  </w:pPr>
                  <w:sdt>
                    <w:sdtPr>
                      <w:alias w:val="Numeris"/>
                      <w:tag w:val="nr_8c07c0a9272941af96e4f6afaf2d08b1"/>
                      <w:lock w:val="sdtLocked"/>
                      <w:richText/>
                    </w:sdtPr>
                    <w:sdtContent>
                      <w:r>
                        <w:rPr>
                          <w:szCs w:val="24"/>
                        </w:rPr>
                        <w:t>31</w:t>
                      </w:r>
                      <w:r>
                        <w:rPr>
                          <w:szCs w:val="24"/>
                          <w:vertAlign w:val="superscript"/>
                        </w:rPr>
                        <w:t>1</w:t>
                      </w:r>
                    </w:sdtContent>
                  </w:sdt>
                  <w:r>
                    <w:rPr>
                      <w:szCs w:val="24"/>
                    </w:rPr>
                    <w:t xml:space="preserve">. Patikrinimus NAFO reguliuojamame rajone Pareigūnai atlieka vadovaudamiesi Reglamento </w:t>
                  </w:r>
                  <w:hyperlink r:id="rId55" w:tgtFrame="_blank" w:history="1">
                    <w:r>
                      <w:rPr>
                        <w:color w:val="0000FF" w:themeColor="hyperlink"/>
                        <w:szCs w:val="24"/>
                        <w:u w:val="single"/>
                      </w:rPr>
                      <w:t>(ES) 2019/833</w:t>
                    </w:r>
                  </w:hyperlink>
                  <w:r>
                    <w:rPr>
                      <w:szCs w:val="24"/>
                    </w:rPr>
                    <w:t xml:space="preserve"> 28, 30, 31, 34–36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1-2 p."/>
                <w:tag w:val="part_bfad75bbc45347029756ccc4f1cb2a12"/>
                <w:lock w:val="sdtLocked"/>
                <w:richText/>
              </w:sdtPr>
              <w:sdtContent>
                <w:p>
                  <w:pPr>
                    <w:overflowPunct w:val="0"/>
                    <w:spacing w:line="360" w:lineRule="auto"/>
                    <w:ind w:firstLine="709"/>
                    <w:jc w:val="both"/>
                    <w:textAlignment w:val="baseline"/>
                    <w:rPr>
                      <w:b/>
                      <w:bCs/>
                      <w:caps/>
                      <w:color w:val="000000"/>
                      <w:szCs w:val="24"/>
                    </w:rPr>
                  </w:pPr>
                  <w:sdt>
                    <w:sdtPr>
                      <w:alias w:val="Numeris"/>
                      <w:tag w:val="nr_bfad75bbc45347029756ccc4f1cb2a12"/>
                      <w:lock w:val="sdtLocked"/>
                      <w:richText/>
                    </w:sdtPr>
                    <w:sdtContent>
                      <w:r>
                        <w:rPr>
                          <w:color w:val="000000"/>
                          <w:szCs w:val="24"/>
                          <w:lang w:eastAsia="lt-LT"/>
                        </w:rPr>
                        <w:t>31</w:t>
                      </w:r>
                      <w:r>
                        <w:rPr>
                          <w:color w:val="000000"/>
                          <w:szCs w:val="24"/>
                          <w:vertAlign w:val="superscript"/>
                          <w:lang w:eastAsia="lt-LT"/>
                        </w:rPr>
                        <w:t>2</w:t>
                      </w:r>
                    </w:sdtContent>
                  </w:sdt>
                  <w:r>
                    <w:rPr>
                      <w:color w:val="000000"/>
                      <w:szCs w:val="24"/>
                      <w:lang w:eastAsia="lt-LT"/>
                    </w:rPr>
                    <w:t xml:space="preserve">. Patikrinimus NEAFC reguliuojamame rajone Pareigūnai atlieka vadovaudamiesi Reglamento </w:t>
                  </w:r>
                  <w:hyperlink r:id="rId56" w:tgtFrame="_blank" w:history="1">
                    <w:r>
                      <w:rPr>
                        <w:color w:val="0000FF" w:themeColor="hyperlink"/>
                        <w:szCs w:val="24"/>
                        <w:u w:val="single"/>
                        <w:lang w:eastAsia="lt-LT"/>
                      </w:rPr>
                      <w:t>(ES) 2024/2594</w:t>
                    </w:r>
                  </w:hyperlink>
                  <w:r>
                    <w:rPr>
                      <w:color w:val="000000"/>
                      <w:szCs w:val="24"/>
                      <w:lang w:eastAsia="lt-LT"/>
                    </w:rPr>
                    <w:t xml:space="preserve"> 20–23, 34–35, 37–38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1-3 p."/>
                <w:tag w:val="part_5d19f2db20524c9d8a4e37b19ebec61c"/>
                <w:lock w:val="sdtLocked"/>
                <w:richText/>
              </w:sdtPr>
              <w:sdtContent>
                <w:p>
                  <w:pPr>
                    <w:overflowPunct w:val="0"/>
                    <w:spacing w:line="360" w:lineRule="auto"/>
                    <w:ind w:firstLine="709"/>
                    <w:jc w:val="both"/>
                    <w:textAlignment w:val="baseline"/>
                    <w:rPr>
                      <w:b/>
                      <w:bCs/>
                      <w:caps/>
                      <w:color w:val="000000"/>
                      <w:szCs w:val="24"/>
                    </w:rPr>
                  </w:pPr>
                  <w:sdt>
                    <w:sdtPr>
                      <w:alias w:val="Numeris"/>
                      <w:tag w:val="nr_5d19f2db20524c9d8a4e37b19ebec61c"/>
                      <w:lock w:val="sdtLocked"/>
                      <w:richText/>
                    </w:sdtPr>
                    <w:sdtContent>
                      <w:r>
                        <w:rPr>
                          <w:color w:val="000000"/>
                          <w:szCs w:val="24"/>
                          <w:lang w:eastAsia="lt-LT"/>
                        </w:rPr>
                        <w:t>31</w:t>
                      </w:r>
                      <w:r>
                        <w:rPr>
                          <w:color w:val="000000"/>
                          <w:szCs w:val="24"/>
                          <w:vertAlign w:val="superscript"/>
                          <w:lang w:eastAsia="lt-LT"/>
                        </w:rPr>
                        <w:t>3</w:t>
                      </w:r>
                    </w:sdtContent>
                  </w:sdt>
                  <w:r>
                    <w:rPr>
                      <w:color w:val="000000"/>
                      <w:szCs w:val="24"/>
                      <w:lang w:eastAsia="lt-LT"/>
                    </w:rPr>
                    <w:t>.</w:t>
                  </w:r>
                  <w:r>
                    <w:rPr>
                      <w:color w:val="000000"/>
                      <w:sz w:val="22"/>
                      <w:szCs w:val="24"/>
                      <w:lang w:eastAsia="lt-LT"/>
                    </w:rPr>
                    <w:t xml:space="preserve"> </w:t>
                  </w:r>
                  <w:r>
                    <w:rPr>
                      <w:szCs w:val="24"/>
                    </w:rPr>
                    <w:t>Jeigu atsiranda poreikis atlikti neplaninį arba atsitiktinį ūkio subjekto veiklos patikrinimą, bet yra numatyta atlikti planinį ūkio subjekto veiklos patikrinimą arba neplaninį jo veiklos patikrinimą dėl kitos priežasties, atliekamas tik vienas planinis ar neplaninis ūkio subjekto veiklos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1c99efcd180142f783fb8d40d4e537a9"/>
            <w:lock w:val="sdtLocked"/>
            <w:richText/>
          </w:sdtPr>
          <w:sdtContent>
            <w:p>
              <w:pPr>
                <w:keepLines/>
                <w:tabs>
                  <w:tab w:val="left" w:pos="1134"/>
                </w:tabs>
                <w:suppressAutoHyphens/>
                <w:overflowPunct w:val="0"/>
                <w:jc w:val="center"/>
                <w:textAlignment w:val="baseline"/>
                <w:rPr>
                  <w:b/>
                  <w:bCs/>
                  <w:caps/>
                  <w:color w:val="000000"/>
                  <w:szCs w:val="24"/>
                </w:rPr>
              </w:pPr>
              <w:sdt>
                <w:sdtPr>
                  <w:alias w:val="Numeris"/>
                  <w:tag w:val="nr_1c99efcd180142f783fb8d40d4e537a9"/>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jc w:val="center"/>
                <w:textAlignment w:val="baseline"/>
                <w:rPr>
                  <w:b/>
                  <w:bCs/>
                  <w:caps/>
                  <w:color w:val="000000"/>
                  <w:szCs w:val="24"/>
                </w:rPr>
              </w:pPr>
              <w:sdt>
                <w:sdtPr>
                  <w:alias w:val="Pavadinimas"/>
                  <w:tag w:val="title_1c99efcd180142f783fb8d40d4e537a9"/>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7c6420be0597475ba2f5df96ef4fc9a7"/>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7c6420be0597475ba2f5df96ef4fc9a7"/>
                      <w:lock w:val="sdtLocked"/>
                      <w:richText/>
                    </w:sdtPr>
                    <w:sdtContent>
                      <w:r>
                        <w:rPr>
                          <w:szCs w:val="24"/>
                        </w:rPr>
                        <w:t>32</w:t>
                      </w:r>
                    </w:sdtContent>
                  </w:sdt>
                  <w:r>
                    <w:rPr>
                      <w:szCs w:val="24"/>
                    </w:rPr>
                    <w:t xml:space="preserve">. </w:t>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40820159560444bf94135c0549afc5fa"/>
                <w:lock w:val="sdtLocked"/>
                <w:richText/>
              </w:sdtPr>
              <w:sdtContent>
                <w:p>
                  <w:pPr>
                    <w:overflowPunct w:val="0"/>
                    <w:spacing w:line="360" w:lineRule="auto"/>
                    <w:ind w:firstLine="709"/>
                    <w:jc w:val="both"/>
                    <w:textAlignment w:val="baseline"/>
                    <w:rPr>
                      <w:color w:val="000000"/>
                      <w:szCs w:val="24"/>
                    </w:rPr>
                  </w:pPr>
                  <w:sdt>
                    <w:sdtPr>
                      <w:alias w:val="Numeris"/>
                      <w:tag w:val="nr_40820159560444bf94135c0549afc5fa"/>
                      <w:lock w:val="sdtLocked"/>
                      <w:richText/>
                    </w:sdtPr>
                    <w:sdtContent>
                      <w:r>
                        <w:rPr>
                          <w:szCs w:val="24"/>
                        </w:rPr>
                        <w:t>33</w:t>
                      </w:r>
                    </w:sdtContent>
                  </w:sdt>
                  <w:r>
                    <w:rPr>
                      <w:szCs w:val="24"/>
                    </w:rPr>
                    <w:t>. 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ūkio subjektas atsakomybėn traukiamas pagal Žuvininkystės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4 p."/>
                <w:tag w:val="part_05f614ed25744524a7c2ae04026ea2dc"/>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05f614ed25744524a7c2ae04026ea2dc"/>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504ac12505a84cc1a06611d832b9bdb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504ac12505a84cc1a06611d832b9bdb8"/>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27c209326b234003b22109c68d4570cd"/>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bCs/>
                      <w:color w:val="000000"/>
                      <w:szCs w:val="24"/>
                    </w:rPr>
                  </w:pPr>
                  <w:sdt>
                    <w:sdtPr>
                      <w:alias w:val="Numeris"/>
                      <w:tag w:val="nr_27c209326b234003b22109c68d4570cd"/>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f3e819db2fa2427f98ba2b97fa66179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f3e819db2fa2427f98ba2b97fa661796"/>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5d7c62354aba4a6882f770aa62edec59"/>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5d7c62354aba4a6882f770aa62edec59"/>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d903d3be8de74ee7a9aa62821f62b11d"/>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d903d3be8de74ee7a9aa62821f62b11d"/>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68915ad6a8846f9a6643b808cb315a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68915ad6a8846f9a6643b808cb315af"/>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4b83cd1265d2470fbfab61b3f489dbf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b83cd1265d2470fbfab61b3f489dbf3"/>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5a1807a057604719a41add75c18785e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a1807a057604719a41add75c18785e3"/>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c6c6c35a4ca0473a89d0d4c6bd0588fa"/>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c6c6c35a4ca0473a89d0d4c6bd0588fa"/>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2b6e6be9265e4c73a20336d0de029a83"/>
                <w:lock w:val="sdtLocked"/>
                <w:richText/>
              </w:sdtPr>
              <w:sdtContent>
                <w:p>
                  <w:pPr>
                    <w:spacing w:line="360" w:lineRule="auto"/>
                    <w:ind w:firstLine="709"/>
                    <w:jc w:val="both"/>
                  </w:pPr>
                  <w:sdt>
                    <w:sdtPr>
                      <w:alias w:val="Numeris"/>
                      <w:tag w:val="nr_2b6e6be9265e4c73a20336d0de029a83"/>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bdf6a97a5cdd4aa3b1fbebdb061a143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pPr>
                  <w:sdt>
                    <w:sdtPr>
                      <w:alias w:val="Numeris"/>
                      <w:tag w:val="nr_bdf6a97a5cdd4aa3b1fbebdb061a1436"/>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sdtContent>
            </w:sdt>
            <w:sdt>
              <w:sdtPr>
                <w:alias w:val="45-1 p."/>
                <w:tag w:val="part_0e281912a56e4b9e826ebf05f0649239"/>
                <w:lock w:val="sdtLocked"/>
                <w:richText/>
              </w:sdtPr>
              <w:sdtContent>
                <w:p>
                  <w:pPr>
                    <w:spacing w:line="360" w:lineRule="auto"/>
                    <w:ind w:firstLine="709"/>
                    <w:jc w:val="both"/>
                  </w:pPr>
                  <w:sdt>
                    <w:sdtPr>
                      <w:alias w:val="Numeris"/>
                      <w:tag w:val="nr_0e281912a56e4b9e826ebf05f0649239"/>
                      <w:lock w:val="sdtLocked"/>
                      <w:richText/>
                    </w:sdtPr>
                    <w:sdtContent>
                      <w:r>
                        <w:rPr>
                          <w:color w:val="000000"/>
                          <w:szCs w:val="24"/>
                          <w:lang w:eastAsia="lt-LT"/>
                        </w:rPr>
                        <w:t>45</w:t>
                      </w:r>
                      <w:r>
                        <w:rPr>
                          <w:color w:val="000000"/>
                          <w:szCs w:val="24"/>
                          <w:vertAlign w:val="superscript"/>
                          <w:lang w:eastAsia="lt-LT"/>
                        </w:rPr>
                        <w:t>1</w:t>
                      </w:r>
                    </w:sdtContent>
                  </w:sdt>
                  <w:r>
                    <w:rPr>
                      <w:color w:val="000000"/>
                      <w:szCs w:val="24"/>
                      <w:lang w:eastAsia="lt-LT"/>
                    </w:rPr>
                    <w:t>. Patikrinimus NAFO reguliuojamame rajone Pareigūnai įformina, vadovaudamiesi Reglamento (ES) 2019/833 33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2 p."/>
                <w:tag w:val="part_26aff17efd244ca1a3d6a5ac5e7881e5"/>
                <w:lock w:val="sdtLocked"/>
                <w:richText/>
              </w:sdtPr>
              <w:sdtContent>
                <w:p>
                  <w:pPr>
                    <w:overflowPunct w:val="0"/>
                    <w:spacing w:line="360" w:lineRule="auto"/>
                    <w:ind w:firstLine="709"/>
                    <w:jc w:val="both"/>
                    <w:textAlignment w:val="baseline"/>
                  </w:pPr>
                  <w:sdt>
                    <w:sdtPr>
                      <w:alias w:val="Numeris"/>
                      <w:tag w:val="nr_26aff17efd244ca1a3d6a5ac5e7881e5"/>
                      <w:lock w:val="sdtLocked"/>
                      <w:richText/>
                    </w:sdtPr>
                    <w:sdtContent>
                      <w:r>
                        <w:rPr>
                          <w:color w:val="000000"/>
                          <w:szCs w:val="24"/>
                          <w:lang w:eastAsia="lt-LT"/>
                        </w:rPr>
                        <w:t>45</w:t>
                      </w:r>
                      <w:r>
                        <w:rPr>
                          <w:color w:val="000000"/>
                          <w:szCs w:val="24"/>
                          <w:vertAlign w:val="superscript"/>
                          <w:lang w:eastAsia="lt-LT"/>
                        </w:rPr>
                        <w:t>2</w:t>
                      </w:r>
                    </w:sdtContent>
                  </w:sdt>
                  <w:r>
                    <w:rPr>
                      <w:color w:val="000000"/>
                      <w:szCs w:val="24"/>
                      <w:lang w:eastAsia="lt-LT"/>
                    </w:rPr>
                    <w:t xml:space="preserve">. Patikrinimus NEAFC reguliuojamame rajone Pareigūnai įformina vadovaudamiesi Reglamento </w:t>
                  </w:r>
                  <w:hyperlink r:id="rId57" w:tgtFrame="_blank" w:history="1">
                    <w:r>
                      <w:rPr>
                        <w:color w:val="0000FF" w:themeColor="hyperlink"/>
                        <w:szCs w:val="24"/>
                        <w:u w:val="single"/>
                        <w:lang w:eastAsia="lt-LT"/>
                      </w:rPr>
                      <w:t>(ES) 2024/2594</w:t>
                    </w:r>
                  </w:hyperlink>
                  <w:r>
                    <w:rPr>
                      <w:color w:val="000000"/>
                      <w:szCs w:val="24"/>
                      <w:lang w:eastAsia="lt-LT"/>
                    </w:rPr>
                    <w:t xml:space="preserve"> 23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45-3 p."/>
                <w:tag w:val="part_885fb0308eaf4d6d82cf798604b53f2c"/>
                <w:lock w:val="sdtLocked"/>
                <w:richText/>
              </w:sdtPr>
              <w:sdtContent>
                <w:p>
                  <w:pPr>
                    <w:spacing w:line="360" w:lineRule="auto"/>
                    <w:ind w:firstLine="709"/>
                    <w:jc w:val="both"/>
                    <w:rPr>
                      <w:b/>
                      <w:bCs/>
                      <w:caps/>
                      <w:color w:val="000000"/>
                      <w:szCs w:val="24"/>
                    </w:rPr>
                  </w:pPr>
                  <w:sdt>
                    <w:sdtPr>
                      <w:alias w:val="Numeris"/>
                      <w:tag w:val="nr_885fb0308eaf4d6d82cf798604b53f2c"/>
                      <w:lock w:val="sdtLocked"/>
                      <w:richText/>
                    </w:sdtPr>
                    <w:sdtContent>
                      <w:r>
                        <w:rPr>
                          <w:color w:val="000000"/>
                          <w:szCs w:val="24"/>
                          <w:lang w:eastAsia="lt-LT"/>
                        </w:rPr>
                        <w:t>45</w:t>
                      </w:r>
                      <w:r>
                        <w:rPr>
                          <w:color w:val="000000"/>
                          <w:szCs w:val="24"/>
                          <w:vertAlign w:val="superscript"/>
                          <w:lang w:eastAsia="lt-LT"/>
                        </w:rPr>
                        <w:t>3</w:t>
                      </w:r>
                    </w:sdtContent>
                  </w:sdt>
                  <w:r>
                    <w:rPr>
                      <w:color w:val="000000"/>
                      <w:szCs w:val="24"/>
                      <w:lang w:eastAsia="lt-LT"/>
                    </w:rPr>
                    <w:t xml:space="preserve">. Žuvininkystės tarnyba informuoja Europos Komisiją ir jos paskirtą instituciją apie  patikrinimų NAFO reguliuojamame rajone rezultatus, vadovaudamasi Reglamento (ES) 2019/833 33, 34, 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4 p."/>
                <w:tag w:val="part_aa10c05ed1d24031acb4fada2264c958"/>
                <w:lock w:val="sdtLocked"/>
                <w:richText/>
              </w:sdtPr>
              <w:sdtContent>
                <w:p>
                  <w:pPr>
                    <w:overflowPunct w:val="0"/>
                    <w:spacing w:line="360" w:lineRule="auto"/>
                    <w:ind w:firstLine="709"/>
                    <w:jc w:val="both"/>
                    <w:textAlignment w:val="baseline"/>
                    <w:rPr>
                      <w:b/>
                      <w:bCs/>
                      <w:caps/>
                      <w:color w:val="000000"/>
                      <w:szCs w:val="24"/>
                    </w:rPr>
                  </w:pPr>
                  <w:sdt>
                    <w:sdtPr>
                      <w:alias w:val="Numeris"/>
                      <w:tag w:val="nr_aa10c05ed1d24031acb4fada2264c958"/>
                      <w:lock w:val="sdtLocked"/>
                      <w:richText/>
                    </w:sdtPr>
                    <w:sdtContent>
                      <w:r>
                        <w:rPr>
                          <w:szCs w:val="24"/>
                        </w:rPr>
                        <w:t>45</w:t>
                      </w:r>
                      <w:r>
                        <w:rPr>
                          <w:szCs w:val="24"/>
                          <w:vertAlign w:val="superscript"/>
                        </w:rPr>
                        <w:t>4</w:t>
                      </w:r>
                    </w:sdtContent>
                  </w:sdt>
                  <w:r>
                    <w:rPr>
                      <w:szCs w:val="24"/>
                    </w:rPr>
                    <w:t xml:space="preserve">. </w:t>
                  </w:r>
                  <w:r>
                    <w:rPr>
                      <w:color w:val="000000"/>
                      <w:szCs w:val="24"/>
                      <w:lang w:eastAsia="lt-LT"/>
                    </w:rPr>
                    <w:t xml:space="preserve">Žuvininkystės tarnyba informuoja Europos Komisiją ir jos paskirtą instituciją apie patikrinimų NEAFC reguliuojamame rajone rezultatus, vadovaudamasi Reglamento </w:t>
                  </w:r>
                  <w:hyperlink r:id="rId58" w:tgtFrame="_blank" w:history="1">
                    <w:r>
                      <w:rPr>
                        <w:color w:val="0000FF" w:themeColor="hyperlink"/>
                        <w:szCs w:val="24"/>
                        <w:u w:val="single"/>
                        <w:lang w:eastAsia="lt-LT"/>
                      </w:rPr>
                      <w:t>(ES) 2024/2594</w:t>
                    </w:r>
                  </w:hyperlink>
                  <w:r>
                    <w:rPr>
                      <w:color w:val="000000"/>
                      <w:szCs w:val="24"/>
                      <w:lang w:eastAsia="lt-LT"/>
                    </w:rPr>
                    <w:t xml:space="preserve"> 34, 37, 38 ir 40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Content>
        </w:sdt>
        <w:sdt>
          <w:sdtPr>
            <w:alias w:val="skyrius"/>
            <w:tag w:val="part_7a3ceaa0f4cc4503b390079c380560fb"/>
            <w:lock w:val="sdtLocked"/>
            <w:richText/>
          </w:sdtPr>
          <w:sdtContent>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Numeris"/>
                  <w:tag w:val="nr_7a3ceaa0f4cc4503b390079c380560fb"/>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Pavadinimas"/>
                  <w:tag w:val="title_7a3ceaa0f4cc4503b390079c380560fb"/>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4dca37ff4a1c47b88518e0daf241995d"/>
                <w:lock w:val="sdtLocked"/>
                <w:richText/>
              </w:sdtPr>
              <w:sdtContent>
                <w:p>
                  <w:pPr>
                    <w:overflowPunct w:val="0"/>
                    <w:spacing w:line="360" w:lineRule="auto"/>
                    <w:ind w:firstLine="709"/>
                    <w:jc w:val="both"/>
                    <w:textAlignment w:val="baseline"/>
                    <w:rPr>
                      <w:color w:val="000000"/>
                      <w:szCs w:val="24"/>
                    </w:rPr>
                  </w:pPr>
                  <w:sdt>
                    <w:sdtPr>
                      <w:alias w:val="Numeris"/>
                      <w:tag w:val="nr_4dca37ff4a1c47b88518e0daf241995d"/>
                      <w:lock w:val="sdtLocked"/>
                      <w:richText/>
                    </w:sdtPr>
                    <w:sdtContent>
                      <w:r>
                        <w:rPr>
                          <w:szCs w:val="24"/>
                        </w:rPr>
                        <w:t>46</w:t>
                      </w:r>
                    </w:sdtContent>
                  </w:sdt>
                  <w:r>
                    <w:rPr>
                      <w:szCs w:val="24"/>
                    </w:rPr>
                    <w:t>. Atlikdami ūkio subjekto patikrinimą, Pareigūnai turi teisę paimti dokumentus ir (ar) daiktus, kurie yra įtariamo teisės pažeidimo įrankis arba tiesioginis objektas, bei realizuoti paimtus žvejybos produktus, kaip tai numatyta Žuvininkystės įstatymo 54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47 p."/>
                <w:tag w:val="part_6c95f3ff007149daac0efb37ff0f97b0"/>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6c95f3ff007149daac0efb37ff0f97b0"/>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4936aa708874491bb3a82abe81212e9e"/>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936aa708874491bb3a82abe81212e9e"/>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8eaf919f87b04be1afb38575d893dfc7"/>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8eaf919f87b04be1afb38575d893dfc7"/>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0394bf1e0f0e4fd884ce474cd4f7d79f"/>
            <w:lock w:val="sdtLocked"/>
            <w:richText/>
          </w:sdtPr>
          <w:sdtContent>
            <w:p>
              <w:pPr>
                <w:keepLines/>
                <w:tabs>
                  <w:tab w:val="left" w:pos="1418"/>
                </w:tabs>
                <w:suppressAutoHyphens/>
                <w:overflowPunct w:val="0"/>
                <w:jc w:val="center"/>
                <w:textAlignment w:val="baseline"/>
                <w:rPr>
                  <w:b/>
                  <w:bCs/>
                  <w:caps/>
                  <w:color w:val="000000"/>
                  <w:szCs w:val="24"/>
                </w:rPr>
              </w:pPr>
              <w:sdt>
                <w:sdtPr>
                  <w:alias w:val="Numeris"/>
                  <w:tag w:val="nr_0394bf1e0f0e4fd884ce474cd4f7d79f"/>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jc w:val="center"/>
                <w:textAlignment w:val="baseline"/>
                <w:rPr>
                  <w:b/>
                  <w:bCs/>
                  <w:caps/>
                  <w:color w:val="000000"/>
                  <w:szCs w:val="24"/>
                </w:rPr>
              </w:pPr>
              <w:sdt>
                <w:sdtPr>
                  <w:alias w:val="Pavadinimas"/>
                  <w:tag w:val="title_0394bf1e0f0e4fd884ce474cd4f7d79f"/>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c699ac6c150f411f8e895290c9008e2f"/>
                <w:lock w:val="sdtLocked"/>
                <w:richText/>
              </w:sdtPr>
              <w:sdtContent>
                <w:p>
                  <w:pPr>
                    <w:spacing w:line="360" w:lineRule="auto"/>
                    <w:ind w:firstLine="709"/>
                    <w:jc w:val="both"/>
                    <w:rPr>
                      <w:color w:val="000000"/>
                      <w:szCs w:val="24"/>
                    </w:rPr>
                  </w:pPr>
                  <w:sdt>
                    <w:sdtPr>
                      <w:alias w:val="Numeris"/>
                      <w:tag w:val="nr_c699ac6c150f411f8e895290c9008e2f"/>
                      <w:lock w:val="sdtLocked"/>
                      <w:richText/>
                    </w:sdtPr>
                    <w:sdtContent>
                      <w:r>
                        <w:rPr>
                          <w:color w:val="000000"/>
                          <w:szCs w:val="24"/>
                          <w:lang w:eastAsia="lt-LT"/>
                        </w:rPr>
                        <w:t>50</w:t>
                      </w:r>
                    </w:sdtContent>
                  </w:sdt>
                  <w:r>
                    <w:rPr>
                      <w:color w:val="000000"/>
                      <w:szCs w:val="24"/>
                      <w:lang w:eastAsia="lt-LT"/>
                    </w:rPr>
                    <w:t>. Žuvininkystės tarnyba kartą per metus teikia Europos Komisijai ir jos paskirtai institucijai informaciją, vadovaudamasi Reglamento (ES) 2019/833 29 ir 37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1 p."/>
                <w:tag w:val="part_29e8ddd527564625b9c26d0b7207eb16"/>
                <w:lock w:val="sdtLocked"/>
                <w:richText/>
              </w:sdtPr>
              <w:sdtContent>
                <w:p>
                  <w:pPr>
                    <w:tabs>
                      <w:tab w:val="left" w:pos="993"/>
                    </w:tabs>
                    <w:spacing w:line="360" w:lineRule="auto"/>
                    <w:ind w:firstLine="709"/>
                    <w:jc w:val="both"/>
                  </w:pPr>
                  <w:sdt>
                    <w:sdtPr>
                      <w:alias w:val="Numeris"/>
                      <w:tag w:val="nr_29e8ddd527564625b9c26d0b7207eb16"/>
                      <w:lock w:val="sdtLocked"/>
                      <w:richText/>
                    </w:sdtPr>
                    <w:sdtContent>
                      <w:r>
                        <w:rPr>
                          <w:szCs w:val="24"/>
                        </w:rPr>
                        <w:t>51</w:t>
                      </w:r>
                    </w:sdtContent>
                  </w:sdt>
                  <w:r>
                    <w:rPr>
                      <w:szCs w:val="24"/>
                    </w:rPr>
                    <w:t xml:space="preserve">. Žuvininkystės tarnyba kartą teikia Europos Komisijai informaciją, vadovaudamasi Reglamento </w:t>
                  </w:r>
                  <w:hyperlink r:id="rId52" w:tgtFrame="_blank" w:history="1">
                    <w:r>
                      <w:rPr>
                        <w:color w:val="0000FF" w:themeColor="hyperlink"/>
                        <w:szCs w:val="24"/>
                        <w:u w:val="single"/>
                      </w:rPr>
                      <w:t>(ES) 2024/2594</w:t>
                    </w:r>
                  </w:hyperlink>
                  <w:r>
                    <w:rPr>
                      <w:szCs w:val="24"/>
                    </w:rPr>
                    <w:t xml:space="preserve"> 8 ir 40 straipsnių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52 p."/>
                <w:tag w:val="part_d51cdf031a8e40aeb3962a0189b118c2"/>
                <w:lock w:val="sdtLocked"/>
                <w:richText/>
              </w:sdtPr>
              <w:sdtContent>
                <w:p>
                  <w:pPr>
                    <w:overflowPunct w:val="0"/>
                    <w:spacing w:line="360" w:lineRule="auto"/>
                    <w:ind w:firstLine="709"/>
                    <w:jc w:val="both"/>
                    <w:textAlignment w:val="baseline"/>
                  </w:pPr>
                  <w:sdt>
                    <w:sdtPr>
                      <w:alias w:val="Numeris"/>
                      <w:tag w:val="nr_d51cdf031a8e40aeb3962a0189b118c2"/>
                      <w:lock w:val="sdtLocked"/>
                      <w:richText/>
                    </w:sdtPr>
                    <w:sdtContent>
                      <w:r>
                        <w:rPr>
                          <w:color w:val="000000"/>
                          <w:szCs w:val="24"/>
                          <w:lang w:eastAsia="lt-LT"/>
                        </w:rPr>
                        <w:t>52</w:t>
                      </w:r>
                    </w:sdtContent>
                  </w:sdt>
                  <w:r>
                    <w:rPr>
                      <w:color w:val="000000"/>
                      <w:szCs w:val="24"/>
                      <w:lang w:eastAsia="lt-LT"/>
                    </w:rPr>
                    <w:t>. Ūkio subjekto tikrinimo aktai, jų priedai ir kita su tikrinimu susijusi medžiaga turi būti saugomi Lietuvos vyriausiojo archyvaro tarnybos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3 p."/>
                <w:tag w:val="part_d502f8d5b9004ed8ad7cbe3ddfa68302"/>
                <w:lock w:val="sdtLocked"/>
                <w:richText/>
              </w:sdtPr>
              <w:sdtContent>
                <w:p>
                  <w:pPr>
                    <w:overflowPunct w:val="0"/>
                    <w:spacing w:line="360" w:lineRule="auto"/>
                    <w:ind w:firstLine="709"/>
                    <w:jc w:val="both"/>
                    <w:textAlignment w:val="baseline"/>
                    <w:rPr>
                      <w:color w:val="000000"/>
                      <w:szCs w:val="24"/>
                    </w:rPr>
                  </w:pPr>
                  <w:sdt>
                    <w:sdtPr>
                      <w:alias w:val="Numeris"/>
                      <w:tag w:val="nr_d502f8d5b9004ed8ad7cbe3ddfa68302"/>
                      <w:lock w:val="sdtLocked"/>
                      <w:richText/>
                    </w:sdtPr>
                    <w:sdtContent>
                      <w:r>
                        <w:rPr>
                          <w:color w:val="000000"/>
                          <w:szCs w:val="24"/>
                          <w:lang w:eastAsia="lt-LT"/>
                        </w:rPr>
                        <w:t>53</w:t>
                      </w:r>
                    </w:sdtContent>
                  </w:sdt>
                  <w:r>
                    <w:rPr>
                      <w:color w:val="000000"/>
                      <w:szCs w:val="24"/>
                      <w:lang w:eastAsia="lt-LT"/>
                    </w:rPr>
                    <w:t>. Pareigūnas, pažeidęs šio aprašo nuostatas, atsako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pabaiga"/>
            <w:tag w:val="part_38d4034aadc74a7e9c3132f9be71feb4"/>
            <w:lock w:val="sdtLocked"/>
            <w:richText/>
          </w:sdtPr>
          <w:sdtContent>
            <w:p>
              <w:pPr>
                <w:tabs>
                  <w:tab w:val="left" w:pos="1418"/>
                </w:tabs>
                <w:suppressAutoHyphens/>
                <w:overflowPunct w:val="0"/>
                <w:spacing w:line="360" w:lineRule="auto"/>
                <w:jc w:val="center"/>
                <w:textAlignment w:val="baseline"/>
              </w:pPr>
              <w:r>
                <w:rPr>
                  <w:color w:val="000000"/>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sdtContent>
    </w:sdt>
    <w:sdt>
      <w:sdtPr>
        <w:alias w:val="pr."/>
        <w:tag w:val="part_22dbad5a69464fc49af0e34cb573cd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2024-09-28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1b66e0a0fe11e69ad4c8713b612d0f">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2016-11-02,
paskelbta TAR 2016-11-03, i. k. 2016-26155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0fff0d26a11eba2bad9a0748ee64d">
            <w:r w:rsidRPr="00532B9F">
              <w:rPr>
                <w:rFonts w:ascii="Times New Roman" w:eastAsia="MS Mincho" w:hAnsi="Times New Roman"/>
                <w:sz w:val="20"/>
                <w:iCs/>
                <w:color w:val="0000FF" w:themeColor="hyperlink"/>
                <w:u w:val="single"/>
              </w:rPr>
              <w:t>3D-400</w:t>
            </w:r>
          </w:fldSimple>
          <w:r>
            <w:rPr>
              <w:rFonts w:ascii="Times New Roman" w:eastAsia="MS Mincho" w:hAnsi="Times New Roman"/>
              <w:sz w:val="20"/>
              <w:iCs/>
            </w:rPr>
            <w:t>,
2021-06-21,
paskelbta TAR 2021-06-21, i. k. 2021-14003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569570b6e411eea5a28c81c82193a8">
            <w:r w:rsidRPr="00532B9F">
              <w:rPr>
                <w:rFonts w:ascii="Times New Roman" w:eastAsia="MS Mincho" w:hAnsi="Times New Roman"/>
                <w:sz w:val="20"/>
                <w:iCs/>
                <w:color w:val="0000FF" w:themeColor="hyperlink"/>
                <w:u w:val="single"/>
              </w:rPr>
              <w:t>3D-44</w:t>
            </w:r>
          </w:fldSimple>
          <w:r>
            <w:rPr>
              <w:rFonts w:ascii="Times New Roman" w:eastAsia="MS Mincho" w:hAnsi="Times New Roman"/>
              <w:sz w:val="20"/>
              <w:iCs/>
            </w:rPr>
            <w:t>,
2024-01-19,
paskelbta TAR 2024-01-19, i. k. 2024-00906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865a107cc911efabdbb4a1fc8b0b63">
            <w:r w:rsidRPr="00532B9F">
              <w:rPr>
                <w:rFonts w:ascii="Times New Roman" w:eastAsia="MS Mincho" w:hAnsi="Times New Roman"/>
                <w:sz w:val="20"/>
                <w:iCs/>
                <w:color w:val="0000FF" w:themeColor="hyperlink"/>
                <w:u w:val="single"/>
              </w:rPr>
              <w:t>3D-686</w:t>
            </w:r>
          </w:fldSimple>
          <w:r>
            <w:rPr>
              <w:rFonts w:ascii="Times New Roman" w:eastAsia="MS Mincho" w:hAnsi="Times New Roman"/>
              <w:sz w:val="20"/>
              <w:iCs/>
            </w:rPr>
            <w:t>,
2024-09-27,
paskelbta TAR 2024-09-27, i. k. 2024-16991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ddea74af0c11f092fda1fd0c194cc5">
            <w:r w:rsidRPr="00532B9F">
              <w:rPr>
                <w:rFonts w:ascii="Times New Roman" w:eastAsia="MS Mincho" w:hAnsi="Times New Roman"/>
                <w:sz w:val="20"/>
                <w:iCs/>
                <w:color w:val="0000FF" w:themeColor="hyperlink"/>
                <w:u w:val="single"/>
              </w:rPr>
              <w:t>3D-521</w:t>
            </w:r>
          </w:fldSimple>
          <w:r>
            <w:rPr>
              <w:rFonts w:ascii="Times New Roman" w:eastAsia="MS Mincho" w:hAnsi="Times New Roman"/>
              <w:sz w:val="20"/>
              <w:iCs/>
            </w:rPr>
            <w:t>,
2025-10-22,
paskelbta TAR 2025-10-22, i. k. 2025-17551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60D76474"/>
    <w:multiLevelType w:val="hybridMultilevel"/>
    <w:tmpl w:val="8E420990"/>
    <w:lvl w:ilvl="0" w:tplc="33A6EDF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561"/>
    <o:shapelayout v:ext="edit">
      <o:idmap v:ext="edit" data="1"/>
    </o:shapelayout>
  </w:shapeDefaults>
  <w:doNotEmbedSmartTag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hyperlink" TargetMode="External" Target="http://eur-lex.europa.eu/legal-content/LIT/TXT/?uri=CELEX:32008R1005&amp;locale=lt"/>
  <Relationship Id="rId17" Type="http://schemas.openxmlformats.org/officeDocument/2006/relationships/hyperlink" TargetMode="External" Target="http://eur-lex.europa.eu/legal-content/LIT/TXT/?uri=CELEX:31993R2847&amp;locale=lt"/>
  <Relationship Id="rId18" Type="http://schemas.openxmlformats.org/officeDocument/2006/relationships/hyperlink" TargetMode="External" Target="http://eur-lex.europa.eu/legal-content/LIT/TXT/?uri=CELEX:32001R1936&amp;locale=lt"/>
  <Relationship Id="rId19" Type="http://schemas.openxmlformats.org/officeDocument/2006/relationships/hyperlink" TargetMode="External" Target="http://eur-lex.europa.eu/legal-content/LIT/TXT/?uri=CELEX:32004R0601&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94R1093&amp;locale=lt"/>
  <Relationship Id="rId21" Type="http://schemas.openxmlformats.org/officeDocument/2006/relationships/hyperlink" TargetMode="External" Target="http://eur-lex.europa.eu/legal-content/LIT/TXT/?uri=CELEX:31999R1447&amp;locale=lt"/>
  <Relationship Id="rId22" Type="http://schemas.openxmlformats.org/officeDocument/2006/relationships/hyperlink" TargetMode="External" Target="http://eur-lex.europa.eu/legal-content/LIT/TXT/?uri=CELEX:32009R1010&amp;locale=lt"/>
  <Relationship Id="rId23" Type="http://schemas.openxmlformats.org/officeDocument/2006/relationships/hyperlink" TargetMode="External" Target="http://eur-lex.europa.eu/legal-content/LIT/TXT/?uri=CELEX:32008R1005&amp;locale=lt"/>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1996R0847&amp;locale=lt"/>
  <Relationship Id="rId26" Type="http://schemas.openxmlformats.org/officeDocument/2006/relationships/hyperlink" TargetMode="External" Target="http://eur-lex.europa.eu/legal-content/LIT/TXT/?uri=CELEX:32002R2371&amp;locale=lt"/>
  <Relationship Id="rId27" Type="http://schemas.openxmlformats.org/officeDocument/2006/relationships/hyperlink" TargetMode="External" Target="http://eur-lex.europa.eu/legal-content/LIT/TXT/?uri=CELEX:32004R0811&amp;locale=lt"/>
  <Relationship Id="rId28" Type="http://schemas.openxmlformats.org/officeDocument/2006/relationships/hyperlink" TargetMode="External" Target="http://eur-lex.europa.eu/legal-content/LIT/TXT/?uri=CELEX:32005R0768&amp;locale=lt"/>
  <Relationship Id="rId29" Type="http://schemas.openxmlformats.org/officeDocument/2006/relationships/hyperlink" TargetMode="External" Target="http://eur-lex.europa.eu/legal-content/LIT/TXT/?uri=CELEX:32005R2115&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5R2166&amp;locale=lt"/>
  <Relationship Id="rId31" Type="http://schemas.openxmlformats.org/officeDocument/2006/relationships/hyperlink" TargetMode="External" Target="http://eur-lex.europa.eu/legal-content/LIT/TXT/?uri=CELEX:32006R0388&amp;locale=lt"/>
  <Relationship Id="rId32" Type="http://schemas.openxmlformats.org/officeDocument/2006/relationships/hyperlink" TargetMode="External" Target="http://eur-lex.europa.eu/legal-content/LIT/TXT/?uri=CELEX:32007R0509&amp;locale=lt"/>
  <Relationship Id="rId33" Type="http://schemas.openxmlformats.org/officeDocument/2006/relationships/hyperlink" TargetMode="External" Target="http://eur-lex.europa.eu/legal-content/LIT/TXT/?uri=CELEX:32007R0676&amp;locale=lt"/>
  <Relationship Id="rId34" Type="http://schemas.openxmlformats.org/officeDocument/2006/relationships/hyperlink" TargetMode="External" Target="http://eur-lex.europa.eu/legal-content/LIT/TXT/?uri=CELEX:32007R1098&amp;locale=lt"/>
  <Relationship Id="rId35" Type="http://schemas.openxmlformats.org/officeDocument/2006/relationships/hyperlink" TargetMode="External" Target="http://eur-lex.europa.eu/legal-content/LIT/TXT/?uri=CELEX:32008R1300&amp;locale=lt"/>
  <Relationship Id="rId36" Type="http://schemas.openxmlformats.org/officeDocument/2006/relationships/hyperlink" TargetMode="External" Target="http://eur-lex.europa.eu/legal-content/LIT/TXT/?uri=CELEX:32008R1342&amp;locale=lt"/>
  <Relationship Id="rId37" Type="http://schemas.openxmlformats.org/officeDocument/2006/relationships/hyperlink" TargetMode="External" Target="http://eur-lex.europa.eu/legal-content/LIT/TXT/?uri=CELEX:31993R2847&amp;locale=lt"/>
  <Relationship Id="rId38" Type="http://schemas.openxmlformats.org/officeDocument/2006/relationships/hyperlink" TargetMode="External" Target="http://eur-lex.europa.eu/legal-content/LIT/TXT/?uri=CELEX:31994R1627&amp;locale=lt"/>
  <Relationship Id="rId39" Type="http://schemas.openxmlformats.org/officeDocument/2006/relationships/hyperlink" TargetMode="External" Target="http://eur-lex.europa.eu/legal-content/LIT/TXT/?uri=CELEX:32006R1966&amp;locale=lt"/>
  <Relationship Id="rId4" Type="http://schemas.openxmlformats.org/officeDocument/2006/relationships/image" Target="media/image1.jpeg"/>
  <Relationship Id="rId40" Type="http://schemas.openxmlformats.org/officeDocument/2006/relationships/hyperlink" TargetMode="External" Target="http://eur-lex.europa.eu/legal-content/LIT/TXT/?uri=CELEX:32024R2594&amp;locale=lt"/>
  <Relationship Id="rId41" Type="http://schemas.openxmlformats.org/officeDocument/2006/relationships/hyperlink" TargetMode="External" Target="http://eur-lex.europa.eu/legal-content/LIT/TXT/?uri=CELEX:32019R1241&amp;locale=lt"/>
  <Relationship Id="rId42" Type="http://schemas.openxmlformats.org/officeDocument/2006/relationships/hyperlink" TargetMode="External" Target="http://eur-lex.europa.eu/legal-content/LIT/TXT/?uri=CELEX:32009R1224&amp;locale=lt"/>
  <Relationship Id="rId43" Type="http://schemas.openxmlformats.org/officeDocument/2006/relationships/hyperlink" TargetMode="External" Target="http://eur-lex.europa.eu/legal-content/LIT/TXT/?uri=CELEX:32010R1236&amp;locale=lt"/>
  <Relationship Id="rId44" Type="http://schemas.openxmlformats.org/officeDocument/2006/relationships/hyperlink" TargetMode="External" Target="http://eur-lex.europa.eu/legal-content/LIT/TXT/?uri=CELEX:31985R1899&amp;locale=lt"/>
  <Relationship Id="rId45" Type="http://schemas.openxmlformats.org/officeDocument/2006/relationships/hyperlink" TargetMode="External" Target="http://eur-lex.europa.eu/legal-content/LIT/TXT/?uri=CELEX:31987R1638&amp;locale=lt"/>
  <Relationship Id="rId46" Type="http://schemas.openxmlformats.org/officeDocument/2006/relationships/hyperlink" TargetMode="External" Target="http://eur-lex.europa.eu/legal-content/LIT/TXT/?uri=CELEX:32011R0404&amp;locale=lt"/>
  <Relationship Id="rId47" Type="http://schemas.openxmlformats.org/officeDocument/2006/relationships/hyperlink" TargetMode="External" Target="http://eur-lex.europa.eu/legal-content/LIT/TXT/?uri=CELEX:32009R1224&amp;locale=lt"/>
  <Relationship Id="rId48" Type="http://schemas.openxmlformats.org/officeDocument/2006/relationships/hyperlink" TargetMode="External" Target="http://eur-lex.europa.eu/legal-content/LIT/TXT/?uri=CELEX:32833R2019&amp;locale=lt"/>
  <Relationship Id="rId49" Type="http://schemas.openxmlformats.org/officeDocument/2006/relationships/hyperlink" TargetMode="External" Target="http://eur-lex.europa.eu/legal-content/LIT/TXT/?uri=CELEX:32016R1627&amp;locale=lt"/>
  <Relationship Id="rId5" Type="http://schemas.openxmlformats.org/officeDocument/2006/relationships/numbering" Target="numbering.xml"/>
  <Relationship Id="rId50" Type="http://schemas.openxmlformats.org/officeDocument/2006/relationships/hyperlink" TargetMode="External" Target="http://eur-lex.europa.eu/legal-content/LIT/TXT/?uri=CELEX:32005R2115&amp;locale=lt"/>
  <Relationship Id="rId51" Type="http://schemas.openxmlformats.org/officeDocument/2006/relationships/hyperlink" TargetMode="External" Target="http://eur-lex.europa.eu/legal-content/LIT/TXT/?uri=CELEX:32007R1386&amp;locale=lt"/>
  <Relationship Id="rId52" Type="http://schemas.openxmlformats.org/officeDocument/2006/relationships/hyperlink" TargetMode="External" Target="http://eur-lex.europa.eu/legal-content/LIT/TXT/?uri=CELEX:32024R2594&amp;locale=lt"/>
  <Relationship Id="rId53" Type="http://schemas.openxmlformats.org/officeDocument/2006/relationships/hyperlink" TargetMode="External" Target="http://eur-lex.europa.eu/legal-content/LIT/TXT/?uri=CELEX:32019R0833&amp;locale=lt"/>
  <Relationship Id="rId54" Type="http://schemas.openxmlformats.org/officeDocument/2006/relationships/hyperlink" TargetMode="External" Target="http://eur-lex.europa.eu/legal-content/LIT/TXT/?uri=CELEX:32024R2594&amp;locale=lt"/>
  <Relationship Id="rId55" Type="http://schemas.openxmlformats.org/officeDocument/2006/relationships/hyperlink" TargetMode="External" Target="http://eur-lex.europa.eu/legal-content/LIT/TXT/?uri=CELEX:32019R0833&amp;locale=lt"/>
  <Relationship Id="rId56" Type="http://schemas.openxmlformats.org/officeDocument/2006/relationships/hyperlink" TargetMode="External" Target="http://eur-lex.europa.eu/legal-content/LIT/TXT/?uri=CELEX:32024R2594&amp;locale=lt"/>
  <Relationship Id="rId57" Type="http://schemas.openxmlformats.org/officeDocument/2006/relationships/hyperlink" TargetMode="External" Target="http://eur-lex.europa.eu/legal-content/LIT/TXT/?uri=CELEX:32024R2594&amp;locale=lt"/>
  <Relationship Id="rId58" Type="http://schemas.openxmlformats.org/officeDocument/2006/relationships/hyperlink" TargetMode="External" Target="http://eur-lex.europa.eu/legal-content/LIT/TXT/?uri=CELEX:32024R2594&amp;locale=lt"/>
  <Relationship Id="rId59" Type="http://schemas.openxmlformats.org/officeDocument/2006/relationships/customXml" Target="../customXml/item1.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f837fb6e759243a3aaeb8697ddeb4101">
    <Part Type="preambule" DocPartId="d15c1aabc150486190d7e1e267953b7f" PartId="1cd56ef59e5441069112b746d5cc6f5e"/>
    <Part Type="pastraipa" DocPartId="b2f0320a640c46ea943d5d34c8b65899" PartId="9a2a7d38c2464f9da77c33d8f25fa43f"/>
    <Part Type="signatura" DocPartId="5cf556827f2148b0b40289e3883afeea" PartId="5159258d23ab436b92ca8026a457aa20"/>
  </Part>
  <Part Type="patvirtinta" Title="ŽUVININKYSTĖS KONTROLĖS PAREIGŪNŲ ATLIEKAMŲ PATIKRINIMŲ TVARKOS APRAŠAS" DocPartId="0334af6e98c1489a8cc14b99210b7729" PartId="c54f130be15447c992852282f9cb2343">
    <Part Type="skyrius" Nr="1" Title="BENDROSIOS NUOSTATOS" DocPartId="ebc36104e35f4b76bda5438705362e49" PartId="01f85bf5394941b6a1b967b33b0d5089">
      <Part Type="punktas" Nr="1" Abbr="1 p." DocPartId="f520eb7fd6384c30ba998487f4420875" PartId="90ebe69b97084ab9b30d0eb8416b245c"/>
      <Part Type="punktas" Nr="2" Abbr="2 p." DocPartId="1d34d0ad73e9431ea3154f28f441e106" PartId="a975a990d60f4c698cfcff10e95ba9c5"/>
      <Part Type="punktas" Nr="3" Abbr="3 p." DocPartId="d1f04e1c69d7497f819a8e6a503410cf" PartId="9eb8543805e34de7bdb106bb15a167dc"/>
      <Part Type="punktas" Nr="4" Abbr="4 p." DocPartId="c5e8c77c95a14f44b9f8c0c3b1cd2888" PartId="d46d34be278147a19e66d62090561d79"/>
      <Part Type="punktas" Nr="5" Abbr="5 p." DocPartId="0f865183c4ab4a7eb462c87c3da4dc35" PartId="16321f6fd6404932bf1f742c35a0c1b2"/>
      <Part Type="punktas" Nr="6" Abbr="6 p." DocPartId="affcce322e2d447380d84f14f43fccd8" PartId="f12fe8ed3bc84b9cb5717041e8024e53"/>
    </Part>
    <Part Type="skyrius" Nr="2" Title="PATIKRINIMŲ ORGANIZAVIMAS" DocPartId="217fa9c487174b35a5d046bab41fd63a" PartId="ac3b856b63c24d9c8794767c167bf411">
      <Part Type="punktas" Nr="7" Abbr="7 p." DocPartId="500c59c4f8c14a038882e5c6174092f0" PartId="a811100397644006af8d469959881259"/>
      <Part Type="punktas" Nr="8" Abbr="8 p." DocPartId="c3a7c0fff31c4282b4b9149aca58f3cc" PartId="cdcbcc5523204f60987304f5fb914abd"/>
      <Part Type="punktas" Nr="9" Abbr="9 p." DocPartId="42951bca7d984f44a0416fc57014eb88" PartId="e346df2512b646f3938dd589991af70f"/>
      <Part Type="punktas" Nr="10" Abbr="10 p." DocPartId="8d7005ceaed14b059e4924fe8fa43a61" PartId="1e79840f72b54a60b40efc36898f118d"/>
      <Part Type="punktas" Nr="11" Abbr="11 p." DocPartId="3e98f96593454d88b6e3de12c14731bc" PartId="f8f91c4ea67a4f8383c125f54162444b"/>
      <Part Type="punktas" Nr="12" Abbr="12 p." DocPartId="2fcd149bbf2541c6bc3ed608ed586f93" PartId="e8ae98fcc3f941499a1abfb30ae8b420"/>
      <Part Type="punktas" Nr="13" Abbr="13 p." DocPartId="fc432da6e38d4f3dba6975bc68a81afd" PartId="308610957dec46f294c3b1c56f93aafd">
        <Part Type="papunktis" Nr="13.1" Abbr="13.1 pp." DocPartId="6161f325f39549d4982d6aee6ac9e8ab" PartId="8c8bd174d81c4840aa68529190cf2c70"/>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1cb8b970dead4c219020870befdb38bc"/>
      <Part Type="punktas" Nr="18-1" Abbr="18-1 p." DocPartId="7864841d53324156a71ab3d7ca1647b5" PartId="46abd595d2c24a368cf408de1a074ae3"/>
    </Part>
    <Part Type="skyrius" Nr="3" Title="PLANINIAI PATIKRINIMAI" DocPartId="48cf736a412d40ff91e0e5361ce7c19d" PartId="5b91ef143c034fa39247ce80ccad4125">
      <Part Type="punktas" Nr="19" Abbr="19 p." DocPartId="eb5f13dc71f549c7b791a456097a331c" PartId="8529c5cfdf1d4a329d3ecf6ca946f11a">
        <Part Type="papunktis" Nr="19.1" Abbr="19.1 pp." DocPartId="fd4a4ec9a0334f07bcfb8f49caabbbe6" PartId="b012b26a40bc495a92c8b52489885d6f"/>
        <Part Type="papunktis" Nr="19.2" Abbr="19.2 pp." DocPartId="ed0f3b36f3c74e4bb29690a6a59e7227" PartId="610e36fb70134c7ea4c1a08ef34347d0"/>
      </Part>
      <Part Type="punktas" Nr="20" Abbr="20 p." DocPartId="d74ce3ee49464fa5ad18bb83bf45e27a" PartId="4958e472fc1e4dd8852af01e534f27a5"/>
      <Part Type="punktas" Nr="21" Abbr="21 p." DocPartId="9c3586deff414f348e059d96073d3723" PartId="0d04787cf0154b06b83620100ec843b0"/>
      <Part Type="punktas" Nr="22" Abbr="22 p." DocPartId="b1aa15cabbc04b32a48a6dd0a8d625a2" PartId="8279dc15d0824ef88e8d00b7196e738d"/>
      <Part Type="punktas" Nr="23" Abbr="23 p." DocPartId="593d55b26f4b43bbb315ed5c7501b9b3" PartId="ecc78e757dba427e89044e4530f31aca"/>
      <Part Type="punktas" Nr="23-1" Abbr="23-1 p." DocPartId="79d5fc6517eb4e2caa8eb8c68df03996" PartId="9eecc7dad3cb4a6fafb1a655672aaf2a"/>
    </Part>
    <Part Type="skyrius" Nr="4" Title="„IV SKYRIUS NEPLANINIAI, ATSITIKTINIAI PATIKRINIMAI IR KONTROLĖ ŠIAURĖS ATLANTE“." DocPartId="79a991882a7e418abecdae11b4820b4b" PartId="f7108166b6d44dc6b60d5f6bcec6ec7a">
      <Part Type="punktas" Nr="24" Abbr="24 p." DocPartId="c7adc2af71384e2ca8a297281e2fb95a" PartId="e1dfcfb761d943f2b4d271a40375f125">
        <Part Type="papunktis" Nr="24.1" Abbr="24.1 pp." DocPartId="9d2e0a11c23544caba4a97b3db2b1ac9" PartId="0957fab210ca46b39408e406c2e5a573"/>
        <Part Type="papunktis" Nr="24.2" Abbr="24.2 pp." DocPartId="e2c63b900b31404db04d2cb1aee7d628" PartId="be7144db2dfd4eb5a2f858130a34f2b4"/>
        <Part Type="papunktis" Nr="24.3" Abbr="24.3 pp." DocPartId="04ed9ecc7c2742b5b2b03ecf293da0ad" PartId="1a946b8200644e74a7a1b05f3f5ca938"/>
        <Part Type="papunktis" Nr="24.4" Abbr="24.4 pp." DocPartId="76b501c57d4b4623b09f76ffc4f439db" PartId="8822aef0446a410592548e7ad4d9f936"/>
      </Part>
      <Part Type="punktas" Nr="25" Abbr="25 p." DocPartId="7239950caeb94b28a11084ef773a0b0a" PartId="65f86002eb9b43819f29b7bec5f06bdb">
        <Part Type="papunktis" Nr="25.1" Abbr="25.1 pp." DocPartId="d70273f207324fe7958dac83ba49266e" PartId="3bda98de32224041906fb885ec11dafc"/>
        <Part Type="papunktis" Nr="25.2" Abbr="25.2 pp." DocPartId="5693ac2ef46b4fa98f023d2c8d36468e" PartId="4af4e4ceafcb4d9f84bae546c3814d31"/>
        <Part Type="papunktis" Nr="25.3" Abbr="25.3 pp." DocPartId="72adb13bef8c49699bb8120cd904548a" PartId="36643290f45e40acabadd6e294e24edf"/>
      </Part>
      <Part Type="punktas" Nr="25-1" Abbr="25-1 p." DocPartId="3d241ee40d9f430eaaec36aea3c2c308" PartId="613845655e914b9c9fb0cf3d74a1c9a4"/>
      <Part Type="punktas" Nr="25-2" Abbr="25-2 p." DocPartId="74850fcbd54547b3a525a68d85ece935" PartId="2b998e1ec17f40a59b15bdef9af4d481"/>
      <Part Type="punktas" Nr="25-3" Abbr="25-3 p." DocPartId="98d39e070b50423d92f8629fc3a22d10" PartId="8e08634b503547bb834ddf95dcc9b01d"/>
    </Part>
    <Part Type="skyrius" Nr="5" Title="ŪKIO SUBJEKTO VEIKLOS TIKRINIMAS" DocPartId="e2046365a1e44ecc9737886a26a840c8" PartId="7686234243c04c80bba850bb3e506392">
      <Part Type="punktas" Nr="26" Abbr="26 p." DocPartId="13a946e8e18a423ab773886bf6a2f7bf" PartId="ef6fc6d88ed642489bd13ad38d422ad4"/>
      <Part Type="punktas" Nr="27" Abbr="27 p." DocPartId="6854b9d4ce414c188e84c95516f52662" PartId="f7028ba6ad374d38aa344264069fdaf3"/>
      <Part Type="punktas" Nr="28" Abbr="28 p." DocPartId="81e52bafa668407d979416d655b553f8" PartId="f0541e756e6245dabe3e3a9ec3adcc81"/>
      <Part Type="punktas" Nr="29" Abbr="29 p." DocPartId="cbcf40a1ec5e4d3b91171f14288a8f2d" PartId="e8ca2d1852d44402b5d15619f0e6a000"/>
      <Part Type="punktas" Nr="30" Abbr="30 p." DocPartId="82970eff376948f198f7057ff230438d" PartId="d0180180cd7d43498127b5923271a492"/>
      <Part Type="punktas" Nr="31" Abbr="31 p." DocPartId="5ea832c728ac4714910c5cb7f59d616a" PartId="71255754ca0d49d3b2698f4e3ea7e1c9"/>
      <Part Type="punktas" Nr="31-1" Abbr="31-1 p." DocPartId="fe77934ed3f94255843ff88f1be62d7a" PartId="8c07c0a9272941af96e4f6afaf2d08b1"/>
      <Part Type="punktas" Nr="31-2" Abbr="31-2 p." DocPartId="65c67a7556684993a9792329d25f9e4e" PartId="bfad75bbc45347029756ccc4f1cb2a12"/>
      <Part Type="punktas" Nr="31-3" Abbr="31-3 p." DocPartId="a5eaeed97b0149eb909830bbe779f57a" PartId="5d19f2db20524c9d8a4e37b19ebec61c"/>
    </Part>
    <Part Type="skyrius" Nr="6" Title="ŪKIO SUBJEKTO PATIKRINIMO REZULTATŲ ĮFORMINIMAS" DocPartId="f8895ba627df49f3837599307726cca2" PartId="1c99efcd180142f783fb8d40d4e537a9">
      <Part Type="punktas" Nr="32" Abbr="32 p." DocPartId="eb334e958a064b16b5bd71cfc31d33cc" PartId="7c6420be0597475ba2f5df96ef4fc9a7"/>
      <Part Type="punktas" Nr="33" Abbr="33 p." DocPartId="b197e5f699b34680ba3944237249cd3d" PartId="40820159560444bf94135c0549afc5fa"/>
      <Part Type="punktas" Nr="34" Abbr="34 p." DocPartId="8a47d19f411347d28da6a45f13684a40" PartId="05f614ed25744524a7c2ae04026ea2dc"/>
      <Part Type="punktas" Nr="35" Abbr="35 p." DocPartId="c4b9dec11d774cfe95ae784b93c94c7a" PartId="504ac12505a84cc1a06611d832b9bdb8"/>
      <Part Type="punktas" Nr="36" Abbr="36 p." DocPartId="e440fe6d2e16429b83e4e67a7936a7b7" PartId="27c209326b234003b22109c68d4570cd"/>
      <Part Type="punktas" Nr="37" Abbr="37 p." DocPartId="63371967d0384f7f907c65ba2ea50f79" PartId="f3e819db2fa2427f98ba2b97fa661796"/>
      <Part Type="punktas" Nr="38" Abbr="38 p." DocPartId="06eb2233eacc4c089a93b773caf0e20e" PartId="5d7c62354aba4a6882f770aa62edec59"/>
      <Part Type="punktas" Nr="39" Abbr="39 p." DocPartId="e057a23f42834dd68db2b55f0ea29f01" PartId="d903d3be8de74ee7a9aa62821f62b11d"/>
      <Part Type="punktas" Nr="40" Abbr="40 p." DocPartId="f4281fc453644d678ea00f8395a400d8" PartId="568915ad6a8846f9a6643b808cb315af"/>
      <Part Type="punktas" Nr="41" Abbr="41 p." DocPartId="980aff2f4e8648138804b99a39bccf2a" PartId="4b83cd1265d2470fbfab61b3f489dbf3"/>
      <Part Type="punktas" Nr="42" Abbr="42 p." DocPartId="48eda5c14508423d8594ff78088f94db" PartId="5a1807a057604719a41add75c18785e3"/>
      <Part Type="punktas" Nr="43" Abbr="43 p." DocPartId="02d14ac9039f433cb58d485300d20a6e" PartId="c6c6c35a4ca0473a89d0d4c6bd0588fa"/>
      <Part Type="punktas" Nr="44" Abbr="44 p." DocPartId="a7756a9903c3491f8c4f22f4b295eeba" PartId="2b6e6be9265e4c73a20336d0de029a83"/>
      <Part Type="punktas" Nr="45" Abbr="45 p." DocPartId="5fd48ed26a4b4e2ea9b37ebcfd847147" PartId="bdf6a97a5cdd4aa3b1fbebdb061a1436"/>
      <Part Type="punktas" Nr="45-1" Abbr="45-1 p." DocPartId="0c6468f999654e478eeb2b8432847228" PartId="0e281912a56e4b9e826ebf05f0649239"/>
      <Part Type="punktas" Nr="45-2" Abbr="45-2 p." DocPartId="2ed1cd2025734024a5f170b152e522b8" PartId="26aff17efd244ca1a3d6a5ac5e7881e5"/>
      <Part Type="punktas" Nr="45-3" Abbr="45-3 p." DocPartId="ba4b8a7f287d498ba50b033467d0006f" PartId="885fb0308eaf4d6d82cf798604b53f2c"/>
      <Part Type="punktas" Nr="45-4" Abbr="45-4 p." DocPartId="ce15e89b83204e77800769d41235e3f9" PartId="aa10c05ed1d24031acb4fada2264c958"/>
    </Part>
    <Part Type="skyrius" Nr="7" Title="DAIKTŲ IR (AR) DOKUMENTŲ PAĖMIMO IR GRĄŽINIMO ĮFORMINIMAS" DocPartId="ffaae07d05ca4ed3a2820d08d7801fe6" PartId="7a3ceaa0f4cc4503b390079c380560fb">
      <Part Type="punktas" Nr="46" Abbr="46 p." DocPartId="a80fbc7083bc414298f251901779c2ba" PartId="4dca37ff4a1c47b88518e0daf241995d"/>
      <Part Type="punktas" Nr="47" Abbr="47 p." DocPartId="70e7d82b05f54bd190a4284b236c5921" PartId="6c95f3ff007149daac0efb37ff0f97b0"/>
      <Part Type="punktas" Nr="48" Abbr="48 p." DocPartId="92c803b877f1457f841799b298aeac8f" PartId="4936aa708874491bb3a82abe81212e9e"/>
      <Part Type="punktas" Nr="49" Abbr="49 p." DocPartId="1715e5796c8e458e8e7a5f3c2d5da5b9" PartId="8eaf919f87b04be1afb38575d893dfc7"/>
    </Part>
    <Part Type="skyrius" Nr="8" Title="BAIGIAMOSIOS NUOSTATOS" DocPartId="17c13f71c9024e03ad4afdb4a02e5e02" PartId="0394bf1e0f0e4fd884ce474cd4f7d79f">
      <Part Type="punktas" Nr="50" Abbr="50 p." DocPartId="51f6139385b9465ab824dd2ebd639692" PartId="c699ac6c150f411f8e895290c9008e2f"/>
      <Part Type="punktas" Nr="51" Abbr="51 p." DocPartId="399aeff6129d479ba99f375484967610" PartId="29e8ddd527564625b9c26d0b7207eb16"/>
      <Part Type="punktas" Nr="52" Abbr="52 p." DocPartId="42186b4eadae4b8198dd9e80bf1f35e3" PartId="d51cdf031a8e40aeb3962a0189b118c2"/>
      <Part Type="punktas" Nr="53" Abbr="53 p." DocPartId="4ebfd74c82104068984eea2a581237b7" PartId="d502f8d5b9004ed8ad7cbe3ddfa68302"/>
    </Part>
    <Part Type="pabaiga" DocPartId="84436021a78a4967bc3b4e46c8fa2bd0" PartId="38d4034aadc74a7e9c3132f9be71feb4"/>
  </Part>
  <Part Type="priedas" Abbr="pr." Title="(Pavedimo atlikti patikrinimą forma)" DocPartId="05fc9e552a1e4220bbfc37cbeb696292" PartId="22dbad5a69464fc49af0e34cb573cd1a"/>
</Parts>
</file>

<file path=customXml/itemProps1.xml><?xml version="1.0" encoding="utf-8"?>
<ds:datastoreItem xmlns:ds="http://schemas.openxmlformats.org/officeDocument/2006/customXml" ds:itemID="{C9520C6A-A1E9-4E68-985D-7916B7FD2734}">
  <ds:schemaRefs>
    <ds:schemaRef ds:uri="http://lrs.lt/TAIS/DocParts"/>
  </ds:schemaRefs>
</ds:datastoreItem>
</file>

<file path=docProps/app.xml><?xml version="1.0" encoding="utf-8"?>
<Properties xmlns="http://schemas.openxmlformats.org/officeDocument/2006/extended-properties">
  <Template>Normal.dotm</Template>
  <TotalTime>0</TotalTime>
  <Pages>10</Pages>
  <Words>2709</Words>
  <Characters>24425</Characters>
  <Application>Microsoft Office Word</Application>
  <DocSecurity>0</DocSecurity>
  <Lines>203</Lines>
  <Paragraphs>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27080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2025-10-24T10:54:00Z</dcterms:modified>
  <revision>1</revision>
</coreProperties>
</file>