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672f1514f8564f8482dac9b4219ac59f"/>
        <w:lock w:val="sdtLocked"/>
        <w:richText/>
      </w:sdtPr>
      <w:sdtContent>
        <w:p>
          <w:pPr>
            <w:jc w:val="both"/>
            <w:rPr>
              <w:rFonts w:ascii="Times New Roman" w:hAnsi="Times New Roman"/>
            </w:rPr>
          </w:pPr>
          <w:r>
            <w:rPr>
              <w:rFonts w:ascii="Times New Roman" w:hAnsi="Times New Roman"/>
              <w:b/>
              <w:i/>
            </w:rPr>
            <w:t>Suvestinė redakcija nuo 2017-07-01 iki 2018-12-31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2015-01-05, i. k. 2015-00065</w:t>
          </w:r>
        </w:p>
        <w:p>
          <w:pPr>
            <w:jc w:val="both"/>
            <w:rPr>
              <w:rFonts w:ascii="Times New Roman" w:hAnsi="Times New Roman"/>
              <w:sz w:val="20"/>
            </w:rPr>
          </w:pPr>
        </w:p>
        <w:p>
          <w:pPr>
            <w:jc w:val="center"/>
            <w:rPr>
              <w:rFonts w:ascii="Calibri" w:eastAsia="Calibri" w:hAnsi="Calibri"/>
              <w:sz w:val="22"/>
              <w:szCs w:val="22"/>
            </w:rPr>
          </w:pPr>
          <w:r>
            <w:rPr>
              <w:rFonts w:ascii="Calibri" w:eastAsia="Calibri" w:hAnsi="Calibri"/>
              <w:sz w:val="22"/>
              <w:szCs w:val="22"/>
            </w:rPr>
            <w:object w:dxaOrig="720" w:dyaOrig="82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4pt;height:40.55pt" o:ole="" fillcolor="window">
                <v:imagedata r:id="rId7" o:title=""/>
              </v:shape>
              <o:OLEObject Type="Embed" ProgID="CorelDraw.Graphic.8" ShapeID="_x0000_i1025" DrawAspect="Content" ObjectID="_0000000001" r:id="rId8"/>
            </w:object>
          </w:r>
        </w:p>
        <w:p>
          <w:pPr>
            <w:jc w:val="center"/>
            <w:rPr>
              <w:b/>
              <w:szCs w:val="24"/>
            </w:rPr>
          </w:pPr>
          <w:r>
            <w:rPr>
              <w:b/>
              <w:szCs w:val="24"/>
            </w:rPr>
            <w:t>RADVILIŠKIO RAJONO SAVIVALDYBĖS TARYBA</w:t>
          </w:r>
        </w:p>
        <w:p>
          <w:pPr>
            <w:jc w:val="center"/>
            <w:rPr>
              <w:b/>
              <w:szCs w:val="24"/>
            </w:rPr>
          </w:pPr>
        </w:p>
        <w:p>
          <w:pPr>
            <w:ind w:left="-851" w:firstLine="851"/>
            <w:jc w:val="center"/>
            <w:rPr>
              <w:color w:val="000000"/>
              <w:szCs w:val="24"/>
              <w:lang w:eastAsia="lt-LT"/>
            </w:rPr>
          </w:pPr>
          <w:r>
            <w:rPr>
              <w:b/>
              <w:bCs/>
              <w:color w:val="000000"/>
              <w:szCs w:val="24"/>
              <w:lang w:eastAsia="lt-LT"/>
            </w:rPr>
            <w:t>SPRENDIMAS</w:t>
          </w:r>
        </w:p>
        <w:p>
          <w:pPr>
            <w:jc w:val="center"/>
            <w:rPr>
              <w:b/>
              <w:caps/>
              <w:szCs w:val="24"/>
            </w:rPr>
          </w:pPr>
          <w:r>
            <w:rPr>
              <w:b/>
              <w:caps/>
              <w:szCs w:val="24"/>
            </w:rPr>
            <w:t xml:space="preserve">DĖL daugiabučių namų  bendrojo naudojimo objektų administravimo maksimalaus tarifo apskaičiavimo tvarkos aprašo ir namo techninės priežiūros MAKSIMALIŲ tarifų apskaičiavimo metodikos Patvirtinimo</w:t>
          </w:r>
        </w:p>
        <w:p>
          <w:pPr>
            <w:jc w:val="center"/>
            <w:rPr>
              <w:b/>
              <w:caps/>
              <w:szCs w:val="24"/>
            </w:rPr>
          </w:pPr>
        </w:p>
        <w:p>
          <w:pPr>
            <w:ind w:left="-851" w:firstLine="911"/>
            <w:jc w:val="center"/>
            <w:rPr>
              <w:color w:val="000000"/>
              <w:szCs w:val="24"/>
              <w:lang w:eastAsia="lt-LT"/>
            </w:rPr>
          </w:pPr>
        </w:p>
        <w:p>
          <w:pPr>
            <w:ind w:left="-851" w:firstLine="851"/>
            <w:jc w:val="center"/>
            <w:rPr>
              <w:color w:val="000000"/>
              <w:szCs w:val="24"/>
              <w:lang w:eastAsia="lt-LT"/>
            </w:rPr>
          </w:pPr>
          <w:r>
            <w:rPr>
              <w:color w:val="000000"/>
              <w:szCs w:val="24"/>
              <w:lang w:eastAsia="lt-LT"/>
            </w:rPr>
            <w:t>2014 m. spalio 9 d. Nr. T-825</w:t>
          </w:r>
        </w:p>
        <w:p>
          <w:pPr>
            <w:jc w:val="center"/>
            <w:rPr>
              <w:szCs w:val="24"/>
            </w:rPr>
          </w:pPr>
          <w:r>
            <w:rPr>
              <w:szCs w:val="24"/>
            </w:rPr>
            <w:t>Radviliškis</w:t>
          </w:r>
        </w:p>
        <w:p>
          <w:pPr>
            <w:jc w:val="center"/>
            <w:rPr>
              <w:b/>
              <w:szCs w:val="24"/>
            </w:rPr>
          </w:pPr>
        </w:p>
        <w:p>
          <w:pPr>
            <w:jc w:val="center"/>
            <w:rPr>
              <w:b/>
              <w:szCs w:val="24"/>
            </w:rPr>
          </w:pPr>
        </w:p>
        <w:sdt>
          <w:sdtPr>
            <w:alias w:val="preambule"/>
            <w:tag w:val="part_2b9263362e1d46b2a600c7c15a881c4b"/>
            <w:lock w:val="sdtLocked"/>
            <w:richText/>
          </w:sdtPr>
          <w:sdtContent>
            <w:p>
              <w:pPr>
                <w:ind w:firstLine="720"/>
                <w:jc w:val="both"/>
                <w:rPr>
                  <w:bCs/>
                  <w:szCs w:val="24"/>
                </w:rPr>
              </w:pPr>
              <w:r>
                <w:rPr>
                  <w:szCs w:val="24"/>
                </w:rPr>
                <w:t>Vadovaudamasi Lietuvos Respublikos civilinio kodekso 4.84 straipsnio 9 dalimi,</w:t>
              </w:r>
              <w:r>
                <w:rPr>
                  <w:bCs/>
                  <w:szCs w:val="24"/>
                </w:rPr>
                <w:t xml:space="preserve"> Lietuvos Respublikos vietos savivaldos įstatymo 16 straipsnio 2 dalies 37 punktu, Lietuvos Respublikos Vyriausybės 2001 m. gegužės 23 d. nutarimu Nr. 603 „Dėl Butų ir kitų patalpų savininkų bendrosios nuosavybės administravimo pavyzdinių nuostatų patvirtinimo“, Radviliškio rajono savivaldybės taryba n u s p r e n d ž i a:</w:t>
              </w:r>
            </w:p>
          </w:sdtContent>
        </w:sdt>
        <w:sdt>
          <w:sdtPr>
            <w:alias w:val="1 p."/>
            <w:tag w:val="part_3db2c5504211416e8253c397b872dab9"/>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sz w:val="22"/>
                </w:rPr>
                <w:t>.</w:t>
              </w:r>
              <w:r>
                <w:rPr>
                  <w:rFonts w:ascii="Times New Roman" w:eastAsia="MS Mincho" w:hAnsi="Times New Roman"/>
                  <w:sz w:val="20"/>
                  <w:i/>
                  <w:iCs/>
                </w:rPr>
                <w:t xml:space="preserve"> Neteko galios nuo 2017-07-01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c9b4e05a6811e7846ef01bfffb9b64">
                <w:r w:rsidRPr="00532B9F">
                  <w:rPr>
                    <w:rFonts w:ascii="Times New Roman" w:eastAsia="MS Mincho" w:hAnsi="Times New Roman"/>
                    <w:sz w:val="20"/>
                    <w:i/>
                    <w:iCs/>
                    <w:color w:val="0000FF" w:themeColor="hyperlink"/>
                    <w:u w:val="single"/>
                  </w:rPr>
                  <w:t>T-596</w:t>
                </w:r>
              </w:fldSimple>
              <w:r>
                <w:rPr>
                  <w:rFonts w:ascii="Times New Roman" w:eastAsia="MS Mincho" w:hAnsi="Times New Roman"/>
                  <w:sz w:val="20"/>
                  <w:i/>
                  <w:iCs/>
                </w:rPr>
                <w:t>,
2017-06-22,
paskelbta TAR 2017-06-26, i. k. 2017-10757        </w:t>
              </w:r>
            </w:p>
            <w:p/>
          </w:sdtContent>
        </w:sdt>
        <w:sdt>
          <w:sdtPr>
            <w:alias w:val="2 p."/>
            <w:tag w:val="part_63a7e7dc75d2491e94ed03d8d6c51c8f"/>
            <w:lock w:val="sdtLocked"/>
            <w:richText/>
          </w:sdtPr>
          <w:sdtContent>
            <w:p>
              <w:pPr>
                <w:tabs>
                  <w:tab w:val="left" w:pos="1080"/>
                </w:tabs>
                <w:ind w:firstLine="810"/>
                <w:jc w:val="both"/>
                <w:rPr>
                  <w:color w:val="000000"/>
                </w:rPr>
              </w:pPr>
              <w:sdt>
                <w:sdtPr>
                  <w:alias w:val="Numeris"/>
                  <w:tag w:val="nr_63a7e7dc75d2491e94ed03d8d6c51c8f"/>
                  <w:lock w:val="sdtLocked"/>
                  <w:richText/>
                </w:sdtPr>
                <w:sdtContent>
                  <w:r>
                    <w:t>2</w:t>
                  </w:r>
                </w:sdtContent>
              </w:sdt>
              <w:r>
                <w:t xml:space="preserve">. </w:t>
              </w:r>
              <w:r>
                <w:rPr>
                  <w:bCs/>
                  <w:szCs w:val="24"/>
                </w:rPr>
                <w:t>Patvirtinti Namo techninės priežiūros maksimalių tarifų apskaičiavimo metodiką (pridedama).</w:t>
              </w:r>
            </w:p>
          </w:sdtContent>
        </w:sdt>
        <w:sdt>
          <w:sdtPr>
            <w:alias w:val="3 p."/>
            <w:tag w:val="part_8a4a4cae9efe489c99245cb22ec82f25"/>
            <w:lock w:val="sdtLocked"/>
            <w:richText/>
          </w:sdtPr>
          <w:sdtContent>
            <w:p>
              <w:pPr>
                <w:tabs>
                  <w:tab w:val="left" w:pos="1080"/>
                </w:tabs>
                <w:ind w:firstLine="810"/>
                <w:jc w:val="both"/>
                <w:rPr>
                  <w:bCs/>
                  <w:szCs w:val="24"/>
                </w:rPr>
              </w:pPr>
              <w:sdt>
                <w:sdtPr>
                  <w:alias w:val="Numeris"/>
                  <w:tag w:val="nr_8a4a4cae9efe489c99245cb22ec82f25"/>
                  <w:lock w:val="sdtLocked"/>
                  <w:richText/>
                </w:sdtPr>
                <w:sdtContent>
                  <w:r>
                    <w:rPr>
                      <w:bCs/>
                      <w:szCs w:val="24"/>
                    </w:rPr>
                    <w:t>3</w:t>
                  </w:r>
                </w:sdtContent>
              </w:sdt>
              <w:r>
                <w:rPr>
                  <w:bCs/>
                  <w:szCs w:val="24"/>
                </w:rPr>
                <w:t xml:space="preserve">. </w:t>
              </w:r>
              <w:r>
                <w:rPr>
                  <w:szCs w:val="24"/>
                </w:rPr>
                <w:t xml:space="preserve">Pripažinti netekusiu galios Radviliškio rajono  savivaldybės tarybos 2012  m. vasario  2 d. sprendimą Nr. T-184  „Dėl  Radviliškio rajono savivaldybės daugiabučių namų butų ir kitų patalpų savininkų bendrosios nuosavybės administravimo ir jos techninės priežiūros maksimalių tarifų tvirtinimo“.</w:t>
              </w:r>
            </w:p>
          </w:sdtContent>
        </w:sdt>
        <w:sdt>
          <w:sdtPr>
            <w:alias w:val="4 p."/>
            <w:tag w:val="part_5cd3857d4edd45f386b396308dcfbb26"/>
            <w:lock w:val="sdtLocked"/>
            <w:richText/>
          </w:sdtPr>
          <w:sdtContent>
            <w:p>
              <w:pPr>
                <w:tabs>
                  <w:tab w:val="left" w:pos="1080"/>
                </w:tabs>
                <w:ind w:firstLine="810"/>
                <w:jc w:val="both"/>
                <w:rPr>
                  <w:szCs w:val="24"/>
                </w:rPr>
              </w:pPr>
              <w:sdt>
                <w:sdtPr>
                  <w:alias w:val="Numeris"/>
                  <w:tag w:val="nr_5cd3857d4edd45f386b396308dcfbb26"/>
                  <w:lock w:val="sdtLocked"/>
                  <w:richText/>
                </w:sdtPr>
                <w:sdtContent>
                  <w:r>
                    <w:rPr>
                      <w:bCs/>
                      <w:szCs w:val="24"/>
                    </w:rPr>
                    <w:t>4</w:t>
                  </w:r>
                </w:sdtContent>
              </w:sdt>
              <w:r>
                <w:rPr>
                  <w:bCs/>
                  <w:szCs w:val="24"/>
                </w:rPr>
                <w:t>. Šis sprendimas įsigalioja nuo 2014 m. lapkričio 1 d.</w:t>
              </w:r>
            </w:p>
          </w:sdtContent>
        </w:sdt>
        <w:sdt>
          <w:sdtPr>
            <w:alias w:val="signatura"/>
            <w:tag w:val="part_a8e0a4fdb3f841dbb62410e3b87dfc58"/>
            <w:lock w:val="sdtLocked"/>
            <w:richText/>
          </w:sdtPr>
          <w:sdtContent>
            <w:p>
              <w:pPr>
                <w:jc w:val="both"/>
              </w:pPr>
            </w:p>
            <w:p>
              <w:pPr>
                <w:jc w:val="both"/>
              </w:pPr>
            </w:p>
            <w:p>
              <w:pPr>
                <w:jc w:val="both"/>
              </w:pPr>
            </w:p>
            <w:p>
              <w:pPr>
                <w:jc w:val="both"/>
              </w:pPr>
            </w:p>
            <w:p>
              <w:pPr>
                <w:jc w:val="both"/>
                <w:rPr>
                  <w:szCs w:val="24"/>
                </w:rPr>
              </w:pPr>
              <w:r>
                <w:rPr>
                  <w:szCs w:val="24"/>
                </w:rPr>
                <w:t>Savivaldybės meras</w:t>
                <w:tab/>
                <w:tab/>
                <w:tab/>
                <w:tab/>
                <w:tab/>
                <w:tab/>
                <w:tab/>
                <w:tab/>
                <w:tab/>
                <w:t xml:space="preserve">         Darius Brazys</w:t>
              </w:r>
            </w:p>
          </w:sdtContent>
        </w:sdt>
      </w:sdtContent>
    </w:sdt>
    <w:sdt>
      <w:sdtPr>
        <w:alias w:val="patvirtinta"/>
        <w:tag w:val="part_0685820e4e8a41f8ae4a1e47b0cd834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Patvirtinta.</w:t>
          </w:r>
          <w:r>
            <w:rPr>
              <w:rFonts w:ascii="Times New Roman" w:eastAsia="MS Mincho" w:hAnsi="Times New Roman"/>
              <w:sz w:val="20"/>
              <w:i/>
              <w:iCs/>
            </w:rPr>
            <w:t xml:space="preserve"> Neteko galios nuo 2017-07-01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c9b4e05a6811e7846ef01bfffb9b64">
            <w:r w:rsidRPr="00532B9F">
              <w:rPr>
                <w:rFonts w:ascii="Times New Roman" w:eastAsia="MS Mincho" w:hAnsi="Times New Roman"/>
                <w:sz w:val="20"/>
                <w:i/>
                <w:iCs/>
                <w:color w:val="0000FF" w:themeColor="hyperlink"/>
                <w:u w:val="single"/>
              </w:rPr>
              <w:t>T-596</w:t>
            </w:r>
          </w:fldSimple>
          <w:r>
            <w:rPr>
              <w:rFonts w:ascii="Times New Roman" w:eastAsia="MS Mincho" w:hAnsi="Times New Roman"/>
              <w:sz w:val="20"/>
              <w:i/>
              <w:iCs/>
            </w:rPr>
            <w:t>,
2017-06-22,
paskelbta TAR 2017-06-26, i. k. 2017-10757        </w:t>
          </w:r>
        </w:p>
        <w:p/>
      </w:sdtContent>
    </w:sdt>
    <w:sdt>
      <w:sdtPr>
        <w:alias w:val="patvirtinta"/>
        <w:tag w:val="part_9baca047338446c08916c7e53be0a1e9"/>
        <w:lock w:val="sdtLocked"/>
        <w:richText/>
      </w:sdtPr>
      <w:sdtContent>
        <w:p>
          <w:pPr>
            <w:ind w:left="5103" w:hanging="1"/>
            <w:rPr>
              <w:szCs w:val="24"/>
            </w:rPr>
          </w:pPr>
          <w:r>
            <w:rPr>
              <w:szCs w:val="24"/>
            </w:rPr>
            <w:br w:type="page"/>
            <w:t>PATVIRTINTA</w:t>
          </w:r>
        </w:p>
        <w:p>
          <w:pPr>
            <w:ind w:left="5102"/>
            <w:jc w:val="both"/>
            <w:rPr>
              <w:szCs w:val="24"/>
            </w:rPr>
          </w:pPr>
          <w:r>
            <w:rPr>
              <w:szCs w:val="24"/>
            </w:rPr>
            <w:t>Radviliškio rajono savivaldybės tarybos</w:t>
          </w:r>
        </w:p>
        <w:p>
          <w:pPr>
            <w:ind w:left="5102"/>
            <w:jc w:val="both"/>
            <w:rPr>
              <w:szCs w:val="24"/>
            </w:rPr>
          </w:pPr>
          <w:r>
            <w:rPr>
              <w:szCs w:val="24"/>
            </w:rPr>
            <w:t xml:space="preserve">2014  m. spalio 9 d. sprendimu Nr. T-825</w:t>
          </w:r>
        </w:p>
        <w:p>
          <w:pPr>
            <w:rPr>
              <w:b/>
              <w:szCs w:val="24"/>
            </w:rPr>
          </w:pPr>
        </w:p>
        <w:p>
          <w:pPr>
            <w:jc w:val="center"/>
            <w:rPr>
              <w:b/>
              <w:bCs/>
              <w:caps/>
              <w:szCs w:val="24"/>
              <w:lang w:val="en-US"/>
            </w:rPr>
          </w:pPr>
          <w:sdt>
            <w:sdtPr>
              <w:alias w:val="Pavadinimas"/>
              <w:tag w:val="title_9baca047338446c08916c7e53be0a1e9"/>
              <w:lock w:val="sdtLocked"/>
              <w:richText/>
            </w:sdtPr>
            <w:sdtContent>
              <w:r>
                <w:rPr>
                  <w:b/>
                  <w:bCs/>
                  <w:caps/>
                  <w:szCs w:val="24"/>
                  <w:lang w:val="en-US"/>
                </w:rPr>
                <w:t>DAUGIABUČIŲ NAMŲ TECHNINĖS PRIEŽIŪROS maksimalių TARIFų APSKAIČIAVIMO METODIKA</w:t>
              </w:r>
            </w:sdtContent>
          </w:sdt>
        </w:p>
        <w:p>
          <w:pPr>
            <w:rPr>
              <w:szCs w:val="24"/>
              <w:lang w:val="en-US"/>
            </w:rPr>
          </w:pPr>
        </w:p>
        <w:sdt>
          <w:sdtPr>
            <w:alias w:val="skyrius"/>
            <w:tag w:val="part_328b993a022d4583bb2c3fd6bc5c62f8"/>
            <w:lock w:val="sdtLocked"/>
            <w:richText/>
          </w:sdtPr>
          <w:sdtContent>
            <w:p>
              <w:pPr>
                <w:jc w:val="center"/>
                <w:rPr>
                  <w:b/>
                  <w:bCs/>
                  <w:szCs w:val="24"/>
                  <w:lang w:val="en-US"/>
                </w:rPr>
              </w:pPr>
              <w:sdt>
                <w:sdtPr>
                  <w:alias w:val="Numeris"/>
                  <w:tag w:val="nr_328b993a022d4583bb2c3fd6bc5c62f8"/>
                  <w:lock w:val="sdtLocked"/>
                  <w:richText/>
                </w:sdtPr>
                <w:sdtContent>
                  <w:r>
                    <w:rPr>
                      <w:b/>
                      <w:bCs/>
                      <w:szCs w:val="24"/>
                      <w:lang w:val="en-US"/>
                    </w:rPr>
                    <w:t>I</w:t>
                  </w:r>
                </w:sdtContent>
              </w:sdt>
              <w:r>
                <w:rPr>
                  <w:b/>
                  <w:bCs/>
                  <w:szCs w:val="24"/>
                  <w:lang w:val="en-US"/>
                </w:rPr>
                <w:t xml:space="preserve">. </w:t>
              </w:r>
              <w:sdt>
                <w:sdtPr>
                  <w:alias w:val="Pavadinimas"/>
                  <w:tag w:val="title_328b993a022d4583bb2c3fd6bc5c62f8"/>
                  <w:lock w:val="sdtLocked"/>
                  <w:richText/>
                </w:sdtPr>
                <w:sdtContent>
                  <w:r>
                    <w:rPr>
                      <w:b/>
                      <w:bCs/>
                      <w:szCs w:val="24"/>
                      <w:lang w:val="en-US"/>
                    </w:rPr>
                    <w:t>BENDROSIOS NUOSTATOS</w:t>
                  </w:r>
                </w:sdtContent>
              </w:sdt>
            </w:p>
            <w:p>
              <w:pPr>
                <w:jc w:val="both"/>
                <w:rPr>
                  <w:szCs w:val="24"/>
                  <w:lang w:val="en-US"/>
                </w:rPr>
              </w:pPr>
            </w:p>
            <w:sdt>
              <w:sdtPr>
                <w:alias w:val="1 p."/>
                <w:tag w:val="part_f496318c0abe49f0832de9e0b413221f"/>
                <w:lock w:val="sdtLocked"/>
                <w:richText/>
              </w:sdtPr>
              <w:sdtContent>
                <w:p>
                  <w:pPr>
                    <w:ind w:firstLine="720"/>
                    <w:jc w:val="both"/>
                    <w:rPr>
                      <w:szCs w:val="24"/>
                    </w:rPr>
                  </w:pPr>
                  <w:sdt>
                    <w:sdtPr>
                      <w:alias w:val="Numeris"/>
                      <w:tag w:val="nr_f496318c0abe49f0832de9e0b413221f"/>
                      <w:lock w:val="sdtLocked"/>
                      <w:richText/>
                    </w:sdtPr>
                    <w:sdtContent>
                      <w:r>
                        <w:rPr>
                          <w:szCs w:val="24"/>
                        </w:rPr>
                        <w:t>1</w:t>
                      </w:r>
                    </w:sdtContent>
                  </w:sdt>
                  <w:r>
                    <w:rPr>
                      <w:szCs w:val="24"/>
                    </w:rPr>
                    <w:t xml:space="preserve">. Daugiabučių gyvenamųjų namų (išskyrus jo šildymo ir karšto vandens sistemų, lifto) techninės priežiūros tarifo apskaičiavimo  metodika (toliau – Metodika) reglamentuoja Radviliškio rajono savivaldybės daugiabučių gyvenamųjų namų (išskyrus jo šildymo ir karšto vandens sistemų, lifto) techninės priežiūros tarifų apskaičiavimo šaltinius, subjektus, sąvokas, apskaičiavimo reikalavimus, kai bendrojo naudojimo objektų administravimą vykdo pagal Lietuvos Respublikos civilinio kodekso 4.84 straipsnį Radviliškio rajono savivaldybės administracijos direktoriaus įsakymu paskirti administratoriai.</w:t>
                  </w:r>
                </w:p>
              </w:sdtContent>
            </w:sdt>
            <w:sdt>
              <w:sdtPr>
                <w:alias w:val="2 p."/>
                <w:tag w:val="part_d970f411106945d9a9f2b96a9cba50d3"/>
                <w:lock w:val="sdtLocked"/>
                <w:richText/>
              </w:sdtPr>
              <w:sdtContent>
                <w:p>
                  <w:pPr>
                    <w:ind w:firstLine="720"/>
                    <w:jc w:val="both"/>
                    <w:rPr>
                      <w:szCs w:val="24"/>
                    </w:rPr>
                  </w:pPr>
                  <w:sdt>
                    <w:sdtPr>
                      <w:alias w:val="Numeris"/>
                      <w:tag w:val="nr_d970f411106945d9a9f2b96a9cba50d3"/>
                      <w:lock w:val="sdtLocked"/>
                      <w:richText/>
                    </w:sdtPr>
                    <w:sdtContent>
                      <w:r>
                        <w:rPr>
                          <w:szCs w:val="24"/>
                        </w:rPr>
                        <w:t>2</w:t>
                      </w:r>
                    </w:sdtContent>
                  </w:sdt>
                  <w:r>
                    <w:rPr>
                      <w:szCs w:val="24"/>
                    </w:rPr>
                    <w:t>. Metodika taikoma daugiabučių gyvenamųjų namų butų ir kitų patalpų savininkams ir daugiabučių namų bendrojo naudojimo objektų administratoriams.</w:t>
                  </w:r>
                </w:p>
              </w:sdtContent>
            </w:sdt>
            <w:sdt>
              <w:sdtPr>
                <w:alias w:val="3 p."/>
                <w:tag w:val="part_8575c029cbf6405e8f53228a4ec4bb9b"/>
                <w:lock w:val="sdtLocked"/>
                <w:richText/>
              </w:sdtPr>
              <w:sdtContent>
                <w:p>
                  <w:pPr>
                    <w:ind w:firstLine="720"/>
                    <w:jc w:val="both"/>
                    <w:rPr>
                      <w:szCs w:val="24"/>
                    </w:rPr>
                  </w:pPr>
                  <w:sdt>
                    <w:sdtPr>
                      <w:alias w:val="Numeris"/>
                      <w:tag w:val="nr_8575c029cbf6405e8f53228a4ec4bb9b"/>
                      <w:lock w:val="sdtLocked"/>
                      <w:richText/>
                    </w:sdtPr>
                    <w:sdtContent>
                      <w:r>
                        <w:rPr>
                          <w:szCs w:val="24"/>
                        </w:rPr>
                        <w:t>3</w:t>
                      </w:r>
                    </w:sdtContent>
                  </w:sdt>
                  <w:r>
                    <w:rPr>
                      <w:szCs w:val="24"/>
                    </w:rPr>
                    <w:t xml:space="preserve">. Daugiabučių gyvenamųjų namų  naudojimas ir techninė priežiūra vykdomi Statybos techninių reglamentų bei kitų techninę priežiūrą reglamentuojančių teisės aktų nustatyta tvarka.</w:t>
                  </w:r>
                </w:p>
              </w:sdtContent>
            </w:sdt>
            <w:sdt>
              <w:sdtPr>
                <w:alias w:val="4 p."/>
                <w:tag w:val="part_77b4adda357c4aa1ad83f8f9a227b6f5"/>
                <w:lock w:val="sdtLocked"/>
                <w:richText/>
              </w:sdtPr>
              <w:sdtContent>
                <w:p>
                  <w:pPr>
                    <w:ind w:left="27" w:firstLine="693"/>
                    <w:jc w:val="both"/>
                    <w:rPr>
                      <w:b/>
                      <w:bCs/>
                      <w:szCs w:val="24"/>
                    </w:rPr>
                  </w:pPr>
                  <w:sdt>
                    <w:sdtPr>
                      <w:alias w:val="Numeris"/>
                      <w:tag w:val="nr_77b4adda357c4aa1ad83f8f9a227b6f5"/>
                      <w:lock w:val="sdtLocked"/>
                      <w:richText/>
                    </w:sdtPr>
                    <w:sdtContent>
                      <w:r>
                        <w:rPr>
                          <w:szCs w:val="24"/>
                        </w:rPr>
                        <w:t>4</w:t>
                      </w:r>
                    </w:sdtContent>
                  </w:sdt>
                  <w:r>
                    <w:rPr>
                      <w:szCs w:val="24"/>
                    </w:rPr>
                    <w:t>.</w:t>
                  </w:r>
                  <w:r>
                    <w:rPr>
                      <w:color w:val="FF0000"/>
                      <w:szCs w:val="24"/>
                    </w:rPr>
                    <w:t xml:space="preserve"> </w:t>
                  </w:r>
                  <w:r>
                    <w:rPr>
                      <w:szCs w:val="24"/>
                    </w:rPr>
                    <w:t>Šios Metodikos rekomenduojama laikytis daugiabučių namų savininkų bendrijoms ir jungtinės veiklos sutarties įgaliotiems asmenims.</w:t>
                  </w:r>
                  <w:r>
                    <w:rPr>
                      <w:b/>
                      <w:bCs/>
                      <w:szCs w:val="24"/>
                    </w:rPr>
                    <w:tab/>
                  </w:r>
                </w:p>
              </w:sdtContent>
            </w:sdt>
            <w:sdt>
              <w:sdtPr>
                <w:alias w:val="5 p."/>
                <w:tag w:val="part_1945ad61b66f4b93b30a059776af78d5"/>
                <w:lock w:val="sdtLocked"/>
                <w:richText/>
              </w:sdtPr>
              <w:sdtContent>
                <w:p>
                  <w:pPr>
                    <w:ind w:firstLine="720"/>
                    <w:jc w:val="both"/>
                    <w:rPr>
                      <w:szCs w:val="24"/>
                    </w:rPr>
                  </w:pPr>
                  <w:sdt>
                    <w:sdtPr>
                      <w:alias w:val="Numeris"/>
                      <w:tag w:val="nr_1945ad61b66f4b93b30a059776af78d5"/>
                      <w:lock w:val="sdtLocked"/>
                      <w:richText/>
                    </w:sdtPr>
                    <w:sdtContent>
                      <w:r>
                        <w:rPr>
                          <w:szCs w:val="24"/>
                        </w:rPr>
                        <w:t>5</w:t>
                      </w:r>
                    </w:sdtContent>
                  </w:sdt>
                  <w:r>
                    <w:rPr>
                      <w:szCs w:val="24"/>
                    </w:rPr>
                    <w:t xml:space="preserve">. </w:t>
                  </w:r>
                  <w:r>
                    <w:rPr>
                      <w:b/>
                      <w:szCs w:val="24"/>
                    </w:rPr>
                    <w:t xml:space="preserve">  </w:t>
                  </w:r>
                  <w:r>
                    <w:rPr>
                      <w:szCs w:val="24"/>
                    </w:rPr>
                    <w:t>Metodika parengta vadovaujantis šiais teisės aktais:</w:t>
                  </w:r>
                </w:p>
                <w:sdt>
                  <w:sdtPr>
                    <w:alias w:val="5.1 p."/>
                    <w:tag w:val="part_e9cc9f45f8f44391803cd9f43a2c3abe"/>
                    <w:lock w:val="sdtLocked"/>
                    <w:richText/>
                  </w:sdtPr>
                  <w:sdtContent>
                    <w:p>
                      <w:pPr>
                        <w:ind w:firstLine="720"/>
                        <w:jc w:val="both"/>
                        <w:rPr>
                          <w:szCs w:val="24"/>
                        </w:rPr>
                      </w:pPr>
                      <w:sdt>
                        <w:sdtPr>
                          <w:alias w:val="Numeris"/>
                          <w:tag w:val="nr_e9cc9f45f8f44391803cd9f43a2c3abe"/>
                          <w:lock w:val="sdtLocked"/>
                          <w:richText/>
                        </w:sdtPr>
                        <w:sdtContent>
                          <w:r>
                            <w:rPr>
                              <w:szCs w:val="24"/>
                            </w:rPr>
                            <w:t>5.1</w:t>
                          </w:r>
                        </w:sdtContent>
                      </w:sdt>
                      <w:r>
                        <w:rPr>
                          <w:szCs w:val="24"/>
                        </w:rPr>
                        <w:t>. Lietuvos Respublikos civiliniu kodeksu;</w:t>
                      </w:r>
                    </w:p>
                  </w:sdtContent>
                </w:sdt>
                <w:sdt>
                  <w:sdtPr>
                    <w:alias w:val="5.2 p."/>
                    <w:tag w:val="part_efe1bbcfd0794f86a556418da8401d04"/>
                    <w:lock w:val="sdtLocked"/>
                    <w:richText/>
                  </w:sdtPr>
                  <w:sdtContent>
                    <w:p>
                      <w:pPr>
                        <w:ind w:firstLine="720"/>
                        <w:jc w:val="both"/>
                        <w:rPr>
                          <w:szCs w:val="24"/>
                        </w:rPr>
                      </w:pPr>
                      <w:sdt>
                        <w:sdtPr>
                          <w:alias w:val="Numeris"/>
                          <w:tag w:val="nr_efe1bbcfd0794f86a556418da8401d04"/>
                          <w:lock w:val="sdtLocked"/>
                          <w:richText/>
                        </w:sdtPr>
                        <w:sdtContent>
                          <w:r>
                            <w:rPr>
                              <w:szCs w:val="24"/>
                            </w:rPr>
                            <w:t>5.2</w:t>
                          </w:r>
                        </w:sdtContent>
                      </w:sdt>
                      <w:r>
                        <w:rPr>
                          <w:szCs w:val="24"/>
                        </w:rPr>
                        <w:t>. Lietuvos Respublikos statybos įstatymu;</w:t>
                      </w:r>
                    </w:p>
                  </w:sdtContent>
                </w:sdt>
                <w:sdt>
                  <w:sdtPr>
                    <w:alias w:val="5.3 p."/>
                    <w:tag w:val="part_828cfe3b21a14573a3c57cdc2b9b1dba"/>
                    <w:lock w:val="sdtLocked"/>
                    <w:richText/>
                  </w:sdtPr>
                  <w:sdtContent>
                    <w:p>
                      <w:pPr>
                        <w:ind w:firstLine="720"/>
                        <w:jc w:val="both"/>
                        <w:rPr>
                          <w:szCs w:val="24"/>
                        </w:rPr>
                      </w:pPr>
                      <w:sdt>
                        <w:sdtPr>
                          <w:alias w:val="Numeris"/>
                          <w:tag w:val="nr_828cfe3b21a14573a3c57cdc2b9b1dba"/>
                          <w:lock w:val="sdtLocked"/>
                          <w:richText/>
                        </w:sdtPr>
                        <w:sdtContent>
                          <w:r>
                            <w:rPr>
                              <w:szCs w:val="24"/>
                            </w:rPr>
                            <w:t>5.3</w:t>
                          </w:r>
                        </w:sdtContent>
                      </w:sdt>
                      <w:r>
                        <w:rPr>
                          <w:szCs w:val="24"/>
                        </w:rPr>
                        <w:t>. Lietuvos Respublikos daugiabučių namų savininkų bendrijų įstatymu;</w:t>
                      </w:r>
                    </w:p>
                  </w:sdtContent>
                </w:sdt>
                <w:sdt>
                  <w:sdtPr>
                    <w:alias w:val="5.4 p."/>
                    <w:tag w:val="part_25e8759ea21544008bde482e1cbd4cc7"/>
                    <w:lock w:val="sdtLocked"/>
                    <w:richText/>
                  </w:sdtPr>
                  <w:sdtContent>
                    <w:p>
                      <w:pPr>
                        <w:tabs>
                          <w:tab w:val="left" w:pos="709"/>
                          <w:tab w:val="left" w:pos="1260"/>
                        </w:tabs>
                        <w:ind w:left="709"/>
                        <w:contextualSpacing/>
                        <w:jc w:val="both"/>
                        <w:rPr>
                          <w:rFonts w:eastAsia="Calibri"/>
                          <w:szCs w:val="24"/>
                        </w:rPr>
                      </w:pPr>
                      <w:sdt>
                        <w:sdtPr>
                          <w:alias w:val="Numeris"/>
                          <w:tag w:val="nr_25e8759ea21544008bde482e1cbd4cc7"/>
                          <w:lock w:val="sdtLocked"/>
                          <w:richText/>
                        </w:sdtPr>
                        <w:sdtContent>
                          <w:r>
                            <w:rPr>
                              <w:szCs w:val="24"/>
                            </w:rPr>
                            <w:t>5.4</w:t>
                          </w:r>
                        </w:sdtContent>
                      </w:sdt>
                      <w:r>
                        <w:rPr>
                          <w:szCs w:val="24"/>
                        </w:rPr>
                        <w:t>. statybos techniniu reglamentu STR 1.12.05:2010</w:t>
                      </w:r>
                      <w:r>
                        <w:rPr>
                          <w:rFonts w:eastAsia="Calibri"/>
                          <w:szCs w:val="24"/>
                        </w:rPr>
                        <w:t xml:space="preserve"> „</w:t>
                      </w:r>
                      <w:r>
                        <w:rPr>
                          <w:szCs w:val="24"/>
                        </w:rPr>
                        <w:t>Privalomieji statinių (g</w:t>
                      </w:r>
                      <w:r>
                        <w:rPr>
                          <w:rFonts w:eastAsia="Calibri"/>
                          <w:szCs w:val="24"/>
                        </w:rPr>
                        <w:t>yvenamųjų namų</w:t>
                      </w:r>
                      <w:r>
                        <w:rPr>
                          <w:szCs w:val="24"/>
                        </w:rPr>
                        <w:t>)</w:t>
                      </w:r>
                      <w:r>
                        <w:rPr>
                          <w:rFonts w:eastAsia="Calibri"/>
                          <w:szCs w:val="24"/>
                        </w:rPr>
                        <w:t xml:space="preserve"> naudojimo ir priežiūros reikalavimai“, patvirtintu Aplinkos ministro 2002 m. liepos 1 d. įsakymu Nr. 351.</w:t>
                      </w:r>
                    </w:p>
                  </w:sdtContent>
                </w:sdt>
                <w:sdt>
                  <w:sdtPr>
                    <w:alias w:val="5.5 p."/>
                    <w:tag w:val="part_6c779571ab564e37b33cb6df6b6f258f"/>
                    <w:lock w:val="sdtLocked"/>
                    <w:richText/>
                  </w:sdtPr>
                  <w:sdtContent>
                    <w:p>
                      <w:pPr>
                        <w:ind w:left="27" w:firstLine="682"/>
                        <w:jc w:val="both"/>
                        <w:rPr>
                          <w:szCs w:val="24"/>
                        </w:rPr>
                      </w:pPr>
                      <w:sdt>
                        <w:sdtPr>
                          <w:alias w:val="Numeris"/>
                          <w:tag w:val="nr_6c779571ab564e37b33cb6df6b6f258f"/>
                          <w:lock w:val="sdtLocked"/>
                          <w:richText/>
                        </w:sdtPr>
                        <w:sdtContent>
                          <w:r>
                            <w:rPr>
                              <w:szCs w:val="24"/>
                            </w:rPr>
                            <w:t>5.5</w:t>
                          </w:r>
                        </w:sdtContent>
                      </w:sdt>
                      <w:r>
                        <w:rPr>
                          <w:szCs w:val="24"/>
                        </w:rPr>
                        <w:t>. statybos techniniu reglamentu STR 1.01.09:2003 „Statinių klasifikavimas pagal jų naudojimo paskirtį“, patvirtintu Lietuvos Respublikos aplinkos ministro 2003 m. birželio 11 d. įsakymu Nr. 289</w:t>
                      </w:r>
                    </w:p>
                  </w:sdtContent>
                </w:sdt>
                <w:sdt>
                  <w:sdtPr>
                    <w:alias w:val="5.6 p."/>
                    <w:tag w:val="part_80d9ec872dd549eb9dfa04eb42f45c48"/>
                    <w:lock w:val="sdtLocked"/>
                    <w:richText/>
                  </w:sdtPr>
                  <w:sdtContent>
                    <w:p>
                      <w:pPr>
                        <w:ind w:left="27" w:firstLine="682"/>
                        <w:jc w:val="both"/>
                        <w:rPr>
                          <w:szCs w:val="24"/>
                        </w:rPr>
                      </w:pPr>
                      <w:sdt>
                        <w:sdtPr>
                          <w:alias w:val="Numeris"/>
                          <w:tag w:val="nr_80d9ec872dd549eb9dfa04eb42f45c48"/>
                          <w:lock w:val="sdtLocked"/>
                          <w:richText/>
                        </w:sdtPr>
                        <w:sdtContent>
                          <w:r>
                            <w:rPr>
                              <w:szCs w:val="24"/>
                            </w:rPr>
                            <w:t>5.6</w:t>
                          </w:r>
                        </w:sdtContent>
                      </w:sdt>
                      <w:r>
                        <w:rPr>
                          <w:szCs w:val="24"/>
                        </w:rPr>
                        <w:t>. statybos techniniu reglamentu STR 2.02.01:2004 „Gyvenamieji pastatai“, patvirtintu Lietuvos Respublikos aplinkos ministro 2003 m. gruodžio 24 d. įsakymu Nr. 705</w:t>
                      </w:r>
                    </w:p>
                  </w:sdtContent>
                </w:sdt>
                <w:sdt>
                  <w:sdtPr>
                    <w:alias w:val="5.7 p."/>
                    <w:tag w:val="part_4805e085e3b14c5e9271bca7b644c8f0"/>
                    <w:lock w:val="sdtLocked"/>
                    <w:richText/>
                  </w:sdtPr>
                  <w:sdtContent>
                    <w:p>
                      <w:pPr>
                        <w:ind w:left="27" w:firstLine="682"/>
                        <w:jc w:val="both"/>
                        <w:rPr>
                          <w:szCs w:val="24"/>
                        </w:rPr>
                      </w:pPr>
                      <w:sdt>
                        <w:sdtPr>
                          <w:alias w:val="Numeris"/>
                          <w:tag w:val="nr_4805e085e3b14c5e9271bca7b644c8f0"/>
                          <w:lock w:val="sdtLocked"/>
                          <w:richText/>
                        </w:sdtPr>
                        <w:sdtContent>
                          <w:r>
                            <w:rPr>
                              <w:szCs w:val="24"/>
                            </w:rPr>
                            <w:t>5.7</w:t>
                          </w:r>
                        </w:sdtContent>
                      </w:sdt>
                      <w:r>
                        <w:rPr>
                          <w:szCs w:val="24"/>
                        </w:rPr>
                        <w:t>. Butų ir kitų patalpų savininkų bendrosios nuosavybės administravimo pavyzdiniais nuostatais, patvirtintais Lietuvos Respublikos Vyriausybės 2001 m. gegužės 23 d. nutarimu Nr. 603.</w:t>
                      </w:r>
                    </w:p>
                    <w:p>
                      <w:pPr>
                        <w:ind w:left="27" w:hanging="14"/>
                        <w:jc w:val="both"/>
                        <w:rPr>
                          <w:b/>
                          <w:bCs/>
                          <w:szCs w:val="24"/>
                        </w:rPr>
                      </w:pPr>
                    </w:p>
                  </w:sdtContent>
                </w:sdt>
              </w:sdtContent>
            </w:sdt>
          </w:sdtContent>
        </w:sdt>
        <w:sdt>
          <w:sdtPr>
            <w:alias w:val="skyrius"/>
            <w:tag w:val="part_78d5f39b105d44dd9669f3c00a123a3b"/>
            <w:lock w:val="sdtLocked"/>
            <w:richText/>
          </w:sdtPr>
          <w:sdtContent>
            <w:p>
              <w:pPr>
                <w:ind w:left="27" w:hanging="14"/>
                <w:jc w:val="center"/>
                <w:rPr>
                  <w:b/>
                  <w:bCs/>
                  <w:szCs w:val="24"/>
                </w:rPr>
              </w:pPr>
              <w:sdt>
                <w:sdtPr>
                  <w:alias w:val="Numeris"/>
                  <w:tag w:val="nr_78d5f39b105d44dd9669f3c00a123a3b"/>
                  <w:lock w:val="sdtLocked"/>
                  <w:richText/>
                </w:sdtPr>
                <w:sdtContent>
                  <w:r>
                    <w:rPr>
                      <w:b/>
                      <w:bCs/>
                      <w:szCs w:val="24"/>
                    </w:rPr>
                    <w:t>II</w:t>
                  </w:r>
                </w:sdtContent>
              </w:sdt>
              <w:r>
                <w:rPr>
                  <w:b/>
                  <w:bCs/>
                  <w:szCs w:val="24"/>
                </w:rPr>
                <w:t xml:space="preserve">. </w:t>
              </w:r>
              <w:sdt>
                <w:sdtPr>
                  <w:alias w:val="Pavadinimas"/>
                  <w:tag w:val="title_78d5f39b105d44dd9669f3c00a123a3b"/>
                  <w:lock w:val="sdtLocked"/>
                  <w:richText/>
                </w:sdtPr>
                <w:sdtContent>
                  <w:r>
                    <w:rPr>
                      <w:b/>
                      <w:bCs/>
                      <w:szCs w:val="24"/>
                    </w:rPr>
                    <w:t>PAGRINDINĖS SĄVOKOS</w:t>
                  </w:r>
                </w:sdtContent>
              </w:sdt>
            </w:p>
            <w:p>
              <w:pPr>
                <w:jc w:val="both"/>
                <w:rPr>
                  <w:szCs w:val="24"/>
                </w:rPr>
              </w:pPr>
            </w:p>
            <w:sdt>
              <w:sdtPr>
                <w:alias w:val="6 p."/>
                <w:tag w:val="part_c09d8eddf51844f8b5979dfb3ac71945"/>
                <w:lock w:val="sdtLocked"/>
                <w:richText/>
              </w:sdtPr>
              <w:sdtContent>
                <w:p>
                  <w:pPr>
                    <w:shd w:val="clear" w:color="auto" w:fill="FFFFFF"/>
                    <w:ind w:firstLine="720"/>
                    <w:jc w:val="both"/>
                    <w:rPr>
                      <w:szCs w:val="24"/>
                    </w:rPr>
                  </w:pPr>
                  <w:sdt>
                    <w:sdtPr>
                      <w:alias w:val="Numeris"/>
                      <w:tag w:val="nr_c09d8eddf51844f8b5979dfb3ac71945"/>
                      <w:lock w:val="sdtLocked"/>
                      <w:richText/>
                    </w:sdtPr>
                    <w:sdtContent>
                      <w:r>
                        <w:rPr>
                          <w:szCs w:val="24"/>
                        </w:rPr>
                        <w:t>6</w:t>
                      </w:r>
                    </w:sdtContent>
                  </w:sdt>
                  <w:r>
                    <w:rPr>
                      <w:szCs w:val="24"/>
                    </w:rPr>
                    <w:t xml:space="preserve">. </w:t>
                  </w:r>
                  <w:r>
                    <w:rPr>
                      <w:b/>
                      <w:szCs w:val="24"/>
                    </w:rPr>
                    <w:t xml:space="preserve">Daugiabučio namo techninė priežiūra - </w:t>
                  </w:r>
                  <w:r>
                    <w:rPr>
                      <w:szCs w:val="24"/>
                    </w:rPr>
                    <w:t xml:space="preserve">atitinka Lietuvos Respublikos statybos įstatyme vartojamą sąvoką  „statinio techninė priežiūra“.</w:t>
                    <w:tab/>
                  </w:r>
                </w:p>
              </w:sdtContent>
            </w:sdt>
            <w:sdt>
              <w:sdtPr>
                <w:alias w:val="7 p."/>
                <w:tag w:val="part_c27332108a2343d5815582b7f16023e8"/>
                <w:lock w:val="sdtLocked"/>
                <w:richText/>
              </w:sdtPr>
              <w:sdtContent>
                <w:p>
                  <w:pPr>
                    <w:ind w:firstLine="720"/>
                    <w:jc w:val="both"/>
                    <w:rPr>
                      <w:rFonts w:cs="Tahoma"/>
                      <w:szCs w:val="24"/>
                      <w:lang w:eastAsia="lt-LT" w:bidi="lt-LT"/>
                    </w:rPr>
                  </w:pPr>
                  <w:sdt>
                    <w:sdtPr>
                      <w:alias w:val="Numeris"/>
                      <w:tag w:val="nr_c27332108a2343d5815582b7f16023e8"/>
                      <w:lock w:val="sdtLocked"/>
                      <w:richText/>
                    </w:sdtPr>
                    <w:sdtContent>
                      <w:r>
                        <w:rPr>
                          <w:szCs w:val="24"/>
                        </w:rPr>
                        <w:t>7</w:t>
                      </w:r>
                    </w:sdtContent>
                  </w:sdt>
                  <w:r>
                    <w:rPr>
                      <w:szCs w:val="24"/>
                    </w:rPr>
                    <w:t xml:space="preserve">. </w:t>
                  </w:r>
                  <w:r>
                    <w:rPr>
                      <w:b/>
                      <w:szCs w:val="24"/>
                    </w:rPr>
                    <w:t>Privalomieji statinių (g</w:t>
                  </w:r>
                  <w:r>
                    <w:rPr>
                      <w:rFonts w:cs="Tahoma"/>
                      <w:b/>
                      <w:szCs w:val="24"/>
                      <w:lang w:eastAsia="lt-LT" w:bidi="lt-LT"/>
                    </w:rPr>
                    <w:t xml:space="preserve">yvenamųjų namų) naudojimo ir priežiūros reikalavimai </w:t>
                  </w:r>
                  <w:r>
                    <w:rPr>
                      <w:rFonts w:cs="Tahoma"/>
                      <w:szCs w:val="24"/>
                      <w:lang w:eastAsia="lt-LT" w:bidi="lt-LT"/>
                    </w:rPr>
                    <w:t>(toliau – privalomieji reikalavimai) – Lietuvos Respublikos įstatymuose, Lietuvos Respublikos Vyriausybės ar jos įgaliotų institucijų patvirtintuose norminiuose</w:t>
                  </w:r>
                  <w:r>
                    <w:rPr>
                      <w:rFonts w:cs="Tahoma"/>
                      <w:color w:val="FF0000"/>
                      <w:szCs w:val="24"/>
                      <w:lang w:eastAsia="lt-LT" w:bidi="lt-LT"/>
                    </w:rPr>
                    <w:t xml:space="preserve"> </w:t>
                  </w:r>
                  <w:r>
                    <w:rPr>
                      <w:rFonts w:cs="Tahoma"/>
                      <w:szCs w:val="24"/>
                      <w:lang w:eastAsia="lt-LT" w:bidi="lt-LT"/>
                    </w:rPr>
                    <w:t>teisės aktuose</w:t>
                  </w:r>
                  <w:r>
                    <w:rPr>
                      <w:rFonts w:cs="Tahoma"/>
                      <w:color w:val="FF0000"/>
                      <w:szCs w:val="24"/>
                      <w:lang w:eastAsia="lt-LT" w:bidi="lt-LT"/>
                    </w:rPr>
                    <w:t xml:space="preserve"> </w:t>
                  </w:r>
                  <w:r>
                    <w:rPr>
                      <w:rFonts w:cs="Tahoma"/>
                      <w:szCs w:val="24"/>
                      <w:lang w:eastAsia="lt-LT" w:bidi="lt-LT"/>
                    </w:rPr>
                    <w:t xml:space="preserve">(statybos techniniuose reglamentuose, statinių naudojimo ir priežiūros taisyklėse, kituose teisės aktuose) nustatyti pastato mechaninio atsparumo ir pastovumo, gaisrinės saugos, higienos, sveikatos ir aplinkos apsaugos, saugaus naudojimo, apsaugos nuo triukšmo, energijos taupymo ir šilumos išsaugojimo, kiti pastato, jo inžinerinių sistemų naudojimo ir priežiūros reikalavimai. </w:t>
                  </w:r>
                </w:p>
              </w:sdtContent>
            </w:sdt>
            <w:sdt>
              <w:sdtPr>
                <w:alias w:val="8 p."/>
                <w:tag w:val="part_6a50517722eb4e7bb3065f225a4257fa"/>
                <w:lock w:val="sdtLocked"/>
                <w:richText/>
              </w:sdtPr>
              <w:sdtContent>
                <w:p>
                  <w:pPr>
                    <w:ind w:firstLine="720"/>
                    <w:jc w:val="both"/>
                    <w:rPr>
                      <w:rFonts w:cs="Tahoma"/>
                      <w:szCs w:val="24"/>
                      <w:lang w:eastAsia="lt-LT" w:bidi="lt-LT"/>
                    </w:rPr>
                  </w:pPr>
                  <w:sdt>
                    <w:sdtPr>
                      <w:alias w:val="Numeris"/>
                      <w:tag w:val="nr_6a50517722eb4e7bb3065f225a4257fa"/>
                      <w:lock w:val="sdtLocked"/>
                      <w:richText/>
                    </w:sdtPr>
                    <w:sdtContent>
                      <w:r>
                        <w:rPr>
                          <w:rFonts w:cs="Tahoma"/>
                          <w:szCs w:val="24"/>
                          <w:lang w:eastAsia="lt-LT" w:bidi="lt-LT"/>
                        </w:rPr>
                        <w:t>8</w:t>
                      </w:r>
                    </w:sdtContent>
                  </w:sdt>
                  <w:r>
                    <w:rPr>
                      <w:rFonts w:cs="Tahoma"/>
                      <w:szCs w:val="24"/>
                      <w:lang w:eastAsia="lt-LT" w:bidi="lt-LT"/>
                    </w:rPr>
                    <w:t xml:space="preserve">.  </w:t>
                  </w:r>
                  <w:r>
                    <w:rPr>
                      <w:rFonts w:cs="Tahoma"/>
                      <w:b/>
                      <w:szCs w:val="24"/>
                      <w:lang w:eastAsia="lt-LT" w:bidi="lt-LT"/>
                    </w:rPr>
                    <w:t xml:space="preserve">Baziniai (skaičiuojamieji) techninės priežiūros tarifai </w:t>
                  </w:r>
                  <w:r>
                    <w:rPr>
                      <w:rFonts w:cs="Tahoma"/>
                      <w:szCs w:val="24"/>
                      <w:lang w:eastAsia="lt-LT" w:bidi="lt-LT"/>
                    </w:rPr>
                    <w:t>– darbo, medžiagų ir mechanizmų sąnaudų statyboje pagrindu nustatytas bazinio namo bendrojo naudojimo objektų nuolatinės techninės priežiūros mėnesinio mokesčio dydis be PVM už vieną kvadratinį metrą. Baziniai (skaičiuojamieji) techninės priežiūros tarifai apskaičiuoti ir nustatyti atsižvelgiant į UAB „Sistela“ parengtas rekomendacijas</w:t>
                  </w:r>
                  <w:r>
                    <w:rPr>
                      <w:rFonts w:cs="Tahoma"/>
                      <w:color w:val="FF0000"/>
                      <w:szCs w:val="24"/>
                      <w:lang w:eastAsia="lt-LT" w:bidi="lt-LT"/>
                    </w:rPr>
                    <w:t xml:space="preserve"> </w:t>
                  </w:r>
                  <w:r>
                    <w:rPr>
                      <w:rFonts w:cs="Tahoma"/>
                      <w:szCs w:val="24"/>
                      <w:lang w:eastAsia="lt-LT" w:bidi="lt-LT"/>
                    </w:rPr>
                    <w:t>dėl daugiabučių gyvenamųjų namų administravimo ir priežiūros mokesčio tarifų apskaičiavimų pagal 2013 m. spalio mėn. statinių statybos skaičiuojamąsias kainas.</w:t>
                  </w:r>
                </w:p>
              </w:sdtContent>
            </w:sdt>
            <w:sdt>
              <w:sdtPr>
                <w:alias w:val="9 p."/>
                <w:tag w:val="part_3405624f2cc94699819e48059b30ac83"/>
                <w:lock w:val="sdtLocked"/>
                <w:richText/>
              </w:sdtPr>
              <w:sdtContent>
                <w:p>
                  <w:pPr>
                    <w:ind w:firstLine="720"/>
                    <w:jc w:val="both"/>
                    <w:rPr>
                      <w:rFonts w:cs="Tahoma"/>
                      <w:szCs w:val="24"/>
                      <w:lang w:eastAsia="lt-LT" w:bidi="lt-LT"/>
                    </w:rPr>
                  </w:pPr>
                  <w:sdt>
                    <w:sdtPr>
                      <w:alias w:val="Numeris"/>
                      <w:tag w:val="nr_3405624f2cc94699819e48059b30ac83"/>
                      <w:lock w:val="sdtLocked"/>
                      <w:richText/>
                    </w:sdtPr>
                    <w:sdtContent>
                      <w:r>
                        <w:rPr>
                          <w:szCs w:val="24"/>
                        </w:rPr>
                        <w:t>9</w:t>
                      </w:r>
                    </w:sdtContent>
                  </w:sdt>
                  <w:r>
                    <w:rPr>
                      <w:szCs w:val="24"/>
                    </w:rPr>
                    <w:t xml:space="preserve">. </w:t>
                  </w:r>
                  <w:r>
                    <w:rPr>
                      <w:b/>
                      <w:szCs w:val="24"/>
                    </w:rPr>
                    <w:t>Namo techninės priežiūros tarifas</w:t>
                  </w:r>
                  <w:r>
                    <w:rPr>
                      <w:szCs w:val="24"/>
                    </w:rPr>
                    <w:t xml:space="preserve"> – administratoriaus apskaičiuotas konkretaus namo bendrojo naudojimo objektų </w:t>
                  </w:r>
                  <w:r>
                    <w:rPr>
                      <w:rFonts w:cs="Tahoma"/>
                      <w:szCs w:val="24"/>
                      <w:lang w:eastAsia="lt-LT" w:bidi="lt-LT"/>
                    </w:rPr>
                    <w:t>nuolatinės techninės priežiūros mėnesinio mokesčio dydis be PVM už vieną kvadratinį metrą.</w:t>
                  </w:r>
                </w:p>
              </w:sdtContent>
            </w:sdt>
            <w:sdt>
              <w:sdtPr>
                <w:alias w:val="10 p."/>
                <w:tag w:val="part_98bdb31d0df84239a551916028382aea"/>
                <w:lock w:val="sdtLocked"/>
                <w:richText/>
              </w:sdtPr>
              <w:sdtContent>
                <w:p>
                  <w:pPr>
                    <w:ind w:firstLine="720"/>
                    <w:jc w:val="both"/>
                    <w:rPr>
                      <w:rFonts w:cs="Tahoma"/>
                      <w:szCs w:val="24"/>
                      <w:lang w:eastAsia="lt-LT" w:bidi="lt-LT"/>
                    </w:rPr>
                  </w:pPr>
                  <w:sdt>
                    <w:sdtPr>
                      <w:alias w:val="Numeris"/>
                      <w:tag w:val="nr_98bdb31d0df84239a551916028382aea"/>
                      <w:lock w:val="sdtLocked"/>
                      <w:richText/>
                    </w:sdtPr>
                    <w:sdtContent>
                      <w:r>
                        <w:rPr>
                          <w:szCs w:val="24"/>
                        </w:rPr>
                        <w:t>10</w:t>
                      </w:r>
                    </w:sdtContent>
                  </w:sdt>
                  <w:r>
                    <w:rPr>
                      <w:rFonts w:cs="Tahoma"/>
                      <w:szCs w:val="24"/>
                      <w:lang w:eastAsia="lt-LT" w:bidi="lt-LT"/>
                    </w:rPr>
                    <w:t xml:space="preserve">. </w:t>
                  </w:r>
                  <w:r>
                    <w:rPr>
                      <w:rFonts w:cs="Tahoma"/>
                      <w:b/>
                      <w:szCs w:val="24"/>
                      <w:lang w:eastAsia="lt-LT" w:bidi="lt-LT"/>
                    </w:rPr>
                    <w:t xml:space="preserve">Gyvenamasis namas </w:t>
                  </w:r>
                  <w:r>
                    <w:rPr>
                      <w:rFonts w:cs="Tahoma"/>
                      <w:szCs w:val="24"/>
                      <w:lang w:eastAsia="lt-LT" w:bidi="lt-LT"/>
                    </w:rPr>
                    <w:t>– gyventi pritaikytas pastatas, kuriame daugiau kaip pusė naudingojo ploto yra gyvenamosios patalpos.</w:t>
                  </w:r>
                </w:p>
              </w:sdtContent>
            </w:sdt>
            <w:sdt>
              <w:sdtPr>
                <w:alias w:val="11 p."/>
                <w:tag w:val="part_21adadf93b244851b7d715e1d25e6cd9"/>
                <w:lock w:val="sdtLocked"/>
                <w:richText/>
              </w:sdtPr>
              <w:sdtContent>
                <w:p>
                  <w:pPr>
                    <w:ind w:firstLine="720"/>
                    <w:jc w:val="both"/>
                    <w:rPr>
                      <w:szCs w:val="24"/>
                    </w:rPr>
                  </w:pPr>
                  <w:sdt>
                    <w:sdtPr>
                      <w:alias w:val="Numeris"/>
                      <w:tag w:val="nr_21adadf93b244851b7d715e1d25e6cd9"/>
                      <w:lock w:val="sdtLocked"/>
                      <w:richText/>
                    </w:sdtPr>
                    <w:sdtContent>
                      <w:r>
                        <w:rPr>
                          <w:szCs w:val="24"/>
                        </w:rPr>
                        <w:t>11</w:t>
                      </w:r>
                    </w:sdtContent>
                  </w:sdt>
                  <w:r>
                    <w:rPr>
                      <w:szCs w:val="24"/>
                    </w:rPr>
                    <w:t xml:space="preserve">. </w:t>
                  </w:r>
                  <w:r>
                    <w:rPr>
                      <w:b/>
                      <w:szCs w:val="24"/>
                    </w:rPr>
                    <w:t xml:space="preserve">Naudingasis buto plotas </w:t>
                  </w:r>
                  <w:r>
                    <w:rPr>
                      <w:szCs w:val="24"/>
                    </w:rPr>
                    <w:t>– bendras visų kambarių ir pagalbinių šiltų patalpų (pagalbinio naudingojo ploto) plotas.</w:t>
                  </w:r>
                </w:p>
                <w:p>
                  <w:pPr>
                    <w:jc w:val="center"/>
                    <w:rPr>
                      <w:szCs w:val="24"/>
                    </w:rPr>
                  </w:pPr>
                </w:p>
              </w:sdtContent>
            </w:sdt>
          </w:sdtContent>
        </w:sdt>
        <w:sdt>
          <w:sdtPr>
            <w:alias w:val="skyrius"/>
            <w:tag w:val="part_0fe90999900849479b513ce3f6edc8ab"/>
            <w:lock w:val="sdtLocked"/>
            <w:richText/>
          </w:sdtPr>
          <w:sdtContent>
            <w:p>
              <w:pPr>
                <w:ind w:firstLine="720"/>
                <w:jc w:val="center"/>
                <w:rPr>
                  <w:b/>
                  <w:bCs/>
                  <w:szCs w:val="24"/>
                </w:rPr>
              </w:pPr>
              <w:sdt>
                <w:sdtPr>
                  <w:alias w:val="Numeris"/>
                  <w:tag w:val="nr_0fe90999900849479b513ce3f6edc8ab"/>
                  <w:lock w:val="sdtLocked"/>
                  <w:richText/>
                </w:sdtPr>
                <w:sdtContent>
                  <w:r>
                    <w:rPr>
                      <w:b/>
                      <w:bCs/>
                      <w:szCs w:val="24"/>
                    </w:rPr>
                    <w:t>III</w:t>
                  </w:r>
                </w:sdtContent>
              </w:sdt>
              <w:r>
                <w:rPr>
                  <w:b/>
                  <w:bCs/>
                  <w:szCs w:val="24"/>
                </w:rPr>
                <w:t>.</w:t>
              </w:r>
              <w:r>
                <w:rPr>
                  <w:szCs w:val="24"/>
                </w:rPr>
                <w:t xml:space="preserve"> </w:t>
              </w:r>
              <w:sdt>
                <w:sdtPr>
                  <w:alias w:val="Pavadinimas"/>
                  <w:tag w:val="title_0fe90999900849479b513ce3f6edc8ab"/>
                  <w:lock w:val="sdtLocked"/>
                  <w:richText/>
                </w:sdtPr>
                <w:sdtContent>
                  <w:r>
                    <w:rPr>
                      <w:b/>
                      <w:bCs/>
                      <w:szCs w:val="24"/>
                    </w:rPr>
                    <w:t>DAUGIABUČIŲ GYVENAMŲJŲ NAMŲ TECHNINĖS PRIEŽIŪROS TARIFO APSKAIČIAVIMO REIKALAVIMAI</w:t>
                  </w:r>
                </w:sdtContent>
              </w:sdt>
            </w:p>
            <w:p>
              <w:pPr>
                <w:jc w:val="both"/>
                <w:rPr>
                  <w:b/>
                  <w:bCs/>
                  <w:szCs w:val="24"/>
                </w:rPr>
              </w:pPr>
            </w:p>
            <w:sdt>
              <w:sdtPr>
                <w:alias w:val="12 p."/>
                <w:tag w:val="part_095e1f5506fe423faf1877ccaf1c84a8"/>
                <w:lock w:val="sdtLocked"/>
                <w:richText/>
              </w:sdtPr>
              <w:sdtContent>
                <w:p>
                  <w:pPr>
                    <w:ind w:firstLine="720"/>
                    <w:jc w:val="both"/>
                    <w:rPr>
                      <w:rFonts w:cs="Tahoma"/>
                      <w:szCs w:val="24"/>
                      <w:lang w:eastAsia="lt-LT" w:bidi="lt-LT"/>
                    </w:rPr>
                  </w:pPr>
                  <w:sdt>
                    <w:sdtPr>
                      <w:alias w:val="Numeris"/>
                      <w:tag w:val="nr_095e1f5506fe423faf1877ccaf1c84a8"/>
                      <w:lock w:val="sdtLocked"/>
                      <w:richText/>
                    </w:sdtPr>
                    <w:sdtContent>
                      <w:r>
                        <w:rPr>
                          <w:szCs w:val="24"/>
                        </w:rPr>
                        <w:t>12</w:t>
                      </w:r>
                    </w:sdtContent>
                  </w:sdt>
                  <w:r>
                    <w:rPr>
                      <w:szCs w:val="24"/>
                    </w:rPr>
                    <w:t>. Daugiabučių gyvenamųjų namų techninės priežiūros tarifas apskaičiuojamas vadovaujantis privalomaisiais statinių (gyvenamųjų namų) naudojimo ir priežiūros reikalavimais, nustatytais statybos techniniame reglamente STR 1.12.05:2010 „Privalomieji statinių (g</w:t>
                  </w:r>
                  <w:r>
                    <w:rPr>
                      <w:rFonts w:cs="Tahoma"/>
                      <w:szCs w:val="24"/>
                      <w:lang w:eastAsia="lt-LT" w:bidi="lt-LT"/>
                    </w:rPr>
                    <w:t>yvenamųjų namų) naudojimo ir priežiūros privalomieji reikalavimai“.</w:t>
                  </w:r>
                </w:p>
              </w:sdtContent>
            </w:sdt>
            <w:sdt>
              <w:sdtPr>
                <w:alias w:val="13 p."/>
                <w:tag w:val="part_8f6e7c55a0934708947a895570911b41"/>
                <w:lock w:val="sdtLocked"/>
                <w:richText/>
              </w:sdtPr>
              <w:sdtContent>
                <w:p>
                  <w:pPr>
                    <w:ind w:firstLine="720"/>
                    <w:jc w:val="both"/>
                    <w:rPr>
                      <w:szCs w:val="24"/>
                    </w:rPr>
                  </w:pPr>
                  <w:sdt>
                    <w:sdtPr>
                      <w:alias w:val="Numeris"/>
                      <w:tag w:val="nr_8f6e7c55a0934708947a895570911b41"/>
                      <w:lock w:val="sdtLocked"/>
                      <w:richText/>
                    </w:sdtPr>
                    <w:sdtContent>
                      <w:r>
                        <w:rPr>
                          <w:szCs w:val="24"/>
                        </w:rPr>
                        <w:t>13</w:t>
                      </w:r>
                    </w:sdtContent>
                  </w:sdt>
                  <w:r>
                    <w:rPr>
                      <w:szCs w:val="24"/>
                    </w:rPr>
                    <w:t>. Namo techninės priežiūros tarifas konkrečiam namui apskaičiuojamas pagal formulę:</w:t>
                  </w:r>
                </w:p>
                <w:p>
                  <w:pPr>
                    <w:jc w:val="both"/>
                    <w:rPr>
                      <w:szCs w:val="24"/>
                    </w:rPr>
                  </w:pPr>
                </w:p>
                <w:p>
                  <w:pPr>
                    <w:ind w:firstLine="1440"/>
                    <w:jc w:val="both"/>
                    <w:rPr>
                      <w:szCs w:val="24"/>
                    </w:rPr>
                  </w:pPr>
                  <w:r>
                    <w:rPr>
                      <w:b/>
                      <w:bCs/>
                      <w:szCs w:val="24"/>
                    </w:rPr>
                    <w:t>T = T</w:t>
                  </w:r>
                  <w:r>
                    <w:rPr>
                      <w:b/>
                      <w:bCs/>
                      <w:szCs w:val="24"/>
                      <w:vertAlign w:val="subscript"/>
                    </w:rPr>
                    <w:t>tp</w:t>
                  </w:r>
                  <w:r>
                    <w:rPr>
                      <w:b/>
                      <w:bCs/>
                      <w:szCs w:val="24"/>
                    </w:rPr>
                    <w:t xml:space="preserve"> x K</w:t>
                  </w:r>
                  <w:r>
                    <w:rPr>
                      <w:b/>
                      <w:bCs/>
                      <w:szCs w:val="24"/>
                      <w:vertAlign w:val="subscript"/>
                    </w:rPr>
                    <w:t xml:space="preserve">1 </w:t>
                  </w:r>
                  <w:r>
                    <w:rPr>
                      <w:b/>
                      <w:bCs/>
                      <w:szCs w:val="24"/>
                    </w:rPr>
                    <w:t>x K</w:t>
                  </w:r>
                  <w:r>
                    <w:rPr>
                      <w:b/>
                      <w:bCs/>
                      <w:szCs w:val="24"/>
                      <w:vertAlign w:val="subscript"/>
                    </w:rPr>
                    <w:t>2</w:t>
                  </w:r>
                  <w:r>
                    <w:rPr>
                      <w:b/>
                      <w:bCs/>
                      <w:szCs w:val="24"/>
                    </w:rPr>
                    <w:t xml:space="preserve">  </w:t>
                  </w:r>
                  <w:r>
                    <w:rPr>
                      <w:szCs w:val="24"/>
                    </w:rPr>
                    <w:t>Lt/m</w:t>
                  </w:r>
                  <w:r>
                    <w:rPr>
                      <w:rFonts w:cs="Tahoma"/>
                      <w:szCs w:val="24"/>
                    </w:rPr>
                    <w:t xml:space="preserve">²  per mėnesį</w:t>
                  </w:r>
                  <w:r>
                    <w:rPr>
                      <w:szCs w:val="24"/>
                    </w:rPr>
                    <w:tab/>
                  </w:r>
                </w:p>
                <w:p>
                  <w:pPr>
                    <w:jc w:val="both"/>
                    <w:rPr>
                      <w:szCs w:val="24"/>
                      <w:vertAlign w:val="subscript"/>
                    </w:rPr>
                  </w:pPr>
                </w:p>
                <w:p>
                  <w:pPr>
                    <w:ind w:firstLine="720"/>
                    <w:jc w:val="both"/>
                    <w:rPr>
                      <w:szCs w:val="24"/>
                      <w:vertAlign w:val="subscript"/>
                    </w:rPr>
                  </w:pPr>
                  <w:r>
                    <w:rPr>
                      <w:szCs w:val="24"/>
                    </w:rPr>
                    <w:t>T – techninės priežiūros mokesčio tarifas konkrečiam pastatui;</w:t>
                  </w:r>
                </w:p>
                <w:p>
                  <w:pPr>
                    <w:ind w:firstLine="720"/>
                    <w:jc w:val="both"/>
                    <w:rPr>
                      <w:szCs w:val="24"/>
                      <w:vertAlign w:val="subscript"/>
                    </w:rPr>
                  </w:pPr>
                  <w:r>
                    <w:rPr>
                      <w:szCs w:val="24"/>
                    </w:rPr>
                    <w:t>T</w:t>
                  </w:r>
                  <w:r>
                    <w:rPr>
                      <w:szCs w:val="24"/>
                      <w:vertAlign w:val="subscript"/>
                    </w:rPr>
                    <w:t>tp</w:t>
                  </w:r>
                  <w:r>
                    <w:rPr>
                      <w:szCs w:val="24"/>
                    </w:rPr>
                    <w:t xml:space="preserve"> – bazinis (skaičiuojamasis) techninės priežiūros tarifas (1 priedas);</w:t>
                  </w:r>
                </w:p>
                <w:p>
                  <w:pPr>
                    <w:ind w:firstLine="720"/>
                    <w:jc w:val="both"/>
                    <w:rPr>
                      <w:szCs w:val="24"/>
                    </w:rPr>
                  </w:pPr>
                  <w:r>
                    <w:rPr>
                      <w:szCs w:val="24"/>
                    </w:rPr>
                    <w:t xml:space="preserve">Kı  – koeficientas, įvertinantis gyvenamųjų namų aukštingumą (2 priedas);</w:t>
                  </w:r>
                </w:p>
                <w:p>
                  <w:pPr>
                    <w:ind w:firstLine="720"/>
                    <w:jc w:val="both"/>
                    <w:rPr>
                      <w:szCs w:val="24"/>
                    </w:rPr>
                  </w:pPr>
                  <w:r>
                    <w:rPr>
                      <w:szCs w:val="24"/>
                    </w:rPr>
                    <w:t>K</w:t>
                  </w:r>
                  <w:r>
                    <w:rPr>
                      <w:szCs w:val="24"/>
                      <w:vertAlign w:val="subscript"/>
                    </w:rPr>
                    <w:t xml:space="preserve">2  </w:t>
                  </w:r>
                  <w:r>
                    <w:rPr>
                      <w:szCs w:val="24"/>
                    </w:rPr>
                    <w:t xml:space="preserve">- </w:t>
                  </w:r>
                  <w:r>
                    <w:rPr>
                      <w:szCs w:val="24"/>
                      <w:vertAlign w:val="subscript"/>
                    </w:rPr>
                    <w:t xml:space="preserve"> </w:t>
                  </w:r>
                  <w:r>
                    <w:rPr>
                      <w:szCs w:val="24"/>
                    </w:rPr>
                    <w:t>koeficientas, įvertinantis gyvenamųjų namų eksploatavimo laiką nuo eksploatavimo pradžios (3 priedas).</w:t>
                    <w:tab/>
                    <w:tab/>
                    <w:tab/>
                  </w:r>
                </w:p>
              </w:sdtContent>
            </w:sdt>
            <w:sdt>
              <w:sdtPr>
                <w:alias w:val="14 p."/>
                <w:tag w:val="part_71d41f46c4854f39974a32d4c50be47d"/>
                <w:lock w:val="sdtLocked"/>
                <w:richText/>
              </w:sdtPr>
              <w:sdtContent>
                <w:p>
                  <w:pPr>
                    <w:ind w:firstLine="720"/>
                    <w:jc w:val="both"/>
                    <w:rPr>
                      <w:szCs w:val="24"/>
                    </w:rPr>
                  </w:pPr>
                  <w:sdt>
                    <w:sdtPr>
                      <w:alias w:val="Numeris"/>
                      <w:tag w:val="nr_71d41f46c4854f39974a32d4c50be47d"/>
                      <w:lock w:val="sdtLocked"/>
                      <w:richText/>
                    </w:sdtPr>
                    <w:sdtContent>
                      <w:r>
                        <w:rPr>
                          <w:szCs w:val="24"/>
                        </w:rPr>
                        <w:t>14</w:t>
                      </w:r>
                    </w:sdtContent>
                  </w:sdt>
                  <w:r>
                    <w:rPr>
                      <w:szCs w:val="24"/>
                    </w:rPr>
                    <w:t>. Namo techninės priežiūros tarifas skaičiuojamas pagal šioje Metodikoje pateiktą formulę be pridėtinės vertės mokesčio.</w:t>
                  </w:r>
                </w:p>
              </w:sdtContent>
            </w:sdt>
            <w:sdt>
              <w:sdtPr>
                <w:alias w:val="15 p."/>
                <w:tag w:val="part_292cb60d9251496c8f8a48b322530aaf"/>
                <w:lock w:val="sdtLocked"/>
                <w:richText/>
              </w:sdtPr>
              <w:sdtContent>
                <w:p>
                  <w:pPr>
                    <w:tabs>
                      <w:tab w:val="left" w:pos="709"/>
                    </w:tabs>
                    <w:jc w:val="both"/>
                    <w:rPr>
                      <w:rFonts w:cs="Tahoma"/>
                      <w:szCs w:val="24"/>
                      <w:lang w:eastAsia="lt-LT" w:bidi="lt-LT"/>
                    </w:rPr>
                  </w:pPr>
                  <w:r>
                    <w:rPr>
                      <w:rFonts w:cs="Tahoma"/>
                      <w:b/>
                      <w:szCs w:val="24"/>
                      <w:lang w:eastAsia="lt-LT" w:bidi="lt-LT"/>
                    </w:rPr>
                    <w:tab/>
                  </w:r>
                  <w:r>
                    <w:rPr>
                      <w:rFonts w:cs="Tahoma"/>
                      <w:szCs w:val="24"/>
                      <w:lang w:eastAsia="lt-LT" w:bidi="lt-LT"/>
                    </w:rPr>
                    <w:t>15. Administratorius, vadovaudamasis šia Metodika ir Lietuvos Respublikos aplinkos ministro 2011 m. lapkričio 18 d. įsakymu Nr. D1-888</w:t>
                  </w:r>
                  <w:r>
                    <w:rPr>
                      <w:rFonts w:cs="Tahoma"/>
                      <w:color w:val="0000FF"/>
                      <w:szCs w:val="24"/>
                      <w:lang w:eastAsia="lt-LT" w:bidi="lt-LT"/>
                    </w:rPr>
                    <w:t xml:space="preserve"> </w:t>
                  </w:r>
                  <w:r>
                    <w:rPr>
                      <w:rFonts w:cs="Tahoma"/>
                      <w:szCs w:val="24"/>
                      <w:lang w:eastAsia="lt-LT" w:bidi="lt-LT"/>
                    </w:rPr>
                    <w:t>patvirtintu Daugiabučių namų techninės priežiūros pagrindinių darbų sąrašu, vykdo organizacines ir technines priemones gyvenamojo namo būklei palaikyti, kad būtų užtikrinti esminiai statinio reikalavimai per ekonomiškai pagrįstą gyvenamojo namo naudojimo trukmę.</w:t>
                  </w:r>
                </w:p>
                <w:p>
                  <w:pPr>
                    <w:jc w:val="both"/>
                    <w:rPr>
                      <w:szCs w:val="24"/>
                    </w:rPr>
                  </w:pPr>
                </w:p>
              </w:sdtContent>
            </w:sdt>
          </w:sdtContent>
        </w:sdt>
        <w:sdt>
          <w:sdtPr>
            <w:alias w:val="skyrius"/>
            <w:tag w:val="part_71a7a8eca60147d98db5d34a379ae8ee"/>
            <w:lock w:val="sdtLocked"/>
            <w:richText/>
          </w:sdtPr>
          <w:sdtContent>
            <w:p>
              <w:pPr>
                <w:keepNext/>
                <w:widowControl w:val="0"/>
                <w:tabs>
                  <w:tab w:val="left" w:pos="0"/>
                </w:tabs>
                <w:suppressAutoHyphens/>
                <w:ind w:firstLine="2920"/>
                <w:jc w:val="both"/>
                <w:outlineLvl w:val="1"/>
                <w:rPr>
                  <w:b/>
                  <w:bCs/>
                  <w:iCs/>
                  <w:szCs w:val="24"/>
                  <w:lang w:eastAsia="lt-LT" w:bidi="lt-LT"/>
                </w:rPr>
              </w:pPr>
              <w:sdt>
                <w:sdtPr>
                  <w:alias w:val="Numeris"/>
                  <w:tag w:val="nr_71a7a8eca60147d98db5d34a379ae8ee"/>
                  <w:lock w:val="sdtLocked"/>
                  <w:richText/>
                </w:sdtPr>
                <w:sdtContent>
                  <w:r>
                    <w:rPr>
                      <w:b/>
                      <w:bCs/>
                      <w:iCs/>
                      <w:caps/>
                      <w:szCs w:val="24"/>
                      <w:lang w:eastAsia="lt-LT" w:bidi="lt-LT"/>
                    </w:rPr>
                    <w:t>IV</w:t>
                  </w:r>
                </w:sdtContent>
              </w:sdt>
              <w:r>
                <w:rPr>
                  <w:b/>
                  <w:bCs/>
                  <w:iCs/>
                  <w:caps/>
                  <w:szCs w:val="24"/>
                  <w:lang w:eastAsia="lt-LT" w:bidi="lt-LT"/>
                </w:rPr>
                <w:t xml:space="preserve">. </w:t>
              </w:r>
              <w:sdt>
                <w:sdtPr>
                  <w:alias w:val="Pavadinimas"/>
                  <w:tag w:val="title_71a7a8eca60147d98db5d34a379ae8ee"/>
                  <w:lock w:val="sdtLocked"/>
                  <w:richText/>
                </w:sdtPr>
                <w:sdtContent>
                  <w:r>
                    <w:rPr>
                      <w:b/>
                      <w:bCs/>
                      <w:iCs/>
                      <w:caps/>
                      <w:szCs w:val="24"/>
                      <w:lang w:eastAsia="lt-LT" w:bidi="lt-LT"/>
                    </w:rPr>
                    <w:t>BAIGIAMOSIOS NUOSTATOS</w:t>
                  </w:r>
                </w:sdtContent>
              </w:sdt>
            </w:p>
            <w:p>
              <w:pPr>
                <w:jc w:val="both"/>
                <w:rPr>
                  <w:szCs w:val="24"/>
                </w:rPr>
              </w:pPr>
            </w:p>
            <w:sdt>
              <w:sdtPr>
                <w:alias w:val="16 p."/>
                <w:tag w:val="part_689e73892fed4007b39f7aa30d79f9f0"/>
                <w:lock w:val="sdtLocked"/>
                <w:richText/>
              </w:sdtPr>
              <w:sdtContent>
                <w:p>
                  <w:pPr>
                    <w:ind w:firstLine="720"/>
                    <w:jc w:val="both"/>
                    <w:rPr>
                      <w:szCs w:val="24"/>
                    </w:rPr>
                  </w:pPr>
                  <w:sdt>
                    <w:sdtPr>
                      <w:alias w:val="Numeris"/>
                      <w:tag w:val="nr_689e73892fed4007b39f7aa30d79f9f0"/>
                      <w:lock w:val="sdtLocked"/>
                      <w:richText/>
                    </w:sdtPr>
                    <w:sdtContent>
                      <w:r>
                        <w:rPr>
                          <w:szCs w:val="24"/>
                        </w:rPr>
                        <w:t>16</w:t>
                      </w:r>
                    </w:sdtContent>
                  </w:sdt>
                  <w:r>
                    <w:rPr>
                      <w:szCs w:val="24"/>
                    </w:rPr>
                    <w:t>. Tai, kas nereglamentuota šioje Metodikoje, sprendžiama taip, kaip numatyta Lietuvos Respublikos teisės aktuose.</w:t>
                  </w:r>
                </w:p>
              </w:sdtContent>
            </w:sdt>
            <w:sdt>
              <w:sdtPr>
                <w:alias w:val="17 p."/>
                <w:tag w:val="part_60052b022e7b402998d4fad5ec7b601b"/>
                <w:lock w:val="sdtLocked"/>
                <w:richText/>
              </w:sdtPr>
              <w:sdtContent>
                <w:p>
                  <w:pPr>
                    <w:ind w:firstLine="720"/>
                    <w:jc w:val="both"/>
                    <w:rPr>
                      <w:szCs w:val="24"/>
                    </w:rPr>
                  </w:pPr>
                  <w:sdt>
                    <w:sdtPr>
                      <w:alias w:val="Numeris"/>
                      <w:tag w:val="nr_60052b022e7b402998d4fad5ec7b601b"/>
                      <w:lock w:val="sdtLocked"/>
                      <w:richText/>
                    </w:sdtPr>
                    <w:sdtContent>
                      <w:r>
                        <w:rPr>
                          <w:szCs w:val="24"/>
                        </w:rPr>
                        <w:t>17</w:t>
                      </w:r>
                    </w:sdtContent>
                  </w:sdt>
                  <w:r>
                    <w:rPr>
                      <w:szCs w:val="24"/>
                    </w:rPr>
                    <w:t>. Ši Metodika keičiama ar naikinama, arba stabdomas jos galiojimas Radviliškio rajono savivaldybės tarybos sprendimu.</w:t>
                  </w:r>
                </w:p>
              </w:sdtContent>
            </w:sdt>
          </w:sdtContent>
        </w:sdt>
        <w:sdt>
          <w:sdtPr>
            <w:alias w:val="pabaiga"/>
            <w:tag w:val="part_2f21a228b22b4b869004712b9feb9750"/>
            <w:lock w:val="sdtLocked"/>
            <w:richText/>
          </w:sdtPr>
          <w:sdtContent>
            <w:p>
              <w:pPr>
                <w:ind w:firstLine="1440"/>
                <w:jc w:val="both"/>
                <w:rPr>
                  <w:szCs w:val="24"/>
                </w:rPr>
              </w:pPr>
              <w:r>
                <w:rPr>
                  <w:szCs w:val="24"/>
                </w:rPr>
                <w:t>____________________________________________________</w:t>
              </w:r>
            </w:p>
          </w:sdtContent>
        </w:sdt>
      </w:sdtContent>
    </w:sdt>
    <w:sdt>
      <w:sdtPr>
        <w:alias w:val="1 pr."/>
        <w:tag w:val="part_432cf79462f74dd59031eaecf8579963"/>
        <w:lock w:val="sdtLocked"/>
        <w:richText/>
      </w:sdtPr>
      <w:sdtContent>
        <w:p>
          <w:pPr>
            <w:jc w:val="right"/>
          </w:pPr>
          <w:r>
            <w:br w:type="page"/>
          </w:r>
        </w:p>
        <w:p>
          <w:pPr>
            <w:ind w:left="5103"/>
            <w:rPr>
              <w:szCs w:val="24"/>
            </w:rPr>
          </w:pPr>
          <w:r>
            <w:rPr>
              <w:szCs w:val="24"/>
            </w:rPr>
            <w:t>Daugiabučių gyvenamųjų namų bendrosios</w:t>
          </w:r>
        </w:p>
        <w:p>
          <w:pPr>
            <w:ind w:left="5103"/>
            <w:rPr>
              <w:szCs w:val="24"/>
            </w:rPr>
          </w:pPr>
          <w:r>
            <w:rPr>
              <w:szCs w:val="24"/>
            </w:rPr>
            <w:t xml:space="preserve">nuosavybės techninės priežiūros tarifo </w:t>
          </w:r>
        </w:p>
        <w:p>
          <w:pPr>
            <w:ind w:left="5103"/>
            <w:rPr>
              <w:szCs w:val="24"/>
            </w:rPr>
          </w:pPr>
          <w:r>
            <w:rPr>
              <w:szCs w:val="24"/>
            </w:rPr>
            <w:t xml:space="preserve">apskaičiavimo metodikos </w:t>
          </w:r>
        </w:p>
        <w:p>
          <w:pPr>
            <w:ind w:left="5103"/>
            <w:rPr>
              <w:szCs w:val="24"/>
            </w:rPr>
          </w:pPr>
          <w:sdt>
            <w:sdtPr>
              <w:alias w:val="Numeris"/>
              <w:tag w:val="nr_432cf79462f74dd59031eaecf8579963"/>
              <w:lock w:val="sdtLocked"/>
              <w:richText/>
            </w:sdtPr>
            <w:sdtContent>
              <w:r>
                <w:rPr>
                  <w:szCs w:val="24"/>
                </w:rPr>
                <w:t>1</w:t>
              </w:r>
            </w:sdtContent>
          </w:sdt>
          <w:r>
            <w:rPr>
              <w:szCs w:val="24"/>
            </w:rPr>
            <w:t xml:space="preserve"> priedas</w:t>
          </w:r>
        </w:p>
        <w:p>
          <w:pPr>
            <w:jc w:val="both"/>
            <w:rPr>
              <w:szCs w:val="24"/>
            </w:rPr>
          </w:pPr>
        </w:p>
        <w:p>
          <w:pPr>
            <w:jc w:val="center"/>
            <w:rPr>
              <w:b/>
              <w:bCs/>
              <w:szCs w:val="24"/>
            </w:rPr>
          </w:pPr>
          <w:sdt>
            <w:sdtPr>
              <w:alias w:val="Pavadinimas"/>
              <w:tag w:val="title_432cf79462f74dd59031eaecf8579963"/>
              <w:lock w:val="sdtLocked"/>
              <w:richText/>
            </w:sdtPr>
            <w:sdtContent>
              <w:r>
                <w:rPr>
                  <w:b/>
                  <w:bCs/>
                  <w:szCs w:val="24"/>
                </w:rPr>
                <w:t>DAUGIABUČIŲ GYVENAMŲJŲ NAMŲ BENDROJO NAUDOJIMO OBJEKTŲ TECHNINĖS PRIEŽIŪROS BAZINIAI (SKAIČIUOJAMIEJI) TARIFAI</w:t>
              </w:r>
            </w:sdtContent>
          </w:sdt>
        </w:p>
        <w:p>
          <w:pPr>
            <w:jc w:val="both"/>
            <w:rPr>
              <w:szCs w:val="24"/>
            </w:rPr>
          </w:pPr>
        </w:p>
        <w:p>
          <w:pPr>
            <w:jc w:val="both"/>
            <w:rPr>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72"/>
            <w:gridCol w:w="5008"/>
          </w:tblGrid>
          <w:tr>
            <w:trPr>
              <w:jc w:val="center"/>
            </w:trPr>
            <w:tc>
              <w:tcPr>
                <w:tcW w:w="4172" w:type="dxa"/>
                <w:tcBorders>
                  <w:top w:val="single" w:sz="4" w:space="0" w:color="auto"/>
                  <w:left w:val="single" w:sz="4" w:space="0" w:color="auto"/>
                  <w:bottom w:val="single" w:sz="4" w:space="0" w:color="auto"/>
                  <w:right w:val="single" w:sz="4" w:space="0" w:color="auto"/>
                </w:tcBorders>
                <w:hideMark/>
              </w:tcPr>
              <w:p>
                <w:pPr>
                  <w:tabs>
                    <w:tab w:val="left" w:pos="709"/>
                  </w:tabs>
                  <w:contextualSpacing/>
                  <w:jc w:val="center"/>
                  <w:rPr>
                    <w:rFonts w:eastAsia="Calibri"/>
                    <w:sz w:val="22"/>
                    <w:szCs w:val="22"/>
                  </w:rPr>
                </w:pPr>
                <w:r>
                  <w:rPr>
                    <w:b/>
                    <w:bCs/>
                    <w:sz w:val="22"/>
                    <w:szCs w:val="22"/>
                    <w:lang w:eastAsia="lt-LT"/>
                  </w:rPr>
                  <w:t>Pastato naudingasis plotas, m</w:t>
                </w:r>
                <w:r>
                  <w:rPr>
                    <w:b/>
                    <w:bCs/>
                    <w:sz w:val="22"/>
                    <w:szCs w:val="22"/>
                    <w:vertAlign w:val="superscript"/>
                    <w:lang w:eastAsia="lt-LT"/>
                  </w:rPr>
                  <w:t>2</w:t>
                </w:r>
              </w:p>
            </w:tc>
            <w:tc>
              <w:tcPr>
                <w:tcW w:w="5008" w:type="dxa"/>
                <w:tcBorders>
                  <w:top w:val="single" w:sz="4" w:space="0" w:color="auto"/>
                  <w:left w:val="single" w:sz="4" w:space="0" w:color="auto"/>
                  <w:bottom w:val="single" w:sz="4" w:space="0" w:color="auto"/>
                  <w:right w:val="single" w:sz="4" w:space="0" w:color="auto"/>
                </w:tcBorders>
                <w:hideMark/>
              </w:tcPr>
              <w:p>
                <w:pPr>
                  <w:tabs>
                    <w:tab w:val="left" w:pos="709"/>
                  </w:tabs>
                  <w:contextualSpacing/>
                  <w:jc w:val="center"/>
                  <w:rPr>
                    <w:szCs w:val="24"/>
                  </w:rPr>
                </w:pPr>
                <w:r>
                  <w:rPr>
                    <w:szCs w:val="24"/>
                  </w:rPr>
                  <w:t xml:space="preserve">Bazinis (skaičiuojamasis) tarifas </w:t>
                </w:r>
              </w:p>
              <w:p>
                <w:pPr>
                  <w:tabs>
                    <w:tab w:val="left" w:pos="709"/>
                  </w:tabs>
                  <w:contextualSpacing/>
                  <w:jc w:val="center"/>
                  <w:rPr>
                    <w:szCs w:val="24"/>
                  </w:rPr>
                </w:pPr>
                <w:r>
                  <w:rPr>
                    <w:szCs w:val="24"/>
                  </w:rPr>
                  <w:t>Lt už m</w:t>
                </w:r>
                <w:r>
                  <w:rPr>
                    <w:rFonts w:cs="Tahoma"/>
                    <w:szCs w:val="24"/>
                  </w:rPr>
                  <w:t>² be PVM</w:t>
                </w:r>
              </w:p>
            </w:tc>
          </w:tr>
          <w:tr>
            <w:trPr>
              <w:jc w:val="center"/>
            </w:trPr>
            <w:tc>
              <w:tcPr>
                <w:tcW w:w="4172" w:type="dxa"/>
                <w:tcBorders>
                  <w:top w:val="single" w:sz="4" w:space="0" w:color="auto"/>
                  <w:left w:val="single" w:sz="4" w:space="0" w:color="auto"/>
                  <w:bottom w:val="single" w:sz="4" w:space="0" w:color="auto"/>
                  <w:right w:val="single" w:sz="4" w:space="0" w:color="auto"/>
                </w:tcBorders>
                <w:hideMark/>
              </w:tcPr>
              <w:p>
                <w:pPr>
                  <w:tabs>
                    <w:tab w:val="left" w:pos="709"/>
                  </w:tabs>
                  <w:contextualSpacing/>
                  <w:jc w:val="center"/>
                  <w:rPr>
                    <w:rFonts w:eastAsia="Calibri"/>
                    <w:sz w:val="22"/>
                    <w:szCs w:val="22"/>
                  </w:rPr>
                </w:pPr>
                <w:r>
                  <w:rPr>
                    <w:rFonts w:eastAsia="Calibri"/>
                    <w:sz w:val="22"/>
                    <w:szCs w:val="22"/>
                  </w:rPr>
                  <w:t>Iki 1000</w:t>
                </w:r>
              </w:p>
            </w:tc>
            <w:tc>
              <w:tcPr>
                <w:tcW w:w="5008" w:type="dxa"/>
                <w:tcBorders>
                  <w:top w:val="single" w:sz="4" w:space="0" w:color="auto"/>
                  <w:left w:val="single" w:sz="4" w:space="0" w:color="auto"/>
                  <w:bottom w:val="single" w:sz="4" w:space="0" w:color="auto"/>
                  <w:right w:val="single" w:sz="4" w:space="0" w:color="auto"/>
                </w:tcBorders>
                <w:hideMark/>
              </w:tcPr>
              <w:p>
                <w:pPr>
                  <w:tabs>
                    <w:tab w:val="left" w:pos="709"/>
                  </w:tabs>
                  <w:contextualSpacing/>
                  <w:jc w:val="center"/>
                  <w:rPr>
                    <w:rFonts w:eastAsia="Calibri"/>
                    <w:sz w:val="22"/>
                    <w:szCs w:val="22"/>
                  </w:rPr>
                </w:pPr>
                <w:r>
                  <w:rPr>
                    <w:rFonts w:eastAsia="Calibri"/>
                    <w:sz w:val="22"/>
                    <w:szCs w:val="22"/>
                  </w:rPr>
                  <w:t>0,165</w:t>
                </w:r>
              </w:p>
            </w:tc>
          </w:tr>
          <w:tr>
            <w:trPr>
              <w:trHeight w:val="376"/>
              <w:jc w:val="center"/>
            </w:trPr>
            <w:tc>
              <w:tcPr>
                <w:tcW w:w="4172" w:type="dxa"/>
                <w:tcBorders>
                  <w:top w:val="single" w:sz="4" w:space="0" w:color="auto"/>
                  <w:left w:val="single" w:sz="4" w:space="0" w:color="auto"/>
                  <w:bottom w:val="single" w:sz="4" w:space="0" w:color="auto"/>
                  <w:right w:val="single" w:sz="4" w:space="0" w:color="auto"/>
                </w:tcBorders>
                <w:hideMark/>
              </w:tcPr>
              <w:p>
                <w:pPr>
                  <w:tabs>
                    <w:tab w:val="left" w:pos="709"/>
                  </w:tabs>
                  <w:contextualSpacing/>
                  <w:jc w:val="center"/>
                  <w:rPr>
                    <w:rFonts w:eastAsia="Calibri"/>
                    <w:sz w:val="22"/>
                    <w:szCs w:val="22"/>
                  </w:rPr>
                </w:pPr>
                <w:r>
                  <w:rPr>
                    <w:rFonts w:eastAsia="Calibri"/>
                    <w:sz w:val="22"/>
                    <w:szCs w:val="22"/>
                  </w:rPr>
                  <w:t>Nuo 1001 iki 3000</w:t>
                </w:r>
              </w:p>
            </w:tc>
            <w:tc>
              <w:tcPr>
                <w:tcW w:w="5008" w:type="dxa"/>
                <w:tcBorders>
                  <w:top w:val="single" w:sz="4" w:space="0" w:color="auto"/>
                  <w:left w:val="single" w:sz="4" w:space="0" w:color="auto"/>
                  <w:bottom w:val="single" w:sz="4" w:space="0" w:color="auto"/>
                  <w:right w:val="single" w:sz="4" w:space="0" w:color="auto"/>
                </w:tcBorders>
                <w:hideMark/>
              </w:tcPr>
              <w:p>
                <w:pPr>
                  <w:tabs>
                    <w:tab w:val="left" w:pos="709"/>
                  </w:tabs>
                  <w:contextualSpacing/>
                  <w:jc w:val="center"/>
                  <w:rPr>
                    <w:rFonts w:eastAsia="Calibri"/>
                    <w:sz w:val="22"/>
                    <w:szCs w:val="22"/>
                  </w:rPr>
                </w:pPr>
                <w:r>
                  <w:rPr>
                    <w:rFonts w:eastAsia="Calibri"/>
                    <w:sz w:val="22"/>
                    <w:szCs w:val="22"/>
                  </w:rPr>
                  <w:t>0,16</w:t>
                </w:r>
              </w:p>
            </w:tc>
          </w:tr>
          <w:tr>
            <w:trPr>
              <w:jc w:val="center"/>
            </w:trPr>
            <w:tc>
              <w:tcPr>
                <w:tcW w:w="4172" w:type="dxa"/>
                <w:tcBorders>
                  <w:top w:val="single" w:sz="4" w:space="0" w:color="auto"/>
                  <w:left w:val="single" w:sz="4" w:space="0" w:color="auto"/>
                  <w:bottom w:val="single" w:sz="4" w:space="0" w:color="auto"/>
                  <w:right w:val="single" w:sz="4" w:space="0" w:color="auto"/>
                </w:tcBorders>
                <w:hideMark/>
              </w:tcPr>
              <w:p>
                <w:pPr>
                  <w:tabs>
                    <w:tab w:val="left" w:pos="709"/>
                  </w:tabs>
                  <w:contextualSpacing/>
                  <w:jc w:val="center"/>
                  <w:rPr>
                    <w:rFonts w:eastAsia="Calibri"/>
                    <w:sz w:val="22"/>
                    <w:szCs w:val="22"/>
                  </w:rPr>
                </w:pPr>
                <w:r>
                  <w:rPr>
                    <w:rFonts w:eastAsia="Calibri"/>
                    <w:sz w:val="22"/>
                    <w:szCs w:val="22"/>
                  </w:rPr>
                  <w:t>Daugiau kaip 3000</w:t>
                </w:r>
              </w:p>
            </w:tc>
            <w:tc>
              <w:tcPr>
                <w:tcW w:w="5008" w:type="dxa"/>
                <w:tcBorders>
                  <w:top w:val="single" w:sz="4" w:space="0" w:color="auto"/>
                  <w:left w:val="single" w:sz="4" w:space="0" w:color="auto"/>
                  <w:bottom w:val="single" w:sz="4" w:space="0" w:color="auto"/>
                  <w:right w:val="single" w:sz="4" w:space="0" w:color="auto"/>
                </w:tcBorders>
                <w:hideMark/>
              </w:tcPr>
              <w:p>
                <w:pPr>
                  <w:tabs>
                    <w:tab w:val="left" w:pos="709"/>
                  </w:tabs>
                  <w:contextualSpacing/>
                  <w:jc w:val="center"/>
                  <w:rPr>
                    <w:rFonts w:eastAsia="Calibri"/>
                    <w:sz w:val="22"/>
                    <w:szCs w:val="22"/>
                  </w:rPr>
                </w:pPr>
                <w:r>
                  <w:rPr>
                    <w:rFonts w:eastAsia="Calibri"/>
                    <w:sz w:val="22"/>
                    <w:szCs w:val="22"/>
                  </w:rPr>
                  <w:t>0,155</w:t>
                </w:r>
              </w:p>
            </w:tc>
          </w:tr>
        </w:tbl>
        <w:p>
          <w:pPr>
            <w:rPr>
              <w:szCs w:val="24"/>
            </w:rPr>
          </w:pPr>
        </w:p>
      </w:sdtContent>
    </w:sdt>
    <w:sdt>
      <w:sdtPr>
        <w:alias w:val="2 pr."/>
        <w:tag w:val="part_c8debd9690164ef681cb144533c1512c"/>
        <w:lock w:val="sdtLocked"/>
        <w:richText/>
      </w:sdtPr>
      <w:sdtContent>
        <w:p>
          <w:pPr>
            <w:jc w:val="right"/>
            <w:rPr>
              <w:szCs w:val="24"/>
            </w:rPr>
          </w:pPr>
          <w:r>
            <w:rPr>
              <w:szCs w:val="24"/>
            </w:rPr>
            <w:br w:type="page"/>
          </w:r>
        </w:p>
        <w:p>
          <w:pPr>
            <w:ind w:left="5103"/>
            <w:rPr>
              <w:szCs w:val="24"/>
            </w:rPr>
          </w:pPr>
          <w:r>
            <w:rPr>
              <w:szCs w:val="24"/>
            </w:rPr>
            <w:t>Daugiabučių gyvenamųjų namų bendrosios</w:t>
          </w:r>
        </w:p>
        <w:p>
          <w:pPr>
            <w:ind w:left="5103"/>
            <w:rPr>
              <w:szCs w:val="24"/>
            </w:rPr>
          </w:pPr>
          <w:r>
            <w:rPr>
              <w:szCs w:val="24"/>
            </w:rPr>
            <w:t xml:space="preserve">nuosavybės techninės priežiūros tarifo </w:t>
          </w:r>
        </w:p>
        <w:p>
          <w:pPr>
            <w:ind w:left="5103"/>
            <w:rPr>
              <w:szCs w:val="24"/>
            </w:rPr>
          </w:pPr>
          <w:r>
            <w:rPr>
              <w:szCs w:val="24"/>
            </w:rPr>
            <w:t xml:space="preserve">apskaičiavimo metodikos  </w:t>
          </w:r>
        </w:p>
        <w:p>
          <w:pPr>
            <w:ind w:left="5103"/>
            <w:rPr>
              <w:szCs w:val="24"/>
            </w:rPr>
          </w:pPr>
          <w:sdt>
            <w:sdtPr>
              <w:alias w:val="Numeris"/>
              <w:tag w:val="nr_c8debd9690164ef681cb144533c1512c"/>
              <w:lock w:val="sdtLocked"/>
              <w:richText/>
            </w:sdtPr>
            <w:sdtContent>
              <w:r>
                <w:rPr>
                  <w:szCs w:val="24"/>
                </w:rPr>
                <w:t>2</w:t>
              </w:r>
            </w:sdtContent>
          </w:sdt>
          <w:r>
            <w:rPr>
              <w:szCs w:val="24"/>
            </w:rPr>
            <w:t xml:space="preserve"> priedas</w:t>
          </w:r>
        </w:p>
        <w:p>
          <w:pPr>
            <w:rPr>
              <w:szCs w:val="24"/>
            </w:rPr>
          </w:pPr>
        </w:p>
        <w:p>
          <w:pPr>
            <w:ind w:firstLine="720"/>
            <w:jc w:val="center"/>
            <w:rPr>
              <w:b/>
              <w:bCs/>
              <w:szCs w:val="24"/>
            </w:rPr>
          </w:pPr>
          <w:sdt>
            <w:sdtPr>
              <w:alias w:val="Pavadinimas"/>
              <w:tag w:val="title_c8debd9690164ef681cb144533c1512c"/>
              <w:lock w:val="sdtLocked"/>
              <w:richText/>
            </w:sdtPr>
            <w:sdtContent>
              <w:r>
                <w:rPr>
                  <w:b/>
                  <w:bCs/>
                  <w:szCs w:val="24"/>
                </w:rPr>
                <w:t xml:space="preserve">DAUGIABUČIŲ GYVENAMŲJŲ NAMŲ BENDROJO NAUDOJIMO OBJEKTŲ TECHNINĖS PRIEŽIŪROS MOKESČIO TARIFŲ KOEFICIENTAI, ĮVERTINANTYS NAMŲ AUKŠTINGUMĄ </w:t>
              </w:r>
            </w:sdtContent>
          </w:sdt>
        </w:p>
        <w:p>
          <w:pPr>
            <w:jc w:val="center"/>
            <w:rPr>
              <w:szCs w:val="24"/>
              <w:vertAlign w:val="subscript"/>
            </w:rPr>
          </w:pPr>
        </w:p>
        <w:p>
          <w:pPr>
            <w:jc w:val="center"/>
            <w:rPr>
              <w:szCs w:val="24"/>
              <w:vertAlign w:val="subscript"/>
            </w:rPr>
          </w:pPr>
        </w:p>
        <w:p>
          <w:pPr>
            <w:rPr>
              <w:szCs w:val="24"/>
            </w:rPr>
          </w:pPr>
        </w:p>
        <w:tbl>
          <w:tblPr>
            <w:tblW w:w="0" w:type="auto"/>
            <w:tblInd w:w="55" w:type="dxa"/>
            <w:tblLayout w:type="fixed"/>
            <w:tblCellMar>
              <w:top w:w="55" w:type="dxa"/>
              <w:left w:w="55" w:type="dxa"/>
              <w:bottom w:w="55" w:type="dxa"/>
              <w:right w:w="55" w:type="dxa"/>
            </w:tblCellMar>
            <w:tblLook w:val="04A0" w:firstRow="1" w:lastRow="0" w:firstColumn="1" w:lastColumn="0" w:noHBand="0" w:noVBand="1"/>
          </w:tblPr>
          <w:tblGrid>
            <w:gridCol w:w="4536"/>
            <w:gridCol w:w="4962"/>
          </w:tblGrid>
          <w:tr>
            <w:tc>
              <w:tcPr>
                <w:tcW w:w="4536" w:type="dxa"/>
                <w:tcBorders>
                  <w:top w:val="single" w:sz="2" w:space="0" w:color="000000"/>
                  <w:left w:val="single" w:sz="2" w:space="0" w:color="000000"/>
                  <w:bottom w:val="single" w:sz="2" w:space="0" w:color="000000"/>
                  <w:right w:val="nil"/>
                </w:tcBorders>
              </w:tcPr>
              <w:p>
                <w:pPr>
                  <w:widowControl w:val="0"/>
                  <w:suppressLineNumbers/>
                  <w:suppressAutoHyphens/>
                  <w:snapToGrid w:val="0"/>
                  <w:rPr>
                    <w:rFonts w:eastAsia="Lucida Sans Unicode"/>
                    <w:szCs w:val="24"/>
                  </w:rPr>
                </w:pPr>
                <w:r>
                  <w:rPr>
                    <w:rFonts w:eastAsia="Lucida Sans Unicode"/>
                    <w:szCs w:val="24"/>
                  </w:rPr>
                  <w:t>Gyvenamojo namo aukštų skaičius</w:t>
                </w:r>
              </w:p>
            </w:tc>
            <w:tc>
              <w:tcPr>
                <w:tcW w:w="4962" w:type="dxa"/>
                <w:tcBorders>
                  <w:top w:val="single" w:sz="2" w:space="0" w:color="000000"/>
                  <w:left w:val="single" w:sz="2" w:space="0" w:color="000000"/>
                  <w:bottom w:val="single" w:sz="2" w:space="0" w:color="000000"/>
                  <w:right w:val="single" w:sz="2" w:space="0" w:color="000000"/>
                </w:tcBorders>
              </w:tcPr>
              <w:p>
                <w:pPr>
                  <w:widowControl w:val="0"/>
                  <w:suppressLineNumbers/>
                  <w:suppressAutoHyphens/>
                  <w:snapToGrid w:val="0"/>
                  <w:rPr>
                    <w:rFonts w:eastAsia="Lucida Sans Unicode"/>
                    <w:szCs w:val="24"/>
                  </w:rPr>
                </w:pPr>
                <w:r>
                  <w:rPr>
                    <w:rFonts w:eastAsia="Lucida Sans Unicode"/>
                    <w:szCs w:val="24"/>
                  </w:rPr>
                  <w:t xml:space="preserve">Koeficiento </w:t>
                </w:r>
                <w:r>
                  <w:rPr>
                    <w:rFonts w:eastAsia="Lucida Sans Unicode"/>
                    <w:bCs/>
                    <w:szCs w:val="24"/>
                  </w:rPr>
                  <w:t>K</w:t>
                </w:r>
                <w:r>
                  <w:rPr>
                    <w:rFonts w:eastAsia="Lucida Sans Unicode"/>
                    <w:szCs w:val="24"/>
                    <w:vertAlign w:val="subscript"/>
                  </w:rPr>
                  <w:t xml:space="preserve">1 </w:t>
                </w:r>
                <w:r>
                  <w:rPr>
                    <w:rFonts w:eastAsia="Lucida Sans Unicode"/>
                    <w:szCs w:val="24"/>
                  </w:rPr>
                  <w:t>reikšmės</w:t>
                </w:r>
              </w:p>
              <w:p>
                <w:pPr>
                  <w:widowControl w:val="0"/>
                  <w:suppressLineNumbers/>
                  <w:suppressAutoHyphens/>
                  <w:snapToGrid w:val="0"/>
                  <w:rPr>
                    <w:rFonts w:eastAsia="Lucida Sans Unicode"/>
                    <w:szCs w:val="24"/>
                  </w:rPr>
                </w:pPr>
              </w:p>
            </w:tc>
          </w:tr>
          <w:tr>
            <w:tc>
              <w:tcPr>
                <w:tcW w:w="4536" w:type="dxa"/>
                <w:tcBorders>
                  <w:top w:val="nil"/>
                  <w:left w:val="single" w:sz="2" w:space="0" w:color="000000"/>
                  <w:bottom w:val="single" w:sz="2" w:space="0" w:color="000000"/>
                  <w:right w:val="nil"/>
                </w:tcBorders>
              </w:tcPr>
              <w:p>
                <w:pPr>
                  <w:widowControl w:val="0"/>
                  <w:suppressLineNumbers/>
                  <w:suppressAutoHyphens/>
                  <w:snapToGrid w:val="0"/>
                  <w:jc w:val="center"/>
                  <w:rPr>
                    <w:rFonts w:eastAsia="Lucida Sans Unicode"/>
                    <w:szCs w:val="24"/>
                  </w:rPr>
                </w:pPr>
                <w:r>
                  <w:rPr>
                    <w:rFonts w:eastAsia="Lucida Sans Unicode"/>
                    <w:szCs w:val="24"/>
                  </w:rPr>
                  <w:t>1</w:t>
                </w:r>
              </w:p>
            </w:tc>
            <w:tc>
              <w:tcPr>
                <w:tcW w:w="4962" w:type="dxa"/>
                <w:tcBorders>
                  <w:top w:val="nil"/>
                  <w:left w:val="single" w:sz="2" w:space="0" w:color="000000"/>
                  <w:bottom w:val="single" w:sz="2" w:space="0" w:color="000000"/>
                  <w:right w:val="single" w:sz="2" w:space="0" w:color="000000"/>
                </w:tcBorders>
                <w:vAlign w:val="center"/>
              </w:tcPr>
              <w:p>
                <w:pPr>
                  <w:jc w:val="center"/>
                  <w:rPr>
                    <w:rFonts w:ascii="Calibri" w:hAnsi="Calibri"/>
                    <w:color w:val="000000"/>
                    <w:sz w:val="22"/>
                    <w:szCs w:val="22"/>
                  </w:rPr>
                </w:pPr>
                <w:r>
                  <w:rPr>
                    <w:rFonts w:ascii="Calibri" w:hAnsi="Calibri"/>
                    <w:color w:val="000000"/>
                    <w:sz w:val="22"/>
                    <w:szCs w:val="22"/>
                  </w:rPr>
                  <w:t>1,115</w:t>
                </w:r>
              </w:p>
            </w:tc>
          </w:tr>
          <w:tr>
            <w:tc>
              <w:tcPr>
                <w:tcW w:w="4536" w:type="dxa"/>
                <w:tcBorders>
                  <w:top w:val="nil"/>
                  <w:left w:val="single" w:sz="2" w:space="0" w:color="000000"/>
                  <w:bottom w:val="single" w:sz="2" w:space="0" w:color="000000"/>
                  <w:right w:val="nil"/>
                </w:tcBorders>
              </w:tcPr>
              <w:p>
                <w:pPr>
                  <w:widowControl w:val="0"/>
                  <w:suppressLineNumbers/>
                  <w:suppressAutoHyphens/>
                  <w:snapToGrid w:val="0"/>
                  <w:jc w:val="center"/>
                  <w:rPr>
                    <w:rFonts w:eastAsia="Lucida Sans Unicode"/>
                    <w:szCs w:val="24"/>
                  </w:rPr>
                </w:pPr>
                <w:r>
                  <w:rPr>
                    <w:rFonts w:eastAsia="Lucida Sans Unicode"/>
                    <w:szCs w:val="24"/>
                  </w:rPr>
                  <w:t>2</w:t>
                </w:r>
              </w:p>
            </w:tc>
            <w:tc>
              <w:tcPr>
                <w:tcW w:w="4962" w:type="dxa"/>
                <w:tcBorders>
                  <w:top w:val="nil"/>
                  <w:left w:val="single" w:sz="2" w:space="0" w:color="000000"/>
                  <w:bottom w:val="single" w:sz="2" w:space="0" w:color="000000"/>
                  <w:right w:val="single" w:sz="2" w:space="0" w:color="000000"/>
                </w:tcBorders>
                <w:vAlign w:val="center"/>
              </w:tcPr>
              <w:p>
                <w:pPr>
                  <w:jc w:val="center"/>
                  <w:rPr>
                    <w:rFonts w:ascii="Calibri" w:hAnsi="Calibri"/>
                    <w:color w:val="000000"/>
                    <w:sz w:val="22"/>
                    <w:szCs w:val="22"/>
                  </w:rPr>
                </w:pPr>
                <w:r>
                  <w:rPr>
                    <w:rFonts w:ascii="Calibri" w:hAnsi="Calibri"/>
                    <w:color w:val="000000"/>
                    <w:sz w:val="22"/>
                    <w:szCs w:val="22"/>
                  </w:rPr>
                  <w:t>1,11</w:t>
                </w:r>
              </w:p>
            </w:tc>
          </w:tr>
          <w:tr>
            <w:tc>
              <w:tcPr>
                <w:tcW w:w="4536" w:type="dxa"/>
                <w:tcBorders>
                  <w:top w:val="nil"/>
                  <w:left w:val="single" w:sz="2" w:space="0" w:color="000000"/>
                  <w:bottom w:val="single" w:sz="2" w:space="0" w:color="000000"/>
                  <w:right w:val="nil"/>
                </w:tcBorders>
              </w:tcPr>
              <w:p>
                <w:pPr>
                  <w:widowControl w:val="0"/>
                  <w:suppressLineNumbers/>
                  <w:suppressAutoHyphens/>
                  <w:snapToGrid w:val="0"/>
                  <w:jc w:val="center"/>
                  <w:rPr>
                    <w:rFonts w:eastAsia="Lucida Sans Unicode"/>
                    <w:szCs w:val="24"/>
                  </w:rPr>
                </w:pPr>
                <w:r>
                  <w:rPr>
                    <w:rFonts w:eastAsia="Lucida Sans Unicode"/>
                    <w:szCs w:val="24"/>
                  </w:rPr>
                  <w:t>3</w:t>
                </w:r>
              </w:p>
            </w:tc>
            <w:tc>
              <w:tcPr>
                <w:tcW w:w="4962" w:type="dxa"/>
                <w:tcBorders>
                  <w:top w:val="nil"/>
                  <w:left w:val="single" w:sz="2" w:space="0" w:color="000000"/>
                  <w:bottom w:val="single" w:sz="2" w:space="0" w:color="000000"/>
                  <w:right w:val="single" w:sz="2" w:space="0" w:color="000000"/>
                </w:tcBorders>
                <w:vAlign w:val="center"/>
              </w:tcPr>
              <w:p>
                <w:pPr>
                  <w:jc w:val="center"/>
                  <w:rPr>
                    <w:rFonts w:ascii="Calibri" w:hAnsi="Calibri"/>
                    <w:color w:val="000000"/>
                    <w:sz w:val="22"/>
                    <w:szCs w:val="22"/>
                  </w:rPr>
                </w:pPr>
                <w:r>
                  <w:rPr>
                    <w:rFonts w:ascii="Calibri" w:hAnsi="Calibri"/>
                    <w:color w:val="000000"/>
                    <w:sz w:val="22"/>
                    <w:szCs w:val="22"/>
                  </w:rPr>
                  <w:t>1,1</w:t>
                </w:r>
              </w:p>
            </w:tc>
          </w:tr>
          <w:tr>
            <w:tc>
              <w:tcPr>
                <w:tcW w:w="4536" w:type="dxa"/>
                <w:tcBorders>
                  <w:top w:val="nil"/>
                  <w:left w:val="single" w:sz="2" w:space="0" w:color="000000"/>
                  <w:bottom w:val="single" w:sz="2" w:space="0" w:color="000000"/>
                  <w:right w:val="nil"/>
                </w:tcBorders>
              </w:tcPr>
              <w:p>
                <w:pPr>
                  <w:widowControl w:val="0"/>
                  <w:suppressLineNumbers/>
                  <w:suppressAutoHyphens/>
                  <w:snapToGrid w:val="0"/>
                  <w:jc w:val="center"/>
                  <w:rPr>
                    <w:rFonts w:eastAsia="Lucida Sans Unicode"/>
                    <w:szCs w:val="24"/>
                  </w:rPr>
                </w:pPr>
                <w:r>
                  <w:rPr>
                    <w:rFonts w:eastAsia="Lucida Sans Unicode"/>
                    <w:szCs w:val="24"/>
                  </w:rPr>
                  <w:t>4</w:t>
                </w:r>
              </w:p>
            </w:tc>
            <w:tc>
              <w:tcPr>
                <w:tcW w:w="4962" w:type="dxa"/>
                <w:tcBorders>
                  <w:top w:val="nil"/>
                  <w:left w:val="single" w:sz="2" w:space="0" w:color="000000"/>
                  <w:bottom w:val="single" w:sz="2" w:space="0" w:color="000000"/>
                  <w:right w:val="single" w:sz="2" w:space="0" w:color="000000"/>
                </w:tcBorders>
                <w:vAlign w:val="center"/>
              </w:tcPr>
              <w:p>
                <w:pPr>
                  <w:jc w:val="center"/>
                  <w:rPr>
                    <w:rFonts w:ascii="Calibri" w:hAnsi="Calibri"/>
                    <w:color w:val="000000"/>
                    <w:sz w:val="22"/>
                    <w:szCs w:val="22"/>
                  </w:rPr>
                </w:pPr>
                <w:r>
                  <w:rPr>
                    <w:rFonts w:ascii="Calibri" w:hAnsi="Calibri"/>
                    <w:color w:val="000000"/>
                    <w:sz w:val="22"/>
                    <w:szCs w:val="22"/>
                  </w:rPr>
                  <w:t>1,08</w:t>
                </w:r>
              </w:p>
            </w:tc>
          </w:tr>
          <w:tr>
            <w:tc>
              <w:tcPr>
                <w:tcW w:w="4536" w:type="dxa"/>
                <w:tcBorders>
                  <w:top w:val="nil"/>
                  <w:left w:val="single" w:sz="2" w:space="0" w:color="000000"/>
                  <w:bottom w:val="single" w:sz="2" w:space="0" w:color="000000"/>
                  <w:right w:val="nil"/>
                </w:tcBorders>
              </w:tcPr>
              <w:p>
                <w:pPr>
                  <w:widowControl w:val="0"/>
                  <w:suppressLineNumbers/>
                  <w:suppressAutoHyphens/>
                  <w:snapToGrid w:val="0"/>
                  <w:jc w:val="center"/>
                  <w:rPr>
                    <w:rFonts w:eastAsia="Lucida Sans Unicode"/>
                    <w:szCs w:val="24"/>
                  </w:rPr>
                </w:pPr>
                <w:r>
                  <w:rPr>
                    <w:rFonts w:eastAsia="Lucida Sans Unicode"/>
                    <w:szCs w:val="24"/>
                  </w:rPr>
                  <w:t>5</w:t>
                </w:r>
              </w:p>
            </w:tc>
            <w:tc>
              <w:tcPr>
                <w:tcW w:w="4962" w:type="dxa"/>
                <w:tcBorders>
                  <w:top w:val="nil"/>
                  <w:left w:val="single" w:sz="2" w:space="0" w:color="000000"/>
                  <w:bottom w:val="single" w:sz="2" w:space="0" w:color="000000"/>
                  <w:right w:val="single" w:sz="2" w:space="0" w:color="000000"/>
                </w:tcBorders>
                <w:vAlign w:val="center"/>
              </w:tcPr>
              <w:p>
                <w:pPr>
                  <w:jc w:val="center"/>
                  <w:rPr>
                    <w:rFonts w:ascii="Calibri" w:hAnsi="Calibri"/>
                    <w:color w:val="000000"/>
                    <w:sz w:val="22"/>
                    <w:szCs w:val="22"/>
                  </w:rPr>
                </w:pPr>
                <w:r>
                  <w:rPr>
                    <w:rFonts w:ascii="Calibri" w:hAnsi="Calibri"/>
                    <w:color w:val="000000"/>
                    <w:sz w:val="22"/>
                    <w:szCs w:val="22"/>
                  </w:rPr>
                  <w:t>1</w:t>
                </w:r>
              </w:p>
            </w:tc>
          </w:tr>
          <w:tr>
            <w:tc>
              <w:tcPr>
                <w:tcW w:w="4536" w:type="dxa"/>
                <w:tcBorders>
                  <w:top w:val="nil"/>
                  <w:left w:val="single" w:sz="2" w:space="0" w:color="000000"/>
                  <w:bottom w:val="single" w:sz="2" w:space="0" w:color="000000"/>
                  <w:right w:val="nil"/>
                </w:tcBorders>
              </w:tcPr>
              <w:p>
                <w:pPr>
                  <w:widowControl w:val="0"/>
                  <w:suppressLineNumbers/>
                  <w:suppressAutoHyphens/>
                  <w:snapToGrid w:val="0"/>
                  <w:jc w:val="center"/>
                  <w:rPr>
                    <w:rFonts w:eastAsia="Lucida Sans Unicode"/>
                    <w:szCs w:val="24"/>
                  </w:rPr>
                </w:pPr>
                <w:r>
                  <w:rPr>
                    <w:rFonts w:eastAsia="Lucida Sans Unicode"/>
                    <w:szCs w:val="24"/>
                  </w:rPr>
                  <w:t>6</w:t>
                </w:r>
              </w:p>
            </w:tc>
            <w:tc>
              <w:tcPr>
                <w:tcW w:w="4962" w:type="dxa"/>
                <w:tcBorders>
                  <w:top w:val="nil"/>
                  <w:left w:val="single" w:sz="2" w:space="0" w:color="000000"/>
                  <w:bottom w:val="single" w:sz="2" w:space="0" w:color="000000"/>
                  <w:right w:val="single" w:sz="2" w:space="0" w:color="000000"/>
                </w:tcBorders>
                <w:vAlign w:val="center"/>
              </w:tcPr>
              <w:p>
                <w:pPr>
                  <w:jc w:val="center"/>
                  <w:rPr>
                    <w:rFonts w:ascii="Calibri" w:hAnsi="Calibri"/>
                    <w:color w:val="000000"/>
                    <w:sz w:val="22"/>
                    <w:szCs w:val="22"/>
                  </w:rPr>
                </w:pPr>
                <w:r>
                  <w:rPr>
                    <w:rFonts w:ascii="Calibri" w:hAnsi="Calibri"/>
                    <w:color w:val="000000"/>
                    <w:sz w:val="22"/>
                    <w:szCs w:val="22"/>
                  </w:rPr>
                  <w:t>0,91</w:t>
                </w:r>
              </w:p>
            </w:tc>
          </w:tr>
          <w:tr>
            <w:tc>
              <w:tcPr>
                <w:tcW w:w="4536" w:type="dxa"/>
                <w:tcBorders>
                  <w:top w:val="nil"/>
                  <w:left w:val="single" w:sz="2" w:space="0" w:color="000000"/>
                  <w:bottom w:val="single" w:sz="2" w:space="0" w:color="000000"/>
                  <w:right w:val="nil"/>
                </w:tcBorders>
              </w:tcPr>
              <w:p>
                <w:pPr>
                  <w:widowControl w:val="0"/>
                  <w:suppressLineNumbers/>
                  <w:suppressAutoHyphens/>
                  <w:snapToGrid w:val="0"/>
                  <w:jc w:val="center"/>
                  <w:rPr>
                    <w:rFonts w:eastAsia="Lucida Sans Unicode"/>
                    <w:szCs w:val="24"/>
                  </w:rPr>
                </w:pPr>
                <w:r>
                  <w:rPr>
                    <w:rFonts w:eastAsia="Lucida Sans Unicode"/>
                    <w:szCs w:val="24"/>
                  </w:rPr>
                  <w:t>7</w:t>
                </w:r>
              </w:p>
            </w:tc>
            <w:tc>
              <w:tcPr>
                <w:tcW w:w="4962" w:type="dxa"/>
                <w:tcBorders>
                  <w:top w:val="nil"/>
                  <w:left w:val="single" w:sz="2" w:space="0" w:color="000000"/>
                  <w:bottom w:val="single" w:sz="2" w:space="0" w:color="000000"/>
                  <w:right w:val="single" w:sz="2" w:space="0" w:color="000000"/>
                </w:tcBorders>
                <w:vAlign w:val="center"/>
              </w:tcPr>
              <w:p>
                <w:pPr>
                  <w:jc w:val="center"/>
                  <w:rPr>
                    <w:rFonts w:ascii="Calibri" w:hAnsi="Calibri"/>
                    <w:color w:val="000000"/>
                    <w:sz w:val="22"/>
                    <w:szCs w:val="22"/>
                  </w:rPr>
                </w:pPr>
                <w:r>
                  <w:rPr>
                    <w:rFonts w:ascii="Calibri" w:hAnsi="Calibri"/>
                    <w:color w:val="000000"/>
                    <w:sz w:val="22"/>
                    <w:szCs w:val="22"/>
                  </w:rPr>
                  <w:t>0,84</w:t>
                </w:r>
              </w:p>
            </w:tc>
          </w:tr>
          <w:tr>
            <w:tc>
              <w:tcPr>
                <w:tcW w:w="4536" w:type="dxa"/>
                <w:tcBorders>
                  <w:top w:val="nil"/>
                  <w:left w:val="single" w:sz="2" w:space="0" w:color="000000"/>
                  <w:bottom w:val="single" w:sz="2" w:space="0" w:color="000000"/>
                  <w:right w:val="nil"/>
                </w:tcBorders>
              </w:tcPr>
              <w:p>
                <w:pPr>
                  <w:widowControl w:val="0"/>
                  <w:suppressLineNumbers/>
                  <w:suppressAutoHyphens/>
                  <w:snapToGrid w:val="0"/>
                  <w:jc w:val="center"/>
                  <w:rPr>
                    <w:rFonts w:eastAsia="Lucida Sans Unicode"/>
                    <w:szCs w:val="24"/>
                  </w:rPr>
                </w:pPr>
                <w:r>
                  <w:rPr>
                    <w:rFonts w:eastAsia="Lucida Sans Unicode"/>
                    <w:szCs w:val="24"/>
                  </w:rPr>
                  <w:t>8</w:t>
                </w:r>
              </w:p>
            </w:tc>
            <w:tc>
              <w:tcPr>
                <w:tcW w:w="4962" w:type="dxa"/>
                <w:tcBorders>
                  <w:top w:val="nil"/>
                  <w:left w:val="single" w:sz="2" w:space="0" w:color="000000"/>
                  <w:bottom w:val="single" w:sz="2" w:space="0" w:color="000000"/>
                  <w:right w:val="single" w:sz="2" w:space="0" w:color="000000"/>
                </w:tcBorders>
                <w:vAlign w:val="center"/>
              </w:tcPr>
              <w:p>
                <w:pPr>
                  <w:jc w:val="center"/>
                  <w:rPr>
                    <w:rFonts w:ascii="Calibri" w:hAnsi="Calibri"/>
                    <w:color w:val="000000"/>
                    <w:sz w:val="22"/>
                    <w:szCs w:val="22"/>
                  </w:rPr>
                </w:pPr>
                <w:r>
                  <w:rPr>
                    <w:rFonts w:ascii="Calibri" w:hAnsi="Calibri"/>
                    <w:color w:val="000000"/>
                    <w:sz w:val="22"/>
                    <w:szCs w:val="22"/>
                  </w:rPr>
                  <w:t>0,82</w:t>
                </w:r>
              </w:p>
            </w:tc>
          </w:tr>
          <w:tr>
            <w:tc>
              <w:tcPr>
                <w:tcW w:w="4536" w:type="dxa"/>
                <w:tcBorders>
                  <w:top w:val="nil"/>
                  <w:left w:val="single" w:sz="2" w:space="0" w:color="000000"/>
                  <w:bottom w:val="single" w:sz="2" w:space="0" w:color="000000"/>
                  <w:right w:val="nil"/>
                </w:tcBorders>
              </w:tcPr>
              <w:p>
                <w:pPr>
                  <w:widowControl w:val="0"/>
                  <w:suppressLineNumbers/>
                  <w:suppressAutoHyphens/>
                  <w:snapToGrid w:val="0"/>
                  <w:jc w:val="center"/>
                  <w:rPr>
                    <w:rFonts w:eastAsia="Lucida Sans Unicode"/>
                    <w:szCs w:val="24"/>
                  </w:rPr>
                </w:pPr>
                <w:r>
                  <w:rPr>
                    <w:rFonts w:eastAsia="Lucida Sans Unicode"/>
                    <w:szCs w:val="24"/>
                  </w:rPr>
                  <w:t>9</w:t>
                </w:r>
              </w:p>
            </w:tc>
            <w:tc>
              <w:tcPr>
                <w:tcW w:w="4962" w:type="dxa"/>
                <w:tcBorders>
                  <w:top w:val="nil"/>
                  <w:left w:val="single" w:sz="2" w:space="0" w:color="000000"/>
                  <w:bottom w:val="single" w:sz="2" w:space="0" w:color="000000"/>
                  <w:right w:val="single" w:sz="2" w:space="0" w:color="000000"/>
                </w:tcBorders>
                <w:vAlign w:val="center"/>
              </w:tcPr>
              <w:p>
                <w:pPr>
                  <w:jc w:val="center"/>
                  <w:rPr>
                    <w:rFonts w:ascii="Calibri" w:hAnsi="Calibri"/>
                    <w:color w:val="000000"/>
                    <w:sz w:val="22"/>
                    <w:szCs w:val="22"/>
                  </w:rPr>
                </w:pPr>
                <w:r>
                  <w:rPr>
                    <w:rFonts w:ascii="Calibri" w:hAnsi="Calibri"/>
                    <w:color w:val="000000"/>
                    <w:sz w:val="22"/>
                    <w:szCs w:val="22"/>
                  </w:rPr>
                  <w:t>0,81</w:t>
                </w:r>
              </w:p>
            </w:tc>
          </w:tr>
          <w:tr>
            <w:tc>
              <w:tcPr>
                <w:tcW w:w="4536" w:type="dxa"/>
                <w:tcBorders>
                  <w:top w:val="nil"/>
                  <w:left w:val="single" w:sz="2" w:space="0" w:color="000000"/>
                  <w:bottom w:val="single" w:sz="2" w:space="0" w:color="000000"/>
                  <w:right w:val="nil"/>
                </w:tcBorders>
              </w:tcPr>
              <w:p>
                <w:pPr>
                  <w:widowControl w:val="0"/>
                  <w:suppressLineNumbers/>
                  <w:suppressAutoHyphens/>
                  <w:snapToGrid w:val="0"/>
                  <w:jc w:val="center"/>
                  <w:rPr>
                    <w:rFonts w:eastAsia="Lucida Sans Unicode"/>
                    <w:szCs w:val="24"/>
                  </w:rPr>
                </w:pPr>
                <w:r>
                  <w:rPr>
                    <w:rFonts w:eastAsia="Lucida Sans Unicode"/>
                    <w:szCs w:val="24"/>
                  </w:rPr>
                  <w:t>10</w:t>
                </w:r>
              </w:p>
            </w:tc>
            <w:tc>
              <w:tcPr>
                <w:tcW w:w="4962" w:type="dxa"/>
                <w:tcBorders>
                  <w:top w:val="nil"/>
                  <w:left w:val="single" w:sz="2" w:space="0" w:color="000000"/>
                  <w:bottom w:val="single" w:sz="2" w:space="0" w:color="000000"/>
                  <w:right w:val="single" w:sz="2" w:space="0" w:color="000000"/>
                </w:tcBorders>
                <w:vAlign w:val="center"/>
              </w:tcPr>
              <w:p>
                <w:pPr>
                  <w:jc w:val="center"/>
                  <w:rPr>
                    <w:rFonts w:ascii="Calibri" w:hAnsi="Calibri"/>
                    <w:color w:val="000000"/>
                    <w:sz w:val="22"/>
                    <w:szCs w:val="22"/>
                  </w:rPr>
                </w:pPr>
                <w:r>
                  <w:rPr>
                    <w:rFonts w:ascii="Calibri" w:hAnsi="Calibri"/>
                    <w:color w:val="000000"/>
                    <w:sz w:val="22"/>
                    <w:szCs w:val="22"/>
                  </w:rPr>
                  <w:t>0,79</w:t>
                </w:r>
              </w:p>
            </w:tc>
          </w:tr>
          <w:tr>
            <w:tc>
              <w:tcPr>
                <w:tcW w:w="4536" w:type="dxa"/>
                <w:tcBorders>
                  <w:top w:val="nil"/>
                  <w:left w:val="single" w:sz="2" w:space="0" w:color="000000"/>
                  <w:bottom w:val="single" w:sz="2" w:space="0" w:color="000000"/>
                  <w:right w:val="nil"/>
                </w:tcBorders>
              </w:tcPr>
              <w:p>
                <w:pPr>
                  <w:widowControl w:val="0"/>
                  <w:suppressLineNumbers/>
                  <w:suppressAutoHyphens/>
                  <w:snapToGrid w:val="0"/>
                  <w:jc w:val="center"/>
                  <w:rPr>
                    <w:rFonts w:eastAsia="Lucida Sans Unicode"/>
                    <w:szCs w:val="24"/>
                  </w:rPr>
                </w:pPr>
                <w:r>
                  <w:rPr>
                    <w:rFonts w:eastAsia="Lucida Sans Unicode"/>
                    <w:szCs w:val="24"/>
                  </w:rPr>
                  <w:t>11</w:t>
                </w:r>
              </w:p>
            </w:tc>
            <w:tc>
              <w:tcPr>
                <w:tcW w:w="4962" w:type="dxa"/>
                <w:tcBorders>
                  <w:top w:val="nil"/>
                  <w:left w:val="single" w:sz="2" w:space="0" w:color="000000"/>
                  <w:bottom w:val="single" w:sz="2" w:space="0" w:color="000000"/>
                  <w:right w:val="single" w:sz="2" w:space="0" w:color="000000"/>
                </w:tcBorders>
                <w:vAlign w:val="center"/>
              </w:tcPr>
              <w:p>
                <w:pPr>
                  <w:jc w:val="center"/>
                  <w:rPr>
                    <w:rFonts w:ascii="Calibri" w:hAnsi="Calibri"/>
                    <w:color w:val="000000"/>
                    <w:sz w:val="22"/>
                    <w:szCs w:val="22"/>
                  </w:rPr>
                </w:pPr>
                <w:r>
                  <w:rPr>
                    <w:rFonts w:ascii="Calibri" w:hAnsi="Calibri"/>
                    <w:color w:val="000000"/>
                    <w:sz w:val="22"/>
                    <w:szCs w:val="22"/>
                  </w:rPr>
                  <w:t>0,76</w:t>
                </w:r>
              </w:p>
            </w:tc>
          </w:tr>
          <w:tr>
            <w:tc>
              <w:tcPr>
                <w:tcW w:w="4536" w:type="dxa"/>
                <w:tcBorders>
                  <w:top w:val="nil"/>
                  <w:left w:val="single" w:sz="2" w:space="0" w:color="000000"/>
                  <w:bottom w:val="single" w:sz="2" w:space="0" w:color="000000"/>
                  <w:right w:val="nil"/>
                </w:tcBorders>
              </w:tcPr>
              <w:p>
                <w:pPr>
                  <w:widowControl w:val="0"/>
                  <w:suppressLineNumbers/>
                  <w:suppressAutoHyphens/>
                  <w:snapToGrid w:val="0"/>
                  <w:jc w:val="center"/>
                  <w:rPr>
                    <w:rFonts w:eastAsia="Lucida Sans Unicode"/>
                    <w:szCs w:val="24"/>
                  </w:rPr>
                </w:pPr>
                <w:r>
                  <w:rPr>
                    <w:rFonts w:eastAsia="Lucida Sans Unicode"/>
                    <w:szCs w:val="24"/>
                  </w:rPr>
                  <w:t>12</w:t>
                </w:r>
              </w:p>
            </w:tc>
            <w:tc>
              <w:tcPr>
                <w:tcW w:w="4962" w:type="dxa"/>
                <w:tcBorders>
                  <w:top w:val="nil"/>
                  <w:left w:val="single" w:sz="2" w:space="0" w:color="000000"/>
                  <w:bottom w:val="single" w:sz="2" w:space="0" w:color="000000"/>
                  <w:right w:val="single" w:sz="2" w:space="0" w:color="000000"/>
                </w:tcBorders>
                <w:vAlign w:val="center"/>
              </w:tcPr>
              <w:p>
                <w:pPr>
                  <w:jc w:val="center"/>
                  <w:rPr>
                    <w:rFonts w:ascii="Calibri" w:hAnsi="Calibri"/>
                    <w:color w:val="000000"/>
                    <w:sz w:val="22"/>
                    <w:szCs w:val="22"/>
                  </w:rPr>
                </w:pPr>
                <w:r>
                  <w:rPr>
                    <w:rFonts w:ascii="Calibri" w:hAnsi="Calibri"/>
                    <w:color w:val="000000"/>
                    <w:sz w:val="22"/>
                    <w:szCs w:val="22"/>
                  </w:rPr>
                  <w:t>0,71</w:t>
                </w:r>
              </w:p>
            </w:tc>
          </w:tr>
        </w:tbl>
        <w:p>
          <w:pPr>
            <w:jc w:val="center"/>
            <w:rPr>
              <w:szCs w:val="24"/>
            </w:rPr>
          </w:pPr>
          <w:r>
            <w:rPr>
              <w:szCs w:val="24"/>
            </w:rPr>
            <w:t>____________________________________</w:t>
          </w:r>
        </w:p>
      </w:sdtContent>
    </w:sdt>
    <w:sdt>
      <w:sdtPr>
        <w:alias w:val="3 pr."/>
        <w:tag w:val="part_472f7f216e964992a4966d9a225ab133"/>
        <w:lock w:val="sdtLocked"/>
        <w:richText/>
      </w:sdtPr>
      <w:sdtContent>
        <w:p>
          <w:pPr>
            <w:jc w:val="right"/>
            <w:rPr>
              <w:szCs w:val="24"/>
            </w:rPr>
          </w:pPr>
          <w:r>
            <w:rPr>
              <w:szCs w:val="24"/>
            </w:rPr>
            <w:br w:type="page"/>
          </w:r>
        </w:p>
        <w:p>
          <w:pPr>
            <w:ind w:left="5103"/>
            <w:rPr>
              <w:szCs w:val="24"/>
            </w:rPr>
          </w:pPr>
          <w:r>
            <w:rPr>
              <w:szCs w:val="24"/>
            </w:rPr>
            <w:t>Daugiabučių gyvenamųjų namų bendrosios</w:t>
          </w:r>
        </w:p>
        <w:p>
          <w:pPr>
            <w:ind w:left="5103"/>
            <w:rPr>
              <w:szCs w:val="24"/>
            </w:rPr>
          </w:pPr>
          <w:r>
            <w:rPr>
              <w:szCs w:val="24"/>
            </w:rPr>
            <w:t xml:space="preserve">nuosavybės techninės priežiūros tarifo </w:t>
          </w:r>
        </w:p>
        <w:p>
          <w:pPr>
            <w:ind w:left="5103"/>
            <w:rPr>
              <w:szCs w:val="24"/>
            </w:rPr>
          </w:pPr>
          <w:r>
            <w:rPr>
              <w:szCs w:val="24"/>
            </w:rPr>
            <w:t>apskaičiavimo metodikos</w:t>
          </w:r>
        </w:p>
        <w:p>
          <w:pPr>
            <w:ind w:left="5103"/>
            <w:rPr>
              <w:szCs w:val="24"/>
            </w:rPr>
          </w:pPr>
          <w:sdt>
            <w:sdtPr>
              <w:alias w:val="Numeris"/>
              <w:tag w:val="nr_472f7f216e964992a4966d9a225ab133"/>
              <w:lock w:val="sdtLocked"/>
              <w:richText/>
            </w:sdtPr>
            <w:sdtContent>
              <w:r>
                <w:rPr>
                  <w:szCs w:val="24"/>
                </w:rPr>
                <w:t>3</w:t>
              </w:r>
            </w:sdtContent>
          </w:sdt>
          <w:r>
            <w:rPr>
              <w:szCs w:val="24"/>
            </w:rPr>
            <w:t xml:space="preserve"> priedas</w:t>
          </w:r>
        </w:p>
        <w:p>
          <w:pPr>
            <w:jc w:val="right"/>
            <w:rPr>
              <w:szCs w:val="24"/>
            </w:rPr>
          </w:pPr>
        </w:p>
        <w:p>
          <w:pPr>
            <w:jc w:val="center"/>
            <w:rPr>
              <w:b/>
              <w:bCs/>
              <w:szCs w:val="24"/>
            </w:rPr>
          </w:pPr>
          <w:sdt>
            <w:sdtPr>
              <w:alias w:val="Pavadinimas"/>
              <w:tag w:val="title_472f7f216e964992a4966d9a225ab133"/>
              <w:lock w:val="sdtLocked"/>
              <w:richText/>
            </w:sdtPr>
            <w:sdtContent>
              <w:r>
                <w:rPr>
                  <w:b/>
                  <w:bCs/>
                  <w:szCs w:val="24"/>
                </w:rPr>
                <w:t>DAUGIABUČIŲ GYVENAMŲJŲ NAMŲ BENDROJO NAUDOJIMO OBJEKTŲ TECHNINĖS PRIEŽIŪROS MOKESČIO TARIFŲ KOEFICIENTAI, ĮVERTINANTYS NAMŲ EKSPLOATAVIMO LAIKĄ</w:t>
              </w:r>
            </w:sdtContent>
          </w:sdt>
        </w:p>
        <w:p>
          <w:pPr>
            <w:rPr>
              <w:szCs w:val="24"/>
            </w:rPr>
          </w:pPr>
        </w:p>
        <w:p>
          <w:pPr>
            <w:rPr>
              <w:szCs w:val="24"/>
            </w:rPr>
          </w:pPr>
        </w:p>
        <w:tbl>
          <w:tblPr>
            <w:tblW w:w="0" w:type="auto"/>
            <w:tblInd w:w="55" w:type="dxa"/>
            <w:tblLayout w:type="fixed"/>
            <w:tblCellMar>
              <w:top w:w="55" w:type="dxa"/>
              <w:left w:w="55" w:type="dxa"/>
              <w:bottom w:w="55" w:type="dxa"/>
              <w:right w:w="55" w:type="dxa"/>
            </w:tblCellMar>
            <w:tblLook w:val="04A0" w:firstRow="1" w:lastRow="0" w:firstColumn="1" w:lastColumn="0" w:noHBand="0" w:noVBand="1"/>
          </w:tblPr>
          <w:tblGrid>
            <w:gridCol w:w="4818"/>
            <w:gridCol w:w="4864"/>
          </w:tblGrid>
          <w:tr>
            <w:tc>
              <w:tcPr>
                <w:tcW w:w="4818" w:type="dxa"/>
                <w:tcBorders>
                  <w:top w:val="single" w:sz="2" w:space="0" w:color="000000"/>
                  <w:left w:val="single" w:sz="2" w:space="0" w:color="000000"/>
                  <w:bottom w:val="single" w:sz="2" w:space="0" w:color="000000"/>
                  <w:right w:val="nil"/>
                </w:tcBorders>
              </w:tcPr>
              <w:p>
                <w:pPr>
                  <w:widowControl w:val="0"/>
                  <w:suppressLineNumbers/>
                  <w:suppressAutoHyphens/>
                  <w:snapToGrid w:val="0"/>
                  <w:rPr>
                    <w:rFonts w:eastAsia="Lucida Sans Unicode"/>
                    <w:szCs w:val="24"/>
                  </w:rPr>
                </w:pPr>
                <w:r>
                  <w:rPr>
                    <w:rFonts w:eastAsia="Lucida Sans Unicode"/>
                    <w:szCs w:val="24"/>
                  </w:rPr>
                  <w:t>Gyvenamojo namo eksploatavimo laikas</w:t>
                </w:r>
              </w:p>
            </w:tc>
            <w:tc>
              <w:tcPr>
                <w:tcW w:w="4864" w:type="dxa"/>
                <w:tcBorders>
                  <w:top w:val="single" w:sz="2" w:space="0" w:color="000000"/>
                  <w:left w:val="single" w:sz="2" w:space="0" w:color="000000"/>
                  <w:bottom w:val="single" w:sz="2" w:space="0" w:color="000000"/>
                  <w:right w:val="single" w:sz="2" w:space="0" w:color="000000"/>
                </w:tcBorders>
              </w:tcPr>
              <w:p>
                <w:pPr>
                  <w:widowControl w:val="0"/>
                  <w:suppressLineNumbers/>
                  <w:suppressAutoHyphens/>
                  <w:snapToGrid w:val="0"/>
                  <w:jc w:val="center"/>
                  <w:rPr>
                    <w:rFonts w:eastAsia="Lucida Sans Unicode"/>
                    <w:szCs w:val="24"/>
                  </w:rPr>
                </w:pPr>
                <w:r>
                  <w:rPr>
                    <w:rFonts w:eastAsia="Lucida Sans Unicode"/>
                    <w:szCs w:val="24"/>
                  </w:rPr>
                  <w:t xml:space="preserve">Koeficiento </w:t>
                </w:r>
                <w:r>
                  <w:rPr>
                    <w:rFonts w:eastAsia="Lucida Sans Unicode"/>
                    <w:bCs/>
                    <w:szCs w:val="24"/>
                  </w:rPr>
                  <w:t>K</w:t>
                </w:r>
                <w:r>
                  <w:rPr>
                    <w:rFonts w:eastAsia="Lucida Sans Unicode"/>
                    <w:bCs/>
                    <w:szCs w:val="24"/>
                    <w:vertAlign w:val="subscript"/>
                  </w:rPr>
                  <w:t>2</w:t>
                </w:r>
                <w:r>
                  <w:rPr>
                    <w:rFonts w:eastAsia="Lucida Sans Unicode"/>
                    <w:szCs w:val="24"/>
                  </w:rPr>
                  <w:t xml:space="preserve"> reikšmės</w:t>
                </w:r>
              </w:p>
            </w:tc>
          </w:tr>
          <w:tr>
            <w:tc>
              <w:tcPr>
                <w:tcW w:w="4818" w:type="dxa"/>
                <w:tcBorders>
                  <w:top w:val="nil"/>
                  <w:left w:val="single" w:sz="2" w:space="0" w:color="000000"/>
                  <w:bottom w:val="single" w:sz="2" w:space="0" w:color="000000"/>
                  <w:right w:val="nil"/>
                </w:tcBorders>
              </w:tcPr>
              <w:p>
                <w:pPr>
                  <w:widowControl w:val="0"/>
                  <w:suppressLineNumbers/>
                  <w:suppressAutoHyphens/>
                  <w:snapToGrid w:val="0"/>
                  <w:jc w:val="center"/>
                  <w:rPr>
                    <w:rFonts w:eastAsia="Lucida Sans Unicode"/>
                    <w:szCs w:val="24"/>
                  </w:rPr>
                </w:pPr>
                <w:r>
                  <w:rPr>
                    <w:rFonts w:eastAsia="Lucida Sans Unicode"/>
                    <w:szCs w:val="24"/>
                  </w:rPr>
                  <w:t>iki 10 metų</w:t>
                </w:r>
              </w:p>
            </w:tc>
            <w:tc>
              <w:tcPr>
                <w:tcW w:w="4864" w:type="dxa"/>
                <w:tcBorders>
                  <w:top w:val="nil"/>
                  <w:left w:val="single" w:sz="2" w:space="0" w:color="000000"/>
                  <w:bottom w:val="single" w:sz="2" w:space="0" w:color="000000"/>
                  <w:right w:val="single" w:sz="2" w:space="0" w:color="000000"/>
                </w:tcBorders>
              </w:tcPr>
              <w:p>
                <w:pPr>
                  <w:widowControl w:val="0"/>
                  <w:suppressLineNumbers/>
                  <w:suppressAutoHyphens/>
                  <w:snapToGrid w:val="0"/>
                  <w:jc w:val="center"/>
                  <w:rPr>
                    <w:rFonts w:eastAsia="Lucida Sans Unicode"/>
                    <w:szCs w:val="24"/>
                  </w:rPr>
                </w:pPr>
                <w:r>
                  <w:rPr>
                    <w:rFonts w:eastAsia="Lucida Sans Unicode"/>
                    <w:szCs w:val="24"/>
                  </w:rPr>
                  <w:t>0,8</w:t>
                </w:r>
              </w:p>
            </w:tc>
          </w:tr>
          <w:tr>
            <w:tc>
              <w:tcPr>
                <w:tcW w:w="4818" w:type="dxa"/>
                <w:tcBorders>
                  <w:top w:val="nil"/>
                  <w:left w:val="single" w:sz="2" w:space="0" w:color="000000"/>
                  <w:bottom w:val="single" w:sz="2" w:space="0" w:color="000000"/>
                  <w:right w:val="nil"/>
                </w:tcBorders>
              </w:tcPr>
              <w:p>
                <w:pPr>
                  <w:widowControl w:val="0"/>
                  <w:suppressLineNumbers/>
                  <w:suppressAutoHyphens/>
                  <w:snapToGrid w:val="0"/>
                  <w:jc w:val="center"/>
                  <w:rPr>
                    <w:rFonts w:eastAsia="Lucida Sans Unicode"/>
                    <w:szCs w:val="24"/>
                  </w:rPr>
                </w:pPr>
                <w:r>
                  <w:rPr>
                    <w:rFonts w:eastAsia="Lucida Sans Unicode"/>
                    <w:szCs w:val="24"/>
                  </w:rPr>
                  <w:t>10–20 metų</w:t>
                </w:r>
              </w:p>
            </w:tc>
            <w:tc>
              <w:tcPr>
                <w:tcW w:w="4864" w:type="dxa"/>
                <w:tcBorders>
                  <w:top w:val="nil"/>
                  <w:left w:val="single" w:sz="2" w:space="0" w:color="000000"/>
                  <w:bottom w:val="single" w:sz="2" w:space="0" w:color="000000"/>
                  <w:right w:val="single" w:sz="2" w:space="0" w:color="000000"/>
                </w:tcBorders>
              </w:tcPr>
              <w:p>
                <w:pPr>
                  <w:widowControl w:val="0"/>
                  <w:suppressLineNumbers/>
                  <w:suppressAutoHyphens/>
                  <w:snapToGrid w:val="0"/>
                  <w:jc w:val="center"/>
                  <w:rPr>
                    <w:rFonts w:eastAsia="Lucida Sans Unicode"/>
                    <w:szCs w:val="24"/>
                  </w:rPr>
                </w:pPr>
                <w:r>
                  <w:rPr>
                    <w:rFonts w:eastAsia="Lucida Sans Unicode"/>
                    <w:szCs w:val="24"/>
                  </w:rPr>
                  <w:t>0,9</w:t>
                </w:r>
              </w:p>
            </w:tc>
          </w:tr>
          <w:tr>
            <w:tc>
              <w:tcPr>
                <w:tcW w:w="4818" w:type="dxa"/>
                <w:tcBorders>
                  <w:top w:val="nil"/>
                  <w:left w:val="single" w:sz="2" w:space="0" w:color="000000"/>
                  <w:bottom w:val="single" w:sz="2" w:space="0" w:color="000000"/>
                  <w:right w:val="nil"/>
                </w:tcBorders>
              </w:tcPr>
              <w:p>
                <w:pPr>
                  <w:widowControl w:val="0"/>
                  <w:suppressLineNumbers/>
                  <w:suppressAutoHyphens/>
                  <w:snapToGrid w:val="0"/>
                  <w:jc w:val="center"/>
                  <w:rPr>
                    <w:rFonts w:eastAsia="Lucida Sans Unicode"/>
                    <w:szCs w:val="24"/>
                  </w:rPr>
                </w:pPr>
                <w:r>
                  <w:rPr>
                    <w:rFonts w:eastAsia="Lucida Sans Unicode"/>
                    <w:szCs w:val="24"/>
                  </w:rPr>
                  <w:t>20–40 metai</w:t>
                </w:r>
              </w:p>
            </w:tc>
            <w:tc>
              <w:tcPr>
                <w:tcW w:w="4864" w:type="dxa"/>
                <w:tcBorders>
                  <w:top w:val="nil"/>
                  <w:left w:val="single" w:sz="2" w:space="0" w:color="000000"/>
                  <w:bottom w:val="single" w:sz="2" w:space="0" w:color="000000"/>
                  <w:right w:val="single" w:sz="2" w:space="0" w:color="000000"/>
                </w:tcBorders>
              </w:tcPr>
              <w:p>
                <w:pPr>
                  <w:widowControl w:val="0"/>
                  <w:suppressLineNumbers/>
                  <w:suppressAutoHyphens/>
                  <w:snapToGrid w:val="0"/>
                  <w:jc w:val="center"/>
                  <w:rPr>
                    <w:rFonts w:eastAsia="Lucida Sans Unicode"/>
                    <w:szCs w:val="24"/>
                  </w:rPr>
                </w:pPr>
                <w:r>
                  <w:rPr>
                    <w:rFonts w:eastAsia="Lucida Sans Unicode"/>
                    <w:szCs w:val="24"/>
                  </w:rPr>
                  <w:t>1</w:t>
                </w:r>
              </w:p>
            </w:tc>
          </w:tr>
          <w:tr>
            <w:tc>
              <w:tcPr>
                <w:tcW w:w="4818" w:type="dxa"/>
                <w:tcBorders>
                  <w:top w:val="nil"/>
                  <w:left w:val="single" w:sz="2" w:space="0" w:color="000000"/>
                  <w:bottom w:val="single" w:sz="2" w:space="0" w:color="000000"/>
                  <w:right w:val="nil"/>
                </w:tcBorders>
              </w:tcPr>
              <w:p>
                <w:pPr>
                  <w:widowControl w:val="0"/>
                  <w:suppressLineNumbers/>
                  <w:suppressAutoHyphens/>
                  <w:snapToGrid w:val="0"/>
                  <w:jc w:val="center"/>
                  <w:rPr>
                    <w:rFonts w:eastAsia="Lucida Sans Unicode"/>
                    <w:szCs w:val="24"/>
                  </w:rPr>
                </w:pPr>
                <w:r>
                  <w:rPr>
                    <w:rFonts w:eastAsia="Lucida Sans Unicode"/>
                    <w:szCs w:val="24"/>
                  </w:rPr>
                  <w:t xml:space="preserve">40-70 </w:t>
                </w:r>
              </w:p>
            </w:tc>
            <w:tc>
              <w:tcPr>
                <w:tcW w:w="4864" w:type="dxa"/>
                <w:tcBorders>
                  <w:top w:val="nil"/>
                  <w:left w:val="single" w:sz="2" w:space="0" w:color="000000"/>
                  <w:bottom w:val="single" w:sz="2" w:space="0" w:color="000000"/>
                  <w:right w:val="single" w:sz="2" w:space="0" w:color="000000"/>
                </w:tcBorders>
              </w:tcPr>
              <w:p>
                <w:pPr>
                  <w:widowControl w:val="0"/>
                  <w:suppressLineNumbers/>
                  <w:suppressAutoHyphens/>
                  <w:snapToGrid w:val="0"/>
                  <w:jc w:val="center"/>
                  <w:rPr>
                    <w:rFonts w:eastAsia="Lucida Sans Unicode"/>
                    <w:szCs w:val="24"/>
                  </w:rPr>
                </w:pPr>
                <w:r>
                  <w:rPr>
                    <w:rFonts w:eastAsia="Lucida Sans Unicode"/>
                    <w:szCs w:val="24"/>
                  </w:rPr>
                  <w:t>1,1</w:t>
                </w:r>
              </w:p>
            </w:tc>
          </w:tr>
          <w:tr>
            <w:tc>
              <w:tcPr>
                <w:tcW w:w="4818" w:type="dxa"/>
                <w:tcBorders>
                  <w:top w:val="nil"/>
                  <w:left w:val="single" w:sz="2" w:space="0" w:color="000000"/>
                  <w:bottom w:val="single" w:sz="2" w:space="0" w:color="000000"/>
                  <w:right w:val="nil"/>
                </w:tcBorders>
              </w:tcPr>
              <w:p>
                <w:pPr>
                  <w:widowControl w:val="0"/>
                  <w:suppressLineNumbers/>
                  <w:suppressAutoHyphens/>
                  <w:snapToGrid w:val="0"/>
                  <w:jc w:val="center"/>
                  <w:rPr>
                    <w:rFonts w:eastAsia="Lucida Sans Unicode"/>
                    <w:szCs w:val="24"/>
                  </w:rPr>
                </w:pPr>
                <w:r>
                  <w:rPr>
                    <w:rFonts w:eastAsia="Lucida Sans Unicode"/>
                    <w:szCs w:val="24"/>
                  </w:rPr>
                  <w:t xml:space="preserve">daugiau kaip 70  metai</w:t>
                </w:r>
              </w:p>
            </w:tc>
            <w:tc>
              <w:tcPr>
                <w:tcW w:w="4864" w:type="dxa"/>
                <w:tcBorders>
                  <w:top w:val="nil"/>
                  <w:left w:val="single" w:sz="2" w:space="0" w:color="000000"/>
                  <w:bottom w:val="single" w:sz="2" w:space="0" w:color="000000"/>
                  <w:right w:val="single" w:sz="2" w:space="0" w:color="000000"/>
                </w:tcBorders>
              </w:tcPr>
              <w:p>
                <w:pPr>
                  <w:widowControl w:val="0"/>
                  <w:suppressLineNumbers/>
                  <w:suppressAutoHyphens/>
                  <w:snapToGrid w:val="0"/>
                  <w:jc w:val="center"/>
                  <w:rPr>
                    <w:rFonts w:eastAsia="Lucida Sans Unicode"/>
                    <w:szCs w:val="24"/>
                  </w:rPr>
                </w:pPr>
                <w:r>
                  <w:rPr>
                    <w:rFonts w:eastAsia="Lucida Sans Unicode"/>
                    <w:szCs w:val="24"/>
                  </w:rPr>
                  <w:t>1,3</w:t>
                </w:r>
              </w:p>
            </w:tc>
          </w:tr>
        </w:tbl>
        <w:p>
          <w:pPr>
            <w:jc w:val="center"/>
            <w:rPr>
              <w:b/>
              <w:szCs w:val="24"/>
            </w:rPr>
          </w:pPr>
          <w:r>
            <w:rPr>
              <w:szCs w:val="24"/>
            </w:rPr>
            <w:t>____________________________________</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Radviliškio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a16f2850361111e78397ae072f58c508">
            <w:r w:rsidRPr="00532B9F">
              <w:rPr>
                <w:rFonts w:ascii="Times New Roman" w:eastAsia="MS Mincho" w:hAnsi="Times New Roman"/>
                <w:sz w:val="20"/>
                <w:iCs/>
                <w:color w:val="0000FF" w:themeColor="hyperlink"/>
                <w:u w:val="single"/>
              </w:rPr>
              <w:t>T-564</w:t>
            </w:r>
          </w:fldSimple>
          <w:r>
            <w:rPr>
              <w:rFonts w:ascii="Times New Roman" w:eastAsia="MS Mincho" w:hAnsi="Times New Roman"/>
              <w:sz w:val="20"/>
              <w:iCs/>
            </w:rPr>
            <w:t>,
2017-05-04,
paskelbta TAR 2017-05-11, i. k. 2017-08004                </w:t>
          </w:r>
        </w:p>
        <w:p>
          <w:pPr>
            <w:jc w:val="both"/>
            <w:rPr>
              <w:rFonts w:ascii="Times New Roman" w:hAnsi="Times New Roman"/>
            </w:rPr>
          </w:pPr>
          <w:r>
            <w:rPr>
              <w:rFonts w:ascii="Times New Roman" w:hAnsi="Times New Roman"/>
              <w:sz w:val="20"/>
            </w:rPr>
            <w:t>Dėl Radviliškio rajono savivaldybės tarybos 2014 m. spalio 9 d. sprendimo Nr. T-825 „Dėl Daugiabučių namų bendrojo naudojimo objektų administravimo maksimalaus tarifo apskaičiavimo tvarkos aprašo ir Namo techninės priežiūros maksimalių tarifų apskaičiavimo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Radviliškio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fec9b4e05a6811e7846ef01bfffb9b64">
            <w:r w:rsidRPr="00532B9F">
              <w:rPr>
                <w:rFonts w:ascii="Times New Roman" w:eastAsia="MS Mincho" w:hAnsi="Times New Roman"/>
                <w:sz w:val="20"/>
                <w:iCs/>
                <w:color w:val="0000FF" w:themeColor="hyperlink"/>
                <w:u w:val="single"/>
              </w:rPr>
              <w:t>T-596</w:t>
            </w:r>
          </w:fldSimple>
          <w:r>
            <w:rPr>
              <w:rFonts w:ascii="Times New Roman" w:eastAsia="MS Mincho" w:hAnsi="Times New Roman"/>
              <w:sz w:val="20"/>
              <w:iCs/>
            </w:rPr>
            <w:t>,
2017-06-22,
paskelbta TAR 2017-06-26, i. k. 2017-10757                </w:t>
          </w:r>
        </w:p>
        <w:p>
          <w:pPr>
            <w:jc w:val="both"/>
            <w:rPr>
              <w:rFonts w:ascii="Times New Roman" w:hAnsi="Times New Roman"/>
            </w:rPr>
          </w:pPr>
          <w:r>
            <w:rPr>
              <w:rFonts w:ascii="Times New Roman" w:hAnsi="Times New Roman"/>
              <w:sz w:val="20"/>
            </w:rPr>
            <w:t>Dėl Radviliškio rajono daugiabučių gyvenamųjų namų bendrojo naudojimo objektų administravimo maksimalaus tarifo apskaičiavimo tvarkos aprašo patvirtinimo</w:t>
          </w:r>
        </w:p>
        <w:p>
          <w:pPr>
            <w:jc w:val="both"/>
            <w:rPr>
              <w:rFonts w:ascii="Times New Roman" w:hAnsi="Times New Roman"/>
              <w:sz w:val="20"/>
            </w:rPr>
          </w:pPr>
        </w:p>
        <w:p>
          <w:pPr>
            <w:widowControl w:val="0"/>
            <w:rPr>
              <w:rFonts w:ascii="Times New Roman" w:hAnsi="Times New Roman"/>
              <w:snapToGrid w:val="0"/>
            </w:rPr>
          </w:pPr>
        </w:p>
      </w:sdtContent>
    </w:sdt>
    <w:sectPr>
      <w:pgSz w:w="12240" w:h="15840"/>
      <w:pgMar w:top="1134" w:right="567" w:bottom="1134" w:left="1701" w:header="709" w:footer="709" w:gutter="0"/>
      <w:cols w:space="708"/>
      <w:docGrid w:linePitch="360"/>
    </w:sectPr>
  </w:body>
</w:document>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BA"/>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A00002EF" w:usb1="4000207B" w:usb2="00000000" w:usb3="00000000" w:csb0="0000019F" w:csb1="00000000"/>
  </w:font>
</w:font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20"/>
  <w:displayHorizontalDrawingGridEvery w:val="2"/>
  <w:displayVerticalDrawingGridEvery w:val="2"/>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959D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34681DCF"/>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66360212">
      <w:bodyDiv w:val="1"/>
      <w:marLeft w:val="0"/>
      <w:marRight w:val="0"/>
      <w:marTop w:val="0"/>
      <w:marBottom w:val="0"/>
      <w:divBdr>
        <w:top w:val="none" w:sz="0" w:space="0" w:color="auto"/>
        <w:left w:val="none" w:sz="0" w:space="0" w:color="auto"/>
        <w:bottom w:val="none" w:sz="0" w:space="0" w:color="auto"/>
        <w:right w:val="none" w:sz="0" w:space="0" w:color="auto"/>
      </w:divBdr>
    </w:div>
    <w:div w:id="1517887401">
      <w:bodyDiv w:val="1"/>
      <w:marLeft w:val="0"/>
      <w:marRight w:val="0"/>
      <w:marTop w:val="0"/>
      <w:marBottom w:val="0"/>
      <w:divBdr>
        <w:top w:val="none" w:sz="0" w:space="0" w:color="auto"/>
        <w:left w:val="none" w:sz="0" w:space="0" w:color="auto"/>
        <w:bottom w:val="none" w:sz="0" w:space="0" w:color="auto"/>
        <w:right w:val="none" w:sz="0" w:space="0" w:color="auto"/>
      </w:divBdr>
    </w:div>
    <w:div w:id="21092268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theme" Target="theme/theme1.xml"/>
  <Relationship Id="rId6" Type="http://schemas.openxmlformats.org/officeDocument/2006/relationships/webSettings" Target="webSettings.xml"/>
  <Relationship Id="rId7" Type="http://schemas.openxmlformats.org/officeDocument/2006/relationships/image" Target="media/image3.wmf"/>
  <Relationship Id="rId8" Type="http://schemas.openxmlformats.org/officeDocument/2006/relationships/oleObject" Target="embeddings/oleObject3.bin"/>
  <Relationship Id="rId9" Type="http://schemas.openxmlformats.org/officeDocument/2006/relationships/customXml" Target="../customXml/item1.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CED91E24-5509-46B2-8553-13993F95EA62}"/>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BA"/>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A00002EF" w:usb1="4000207B" w:usb2="00000000" w:usb3="00000000" w:csb0="0000019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9481A"/>
    <w:rsid w:val="0009481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9481A"/>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9481A"/>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44ac2f1f24e4f4e9f26a014967547e8" PartId="672f1514f8564f8482dac9b4219ac59f">
    <Part Type="preambule" DocPartId="f98b986a344048b98af6bcc6b8c3e7bc" PartId="2b9263362e1d46b2a600c7c15a881c4b"/>
    <Part Type="punktas" Nr="1" Abbr="1 p." DocPartId="762ee5bb258442d78986e31b26ff372c" PartId="3db2c5504211416e8253c397b872dab9"/>
    <Part Type="punktas" Nr="2" Abbr="2 p." DocPartId="a5d12cbbf3594a18bf0bd1048e5bdc61" PartId="63a7e7dc75d2491e94ed03d8d6c51c8f"/>
    <Part Type="punktas" Nr="3" Abbr="3 p." DocPartId="e0ca24a6ec5045628ee21acea722bc0c" PartId="8a4a4cae9efe489c99245cb22ec82f25"/>
    <Part Type="punktas" Nr="4" Abbr="4 p." DocPartId="b843a9fdb856447a8dad8c2caddc9ad1" PartId="5cd3857d4edd45f386b396308dcfbb26"/>
    <Part Type="signatura" DocPartId="7bd67c6872b0433cb50099a237ad4ce9" PartId="a8e0a4fdb3f841dbb62410e3b87dfc58"/>
  </Part>
  <Part Type="patvirtinta" Title="DAUGIABUČIŲ NAMŲ BENDROJO NAUDOJIMO OBJEKTŲ ADMINISTRAVIMO MAKSIMALAUS TARIFO APSKAIČIAVIMO TVARKOS APRAŠAS" DocPartId="b704dcd79d7843f1988150033fbd72c7" PartId="0685820e4e8a41f8ae4a1e47b0cd834e"/>
  <Part Type="patvirtinta" Title="DAUGIABUČIŲ NAMŲ TECHNINĖS PRIEŽIŪROS MAKSIMALIŲ TARIFŲ APSKAIČIAVIMO METODIKA" DocPartId="993f8d97715b45e3ad7fc774c2688a25" PartId="9baca047338446c08916c7e53be0a1e9">
    <Part Type="skyrius" Nr="1" Title="BENDROSIOS NUOSTATOS" DocPartId="d8098c5241ba4aebbb9c11f64bd9d3cc" PartId="328b993a022d4583bb2c3fd6bc5c62f8">
      <Part Type="punktas" Nr="1" Abbr="1 p." DocPartId="30082e0d008b43dc9af29430e1bef9f9" PartId="f496318c0abe49f0832de9e0b413221f"/>
      <Part Type="punktas" Nr="2" Abbr="2 p." DocPartId="1a381c5fa7574286bafe903c7819cdad" PartId="d970f411106945d9a9f2b96a9cba50d3"/>
      <Part Type="punktas" Nr="3" Abbr="3 p." DocPartId="950ec383866848588d975b97edd31395" PartId="8575c029cbf6405e8f53228a4ec4bb9b"/>
      <Part Type="punktas" Nr="4" Abbr="4 p." DocPartId="ce9f5c4f91304d97ac110d2e963d17b6" PartId="77b4adda357c4aa1ad83f8f9a227b6f5"/>
      <Part Type="punktas" Nr="5" Abbr="5 p." DocPartId="b16b152ef79a46419f7eb8956ca43404" PartId="1945ad61b66f4b93b30a059776af78d5">
        <Part Type="punktas" Nr="5.1" Abbr="5.1 p." DocPartId="97a6aeaff0e14b6cabaf9d9eb1061e41" PartId="e9cc9f45f8f44391803cd9f43a2c3abe"/>
        <Part Type="punktas" Nr="5.2" Abbr="5.2 p." DocPartId="6fbf375eac8b4bc2b7db8abf2209934c" PartId="efe1bbcfd0794f86a556418da8401d04"/>
        <Part Type="punktas" Nr="5.3" Abbr="5.3 p." DocPartId="c915682100014caa8ac68051466ea4a2" PartId="828cfe3b21a14573a3c57cdc2b9b1dba"/>
        <Part Type="punktas" Nr="5.4" Abbr="5.4 p." DocPartId="56f2308712e14cc98c64adabc02ab072" PartId="25e8759ea21544008bde482e1cbd4cc7"/>
        <Part Type="punktas" Nr="5.5" Abbr="5.5 p." DocPartId="9ff7f0e9ee3041c5827e584f7f7be14f" PartId="6c779571ab564e37b33cb6df6b6f258f"/>
        <Part Type="punktas" Nr="5.6" Abbr="5.6 p." DocPartId="d9fc7837d4ed46398f2b51ce08ae4eac" PartId="80d9ec872dd549eb9dfa04eb42f45c48"/>
        <Part Type="punktas" Nr="5.7" Abbr="5.7 p." DocPartId="362b23318f8342d882bd3eba8eebe44f" PartId="4805e085e3b14c5e9271bca7b644c8f0"/>
      </Part>
    </Part>
    <Part Type="skyrius" Nr="2" Title="PAGRINDINĖS SĄVOKOS" DocPartId="4fa1824f47f442debd538b8712a7efe2" PartId="78d5f39b105d44dd9669f3c00a123a3b">
      <Part Type="punktas" Nr="6" Abbr="6 p." DocPartId="de6b37f893e24466b1eacb8e63c9053e" PartId="c09d8eddf51844f8b5979dfb3ac71945"/>
      <Part Type="punktas" Nr="7" Abbr="7 p." DocPartId="35430f34062c4a38a7561922592bc34a" PartId="c27332108a2343d5815582b7f16023e8"/>
      <Part Type="punktas" Nr="8" Abbr="8 p." DocPartId="7b6d5dbd884740d5863bc643a2037c38" PartId="6a50517722eb4e7bb3065f225a4257fa"/>
      <Part Type="punktas" Nr="9" Abbr="9 p." DocPartId="6d5e709f20234f88b1a4faf4dd5e869a" PartId="3405624f2cc94699819e48059b30ac83"/>
      <Part Type="punktas" Nr="10" Abbr="10 p." DocPartId="6964b35545bb453aa5d482a354aef24f" PartId="98bdb31d0df84239a551916028382aea"/>
      <Part Type="punktas" Nr="11" Abbr="11 p." DocPartId="d5fede9c9ff74464b0f111e9073a7ad0" PartId="21adadf93b244851b7d715e1d25e6cd9"/>
    </Part>
    <Part Type="skyrius" Nr="3" Title="DAUGIABUČIŲ GYVENAMŲJŲ NAMŲ TECHNINĖS PRIEŽIŪROS TARIFO APSKAIČIAVIMO REIKALAVIMAI" DocPartId="e920ddfea32644069c264dbf32d98237" PartId="0fe90999900849479b513ce3f6edc8ab">
      <Part Type="punktas" Nr="12" Abbr="12 p." DocPartId="3bd997395a5e4181b766d0a3f741e74f" PartId="095e1f5506fe423faf1877ccaf1c84a8"/>
      <Part Type="punktas" Nr="13" Abbr="13 p." DocPartId="16ac573a11c64c1b8a6de538c350eb0f" PartId="8f6e7c55a0934708947a895570911b41"/>
      <Part Type="punktas" Nr="14" Abbr="14 p." DocPartId="fe3ab1e5f238461083aa41067ca77e7e" PartId="71d41f46c4854f39974a32d4c50be47d"/>
      <Part Type="punktas" Nr="15" Abbr="15 p." DocPartId="bf8c85d0f8624c35891ed275544834b6" PartId="292cb60d9251496c8f8a48b322530aaf"/>
    </Part>
    <Part Type="skyrius" Nr="4" Title="BAIGIAMOSIOS NUOSTATOS" DocPartId="111b1a28459e4fe1832a1edec8e9ad43" PartId="71a7a8eca60147d98db5d34a379ae8ee">
      <Part Type="punktas" Nr="16" Abbr="16 p." DocPartId="1900c5084cc145669c257987d43cb9cf" PartId="689e73892fed4007b39f7aa30d79f9f0"/>
      <Part Type="punktas" Nr="17" Abbr="17 p." DocPartId="2de53dfe61484b1aa9e12f2b04e63c81" PartId="60052b022e7b402998d4fad5ec7b601b"/>
    </Part>
    <Part Type="pabaiga" DocPartId="9f4ba64ed1134cf3912315473174142d" PartId="2f21a228b22b4b869004712b9feb9750"/>
  </Part>
  <Part Type="priedas" Nr="1" Abbr="1 pr." Title="DAUGIABUČIŲ GYVENAMŲJŲ NAMŲ BENDROJO NAUDOJIMO OBJEKTŲ TECHNINĖS PRIEŽIŪROS BAZINIAI (SKAIČIUOJAMIEJI) TARIFAI" DocPartId="328d5812db9b4139b445c8f7e48c0798" PartId="432cf79462f74dd59031eaecf8579963"/>
  <Part Type="priedas" Nr="2" Abbr="2 pr." Title="DAUGIABUČIŲ GYVENAMŲJŲ NAMŲ BENDROJO NAUDOJIMO OBJEKTŲ TECHNINĖS PRIEŽIŪROS MOKESČIO TARIFŲ KOEFICIENTAI, ĮVERTINANTYS NAMŲ AUKŠTINGUMĄ" DocPartId="ea3549ec5f8140a4921c411f0a3e12d3" PartId="c8debd9690164ef681cb144533c1512c"/>
  <Part Type="priedas" Nr="3" Abbr="3 pr." Title="DAUGIABUČIŲ GYVENAMŲJŲ NAMŲ BENDROJO NAUDOJIMO OBJEKTŲ TECHNINĖS PRIEŽIŪROS MOKESČIO TARIFŲ KOEFICIENTAI, ĮVERTINANTYS NAMŲ EKSPLOATAVIMO LAIKĄ" DocPartId="de11263a6a7343368544e4cdeee9b6d5" PartId="472f7f216e964992a4966d9a225ab133"/>
</Parts>
</file>

<file path=customXml/itemProps1.xml><?xml version="1.0" encoding="utf-8"?>
<ds:datastoreItem xmlns:ds="http://schemas.openxmlformats.org/officeDocument/2006/customXml" ds:itemID="{00B4B124-AB72-49BF-B025-902EEA5E35AD}">
  <ds:schemaRefs>
    <ds:schemaRef ds:uri="http://lrs.lt/TAIS/DocParts"/>
  </ds:schemaRefs>
</ds:datastoreItem>
</file>

<file path=docProps/app.xml><?xml version="1.0" encoding="utf-8"?>
<Properties xmlns="http://schemas.openxmlformats.org/officeDocument/2006/extended-properties">
  <Template>Normal.dotm</Template>
  <TotalTime>28</TotalTime>
  <Pages>11</Pages>
  <Words>13235</Words>
  <Characters>7545</Characters>
  <Application>Microsoft Office Word</Application>
  <DocSecurity>0</DocSecurity>
  <Lines>62</Lines>
  <Paragraphs>41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Projektas</vt:lpstr>
      <vt:lpstr>Projektas</vt:lpstr>
    </vt:vector>
  </TitlesOfParts>
  <Company/>
  <LinksUpToDate>false</LinksUpToDate>
  <CharactersWithSpaces>20739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2015-01-05T09:53:00Z</dcterms:created>
  <dc:creator>Radviliškio r. savivaldybė</dc:creator>
  <lastModifiedBy>BODIN Aušra</lastModifiedBy>
  <lastPrinted>2014-10-08T09:05:00Z</lastPrinted>
  <dcterms:modified xsi:type="dcterms:W3CDTF">2017-06-28T13:14:00Z</dcterms:modified>
  <revision>10</revision>
  <dc:title>Projektas</dc:title>
</coreProperties>
</file>