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2019-12-21 iki 2020-06-25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0bfb993110de44ae815bf1c37b2de656"/>
            <w:lock w:val="sdtLocked"/>
            <w:richText/>
          </w:sdtPr>
          <w:sdtContent>
            <w:p>
              <w:pPr>
                <w:spacing w:line="360" w:lineRule="auto"/>
                <w:ind w:firstLine="851"/>
                <w:jc w:val="both"/>
              </w:pPr>
              <w:r>
                <w:rPr>
                  <w:lang w:eastAsia="lt-LT"/>
                </w:rPr>
                <w:t>Vadovaudamasi Lietuvos Respublikos vietos savivaldos įstatymo 16 straipsnio 4 dalimi, 18 straipsnio 1 dalimi, Lietuvos Respublikos švietimo įstatymo 29 straipsnio 2 dalimi, Mokyklų, vykdančių formaliojo švietimo programas, tinklo kūrimo taisyklėmis, patvirtintomis Lietuvos Respublikos Vyriausybės 2011 m. birželio 29 d. nutarimu Nr. 768, Priėmimo į valstybinę ir savivaldybės bendrojo ugdymo mokyklą, profesinio mokymo įstaigą bendrųjų kriterijų sąrašu, patvirtintu Lietuvos Respublikos švietimo ir mokslo ministro 2004 m. birželio 25 d. įsakymu Nr. ISAK-1019 (Lietuvos Respublikos švietimo ir mokslo ministro 2011 m. liepos 20 d. įsakymo Nr. V-1369 redakcija), Joniškio rajono savivaldybės taryba n u s p r e n d ž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22bac44b932c4e0499e8b087e4a8587a"/>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227" w:gutter="0"/>
              <w:cols w:space="1296"/>
              <w:titlePg/>
              <w:docGrid w:linePitch="326"/>
            </w:sectPr>
          </w:pP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22bac44b932c4e0499e8b087e4a8587a"/>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b4c191292d2744eaa0de78462a7847fe"/>
                <w:lock w:val="sdtLocked"/>
                <w:richText/>
              </w:sdtPr>
              <w:sdtContent>
                <w:p>
                  <w:pPr>
                    <w:ind w:firstLine="709"/>
                    <w:jc w:val="both"/>
                  </w:pPr>
                  <w:sdt>
                    <w:sdtPr>
                      <w:alias w:val="Numeris"/>
                      <w:tag w:val="nr_b4c191292d2744eaa0de78462a7847fe"/>
                      <w:lock w:val="sdtLocked"/>
                      <w:richText/>
                    </w:sdtPr>
                    <w:sdtContent>
                      <w:r>
                        <w:rPr>
                          <w:lang w:eastAsia="lt-LT"/>
                        </w:rPr>
                        <w:t>2</w:t>
                      </w:r>
                    </w:sdtContent>
                  </w:sdt>
                  <w:r>
                    <w:rPr>
                      <w:lang w:eastAsia="lt-LT"/>
                    </w:rPr>
                    <w:t>. Priėmimas mokytis pagal ikimokyklinio, priešmokyklinio, pradinio, pagrindinio, vidurinio ugdymo, specialiųjų poreikių ugdymo programas nustatomas, vadovaujantis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Nuosekliojo mokymosi pagal bendrojo ugdymo programas tvarkos aprašu, patvirtintu Lietuvos Respublikos švietimo ir mokslo ministro 2005 m. balandžio 5 d. įsakymu Nr. ISAK-556 „Dėl Nuosekliojo mokymosi pagal bendrojo ugdymo programas tvarkos aprašo patvirtinimo“ (Lietuvos Respublikos švietimo ir mokslo ministro 2012 m. gegužės 8 d. įsakymo Nr. V-766 redakcija), Mokinių, turinčių specialiųjų ugdymosi poreikių, ugdymo organizavimo tvarkos aprašu, patvirtintu Lietuvos Respublikos švietimo ir mokslo ministro 2011 m. rugsėjo 30 d. įsakymu Nr. V-1795 „</w:t>
                  </w:r>
                  <w:r>
                    <w:rPr>
                      <w:bCs/>
                      <w:lang w:eastAsia="lt-LT"/>
                    </w:rPr>
                    <w:t>Dėl Mokinių, turinčių specialiųjų ugdymosi poreikių, ugdymo organizavimo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3 p."/>
                <w:tag w:val="part_5ac76eb15e294da4a541f4b948baf7a0"/>
                <w:lock w:val="sdtLocked"/>
                <w:richText/>
              </w:sdtPr>
              <w:sdtContent>
                <w:p>
                  <w:pPr>
                    <w:overflowPunct w:val="0"/>
                    <w:ind w:firstLine="709"/>
                    <w:jc w:val="both"/>
                    <w:textAlignment w:val="baseline"/>
                  </w:pPr>
                  <w:sdt>
                    <w:sdtPr>
                      <w:alias w:val="Numeris"/>
                      <w:tag w:val="nr_5ac76eb15e294da4a541f4b948baf7a0"/>
                      <w:lock w:val="sdtLocked"/>
                      <w:richText/>
                    </w:sdtPr>
                    <w:sdtContent>
                      <w:r>
                        <w:rPr>
                          <w:lang w:eastAsia="lt-LT"/>
                        </w:rPr>
                        <w:t>3</w:t>
                      </w:r>
                    </w:sdtContent>
                  </w:sdt>
                  <w:r>
                    <w:rPr>
                      <w:lang w:eastAsia="lt-LT"/>
                    </w:rPr>
                    <w:t xml:space="preserve">. Joniškio rajono savivaldybės (toliau – savivaldybė) taryba kiekvienais kalendoriniais metais iki kovo 31 d. bendrojo ugdymo mokykloms (atskirai – jų skyriams, jei jie įregistruoti kitose gyvenamosiose vietovėse) nustato: mokinių skaičių kiekvienos klasės sraute ir klasių skaičių kiekviename sraute, mokinių, ugdomų pagal priešmokyklinio ugdymo programą, skaičių ir priešmokyklinio ugdymo grupių  skaičių. Jei sudaromos jungtinės klasės, tai nustatoma, iš kokių klasių sudaroma jungtinė klasė, ir nurodomas kiekvienos klasės mokinių skaičius. Iki rugsėjo 1 d. mokinių skaičių kiekvienos klasės sraute ir klasių skaičių kiekviename sraute, mokinių, ugdomų pagal priešmokyklinio ugdymo  programą, skaičių ir priešmokyklinio ugdymo grupių  skaičių</w:t>
                  </w:r>
                  <w:r>
                    <w:rPr>
                      <w:b/>
                      <w:lang w:eastAsia="lt-LT"/>
                    </w:rPr>
                    <w:t xml:space="preserve"> </w:t>
                  </w:r>
                  <w:r>
                    <w:rPr>
                      <w:lang w:eastAsia="lt-LT"/>
                    </w:rPr>
                    <w:t xml:space="preserve"> </w:t>
                  </w:r>
                  <w:r>
                    <w:rPr>
                      <w:color w:val="000000"/>
                      <w:lang w:eastAsia="lt-LT"/>
                    </w:rPr>
                    <w:t>patikslina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5aae357a257441cbaba18c2114027dbd"/>
                <w:lock w:val="sdtLocked"/>
                <w:richText/>
              </w:sdtPr>
              <w:sdtContent>
                <w:p>
                  <w:pPr>
                    <w:ind w:firstLine="709"/>
                    <w:jc w:val="both"/>
                  </w:pPr>
                  <w:sdt>
                    <w:sdtPr>
                      <w:alias w:val="Numeris"/>
                      <w:tag w:val="nr_5aae357a257441cbaba18c2114027dbd"/>
                      <w:lock w:val="sdtLocked"/>
                      <w:richText/>
                    </w:sdtPr>
                    <w:sdtContent>
                      <w:r>
                        <w:rPr>
                          <w:lang w:eastAsia="lt-LT"/>
                        </w:rPr>
                        <w:t>5</w:t>
                      </w:r>
                    </w:sdtContent>
                  </w:sdt>
                  <w:r>
                    <w:rPr>
                      <w:lang w:eastAsia="lt-LT"/>
                    </w:rPr>
                    <w:t>. Prašymai mokytis pagal ikimokyklinio, priešmokyklinio, pradinio, pagrindinio ir vidurinio ugdymo programas priimami bendrojo ugdymo mokyklose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
              <w:sdtPr>
                <w:alias w:val="5-1 p."/>
                <w:tag w:val="part_1997c2fb20104e42a6e6a47c14bec220"/>
                <w:lock w:val="sdtLocked"/>
                <w:richText/>
              </w:sdtPr>
              <w:sdtContent>
                <w:p>
                  <w:pPr>
                    <w:ind w:firstLine="709"/>
                    <w:jc w:val="both"/>
                  </w:pPr>
                  <w:sdt>
                    <w:sdtPr>
                      <w:alias w:val="Numeris"/>
                      <w:tag w:val="nr_1997c2fb20104e42a6e6a47c14bec220"/>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 xml:space="preserve">Mokiniai  turi būti pasitikrinę sveikatą iki rugsėjo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6 p."/>
                <w:tag w:val="part_2afb2313cf724ebe9d44b4085ed14e32"/>
                <w:lock w:val="sdtLocked"/>
                <w:richText/>
              </w:sdtPr>
              <w:sdtContent>
                <w:p>
                  <w:pPr>
                    <w:ind w:firstLine="748"/>
                    <w:jc w:val="both"/>
                  </w:pPr>
                  <w:sdt>
                    <w:sdtPr>
                      <w:alias w:val="Numeris"/>
                      <w:tag w:val="nr_2afb2313cf724ebe9d44b4085ed14e32"/>
                      <w:lock w:val="sdtLocked"/>
                      <w:richText/>
                    </w:sdtPr>
                    <w:sdtContent>
                      <w:r>
                        <w:rPr>
                          <w:lang w:eastAsia="lt-LT"/>
                        </w:rPr>
                        <w:t>6</w:t>
                      </w:r>
                    </w:sdtContent>
                  </w:sdt>
                  <w:r>
                    <w:rPr>
                      <w:lang w:eastAsia="lt-LT"/>
                    </w:rPr>
                    <w:t>. Priėmimą vykdo mokyklos direktorius ir mokinių priėmimo komisija. Aktualiems, Apraše nenumatytiems, atvejams nagrinėti sudaroma priėmimo komisija iš savivaldybės tarybos, administracijos Švietimo, kultūros ir sporto skyriaus ir mokyklų atstovų. Komisijos sudėtį ir jos darbo reglamentą tvirtina savivaldybės taryba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b58a2d3cd7e4ed8b87799372691cc79"/>
                    <w:lock w:val="sdtLocked"/>
                    <w:richText/>
                  </w:sdtPr>
                  <w:sdtContent>
                    <w:p>
                      <w:pPr>
                        <w:ind w:firstLine="748"/>
                        <w:jc w:val="both"/>
                        <w:rPr>
                          <w:lang w:eastAsia="lt-LT"/>
                        </w:rPr>
                      </w:pPr>
                      <w:sdt>
                        <w:sdtPr>
                          <w:alias w:val="Numeris"/>
                          <w:tag w:val="nr_db58a2d3cd7e4ed8b87799372691cc79"/>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Ežeikių k., 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 xml:space="preserve">Mindaugių k., </w:t>
                      </w:r>
                      <w:r>
                        <w:rPr>
                          <w:color w:val="000000"/>
                          <w:lang w:eastAsia="lt-LT"/>
                        </w:rPr>
                        <w:t xml:space="preserve">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 xml:space="preserve">Skilvionių k., Skribakių k., </w:t>
                      </w:r>
                      <w:r>
                        <w:rPr>
                          <w:color w:val="000000"/>
                          <w:lang w:eastAsia="lt-LT"/>
                        </w:rPr>
                        <w:t xml:space="preserve">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2 p."/>
                    <w:tag w:val="part_099db97a21cd4db6902983a88b9f6a3a"/>
                    <w:lock w:val="sdtLocked"/>
                    <w:richText/>
                  </w:sdtPr>
                  <w:sdtContent>
                    <w:p>
                      <w:pPr>
                        <w:ind w:firstLine="709"/>
                        <w:jc w:val="both"/>
                      </w:pPr>
                      <w:sdt>
                        <w:sdtPr>
                          <w:alias w:val="Numeris"/>
                          <w:tag w:val="nr_099db97a21cd4db6902983a88b9f6a3a"/>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Ežeikių k., Giminėnų k.,</w:t>
                      </w:r>
                      <w:r>
                        <w:rPr>
                          <w:lang w:eastAsia="lt-LT"/>
                        </w:rPr>
                        <w:t xml:space="preserve"> </w:t>
                      </w:r>
                      <w:r>
                        <w:rPr>
                          <w:color w:val="000000"/>
                          <w:lang w:eastAsia="lt-LT"/>
                        </w:rPr>
                        <w:t xml:space="preserve">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3 p."/>
                    <w:tag w:val="part_d2b45d7bbfe1486ea5e8e747acd15125"/>
                    <w:lock w:val="sdtLocked"/>
                    <w:richText/>
                  </w:sdtPr>
                  <w:sdtContent>
                    <w:p>
                      <w:pPr>
                        <w:ind w:firstLine="748"/>
                        <w:jc w:val="both"/>
                      </w:pPr>
                      <w:sdt>
                        <w:sdtPr>
                          <w:alias w:val="Numeris"/>
                          <w:tag w:val="nr_d2b45d7bbfe1486ea5e8e747acd15125"/>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7db01eb838f944b9b2d5887d619c76fe"/>
                    <w:lock w:val="sdtLocked"/>
                    <w:richText/>
                  </w:sdtPr>
                  <w:sdtContent>
                    <w:p>
                      <w:pPr>
                        <w:ind w:firstLine="748"/>
                        <w:jc w:val="both"/>
                        <w:rPr>
                          <w:color w:val="000000"/>
                          <w:lang w:eastAsia="lt-LT"/>
                        </w:rPr>
                      </w:pPr>
                      <w:sdt>
                        <w:sdtPr>
                          <w:alias w:val="Numeris"/>
                          <w:tag w:val="nr_7db01eb838f944b9b2d5887d619c76fe"/>
                          <w:lock w:val="sdtLocked"/>
                          <w:richText/>
                        </w:sdtPr>
                        <w:sdtContent>
                          <w:r>
                            <w:rPr>
                              <w:lang w:eastAsia="lt-LT"/>
                            </w:rPr>
                            <w:t>9.4</w:t>
                          </w:r>
                        </w:sdtContent>
                      </w:sdt>
                      <w:r>
                        <w:rPr>
                          <w:lang w:eastAsia="lt-LT"/>
                        </w:rPr>
                        <w:t xml:space="preserve">. Joniškio r. Žagarės gimnazijos, kai priimama mokytis pagal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9.5 p."/>
                    <w:tag w:val="part_e58674a12b45458591d8eaf16da9fbe9"/>
                    <w:lock w:val="sdtLocked"/>
                    <w:richText/>
                  </w:sdtPr>
                  <w:sdtContent>
                    <w:p>
                      <w:pPr>
                        <w:ind w:firstLine="748"/>
                        <w:jc w:val="both"/>
                        <w:rPr>
                          <w:color w:val="000000"/>
                          <w:lang w:eastAsia="lt-LT"/>
                        </w:rPr>
                      </w:pPr>
                      <w:sdt>
                        <w:sdtPr>
                          <w:alias w:val="Numeris"/>
                          <w:tag w:val="nr_e58674a12b45458591d8eaf16da9fbe9"/>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6b59ccc9b6104bcbba1575831637da12"/>
                        <w:lock w:val="sdtLocked"/>
                        <w:richText/>
                      </w:sdtPr>
                      <w:sdtContent>
                        <w:p>
                          <w:pPr>
                            <w:ind w:firstLine="748"/>
                            <w:jc w:val="both"/>
                            <w:rPr>
                              <w:color w:val="000000"/>
                              <w:lang w:eastAsia="lt-LT"/>
                            </w:rPr>
                          </w:pPr>
                          <w:sdt>
                            <w:sdtPr>
                              <w:alias w:val="Numeris"/>
                              <w:tag w:val="nr_6b59ccc9b6104bcbba1575831637da12"/>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w:t>
                          </w:r>
                          <w:r>
                            <w:rPr>
                              <w:lang w:eastAsia="lt-LT"/>
                            </w:rPr>
                            <w:t xml:space="preserve">Plikiškių k. (nuo 5 kl.), </w:t>
                          </w:r>
                          <w:r>
                            <w:rPr>
                              <w:color w:val="000000"/>
                              <w:lang w:eastAsia="lt-LT"/>
                            </w:rPr>
                            <w:t xml:space="preserve">Puodžiūnų k., </w:t>
                          </w:r>
                          <w:r>
                            <w:rPr>
                              <w:lang w:eastAsia="lt-LT"/>
                            </w:rPr>
                            <w:t>Pūraičių k.,</w:t>
                          </w:r>
                          <w:r>
                            <w:rPr>
                              <w:color w:val="000000"/>
                              <w:lang w:eastAsia="lt-LT"/>
                            </w:rPr>
                            <w:t xml:space="preserve"> Ragaišių k., Rašpievės k., Ropėdų k., Skakų k., </w:t>
                          </w:r>
                          <w:r>
                            <w:rPr>
                              <w:lang w:eastAsia="lt-LT"/>
                            </w:rPr>
                            <w:t>Skutenų k.,</w:t>
                          </w:r>
                          <w:r>
                            <w:rPr>
                              <w:color w:val="000000"/>
                              <w:lang w:eastAsia="lt-LT"/>
                            </w:rPr>
                            <w:t xml:space="preserve">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90b0ed42d6c3452c8e955394b7c2f519"/>
                        <w:lock w:val="sdtLocked"/>
                        <w:richText/>
                      </w:sdtPr>
                      <w:sdtContent>
                        <w:p>
                          <w:pPr>
                            <w:ind w:firstLine="748"/>
                            <w:jc w:val="both"/>
                          </w:pPr>
                          <w:sdt>
                            <w:sdtPr>
                              <w:alias w:val="Numeris"/>
                              <w:tag w:val="nr_90b0ed42d6c3452c8e955394b7c2f519"/>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9-1 p."/>
                <w:tag w:val="part_852f7da5f5e2473c8f0ff0bf64e220c1"/>
                <w:lock w:val="sdtLocked"/>
                <w:richText/>
              </w:sdtPr>
              <w:sdtContent>
                <w:p>
                  <w:pPr>
                    <w:ind w:firstLine="720"/>
                    <w:jc w:val="both"/>
                    <w:rPr>
                      <w:color w:val="000000"/>
                      <w:lang w:eastAsia="lt-LT"/>
                    </w:rPr>
                  </w:pPr>
                  <w:sdt>
                    <w:sdtPr>
                      <w:alias w:val="Numeris"/>
                      <w:tag w:val="nr_852f7da5f5e2473c8f0ff0bf64e220c1"/>
                      <w:lock w:val="sdtLocked"/>
                      <w:richText/>
                    </w:sdtPr>
                    <w:sdtContent>
                      <w:r>
                        <w:rPr>
                          <w:lang w:eastAsia="lt-LT"/>
                        </w:rPr>
                        <w:t>9</w:t>
                      </w:r>
                      <w:r>
                        <w:rPr>
                          <w:vertAlign w:val="superscript"/>
                          <w:lang w:eastAsia="lt-LT"/>
                        </w:rPr>
                        <w:t>1</w:t>
                      </w:r>
                    </w:sdtContent>
                  </w:sdt>
                  <w:r>
                    <w:rPr>
                      <w:lang w:eastAsia="lt-LT"/>
                    </w:rPr>
                    <w:t>. Perskirsčius mokyklų aptarnavimo teritorijas, leidžiama baigti ugdymo programą pagal sutartinius įsipareigojimus mokykloje, kurioje mokėsi iki teritorijų perskirstymo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0 p."/>
                <w:tag w:val="part_07be97be07d44660bfab3f06dff90590"/>
                <w:lock w:val="sdtLocked"/>
                <w:richText/>
              </w:sdtPr>
              <w:sdtContent>
                <w:p>
                  <w:pPr>
                    <w:ind w:firstLine="720"/>
                    <w:jc w:val="both"/>
                  </w:pPr>
                  <w:sdt>
                    <w:sdtPr>
                      <w:alias w:val="Numeris"/>
                      <w:tag w:val="nr_07be97be07d44660bfab3f06dff90590"/>
                      <w:lock w:val="sdtLocked"/>
                      <w:richText/>
                    </w:sdtPr>
                    <w:sdtContent>
                      <w:r>
                        <w:rPr>
                          <w:lang w:eastAsia="lt-LT"/>
                        </w:rPr>
                        <w:t>10</w:t>
                      </w:r>
                    </w:sdtContent>
                  </w:sdt>
                  <w:r>
                    <w:rPr>
                      <w:lang w:eastAsia="lt-LT"/>
                    </w:rPr>
                    <w:t>. Tėvų (globėjų, rūpintojų) ir vaiko pageidavimu vaikas gali būti priimtas į kitą bendrojo ugdymo mokyklą tuo atveju, jeigu joje yra laisvų vietų. Pirmumo teise į laisvas vietas klasėse (grupėse) priimami asmenys, negyvenantys mokyklos aptarnavimo teritorijoje, bet dėl įgimtų ar įgytų sutrikimų turintys specialiųjų ugdymosi poreikių, mokykloje besimokančių mokinių broliai ir seserys, arčiausiai mokyklos gyvenantys asmenys. Šiems mokiniams pavėžėjimas į mokyklą ir iš jos nekompensuojamas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11 p."/>
                <w:tag w:val="part_24ea63b2a73f4dcfb738edc130bf5fff"/>
                <w:lock w:val="sdtLocked"/>
                <w:richText/>
              </w:sdtPr>
              <w:sdtContent>
                <w:p>
                  <w:pPr>
                    <w:widowControl w:val="0"/>
                    <w:suppressAutoHyphens/>
                    <w:overflowPunct w:val="0"/>
                    <w:ind w:firstLine="709"/>
                    <w:jc w:val="both"/>
                    <w:textAlignment w:val="baseline"/>
                  </w:pPr>
                  <w:sdt>
                    <w:sdtPr>
                      <w:alias w:val="Numeris"/>
                      <w:tag w:val="nr_24ea63b2a73f4dcfb738edc130bf5fff"/>
                      <w:lock w:val="sdtLocked"/>
                      <w:richText/>
                    </w:sdtPr>
                    <w:sdtContent>
                      <w:r>
                        <w:rPr>
                          <w:lang w:eastAsia="lt-LT"/>
                        </w:rPr>
                        <w:t>11</w:t>
                      </w:r>
                    </w:sdtContent>
                  </w:sdt>
                  <w:r>
                    <w:rPr>
                      <w:lang w:eastAsia="lt-LT"/>
                    </w:rPr>
                    <w:t>. Į bendrojo ugdymo mokyklą mokytis pagal vidurinio ugdymo programą asmenys renkasi patys. Į mokyklą pirmumo teise priimami asmenys,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c80423fea37e43869fcf1a334bc6ec4e"/>
                <w:lock w:val="sdtLocked"/>
                <w:richText/>
              </w:sdtPr>
              <w:sdtContent>
                <w:p>
                  <w:pPr>
                    <w:ind w:firstLine="748"/>
                    <w:jc w:val="both"/>
                    <w:rPr>
                      <w:color w:val="000000"/>
                    </w:rPr>
                  </w:pPr>
                  <w:sdt>
                    <w:sdtPr>
                      <w:alias w:val="Numeris"/>
                      <w:tag w:val="nr_c80423fea37e43869fcf1a334bc6ec4e"/>
                      <w:lock w:val="sdtLocked"/>
                      <w:richText/>
                    </w:sdtPr>
                    <w:sdtContent>
                      <w:r>
                        <w:rPr>
                          <w:lang w:eastAsia="lt-LT"/>
                        </w:rPr>
                        <w:t>17</w:t>
                      </w:r>
                    </w:sdtContent>
                  </w:sdt>
                  <w:r>
                    <w:rPr>
                      <w:lang w:eastAsia="lt-LT"/>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f23af5c8aef548a18926e10c9ae02a68"/>
                <w:lock w:val="sdtLocked"/>
                <w:richText/>
              </w:sdtPr>
              <w:sdtContent>
                <w:p>
                  <w:pPr>
                    <w:ind w:firstLine="748"/>
                    <w:jc w:val="both"/>
                  </w:pPr>
                  <w:sdt>
                    <w:sdtPr>
                      <w:alias w:val="Numeris"/>
                      <w:tag w:val="nr_f23af5c8aef548a18926e10c9ae02a68"/>
                      <w:lock w:val="sdtLocked"/>
                      <w:richText/>
                    </w:sdtPr>
                    <w:sdtContent>
                      <w:r>
                        <w:rPr>
                          <w:bCs/>
                          <w:lang w:eastAsia="lt-LT"/>
                        </w:rPr>
                        <w:t>20</w:t>
                      </w:r>
                    </w:sdtContent>
                  </w:sdt>
                  <w:r>
                    <w:rPr>
                      <w:bCs/>
                      <w:lang w:eastAsia="lt-LT"/>
                    </w:rPr>
                    <w:t>. Į bendrojo ugdymo mokyklą pradėti ugdytis pagal ikimokyklinio ugdymo programą priimami 2–5 (6) metų vaikai.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1 p."/>
                <w:tag w:val="part_f1eac4abba274d4eb8ec74c50b6497de"/>
                <w:lock w:val="sdtLocked"/>
                <w:richText/>
              </w:sdtPr>
              <w:sdtContent>
                <w:p>
                  <w:pPr>
                    <w:ind w:firstLine="709"/>
                    <w:jc w:val="both"/>
                  </w:pPr>
                  <w:sdt>
                    <w:sdtPr>
                      <w:alias w:val="Numeris"/>
                      <w:tag w:val="nr_f1eac4abba274d4eb8ec74c50b6497de"/>
                      <w:lock w:val="sdtLocked"/>
                      <w:richText/>
                    </w:sdtPr>
                    <w:sdtContent>
                      <w:r>
                        <w:rPr>
                          <w:lang w:eastAsia="lt-LT"/>
                        </w:rPr>
                        <w:t>21</w:t>
                      </w:r>
                    </w:sdtContent>
                  </w:sdt>
                  <w:r>
                    <w:rPr>
                      <w:lang w:eastAsia="lt-LT"/>
                    </w:rPr>
                    <w:t>. Priešmokyklinis ugdymas pradedamas teikti vaikui, kai tais kalendoriniais metais jam sueina 6 metai. Priešmokyklinis ugdymas gali būti teikiamas anksčiau tėvų (globėjų) sprendimu, bet ne anksčiau negu vaikui sueina 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2 p."/>
                <w:tag w:val="part_d02e4589bf5e4f9ba7b3fe1cc916b6d4"/>
                <w:lock w:val="sdtLocked"/>
                <w:richText/>
              </w:sdtPr>
              <w:sdtContent>
                <w:p>
                  <w:pPr>
                    <w:ind w:firstLine="709"/>
                    <w:jc w:val="both"/>
                  </w:pPr>
                  <w:sdt>
                    <w:sdtPr>
                      <w:alias w:val="Numeris"/>
                      <w:tag w:val="nr_d02e4589bf5e4f9ba7b3fe1cc916b6d4"/>
                      <w:lock w:val="sdtLocked"/>
                      <w:richText/>
                    </w:sdtPr>
                    <w:sdtContent>
                      <w:r>
                        <w:rPr>
                          <w:lang w:eastAsia="lt-LT"/>
                        </w:rPr>
                        <w:t>22</w:t>
                      </w:r>
                    </w:sdtContent>
                  </w:sdt>
                  <w:r>
                    <w:rPr>
                      <w:lang w:eastAsia="lt-LT"/>
                    </w:rPr>
                    <w:t xml:space="preserve">. </w:t>
                  </w:r>
                  <w:r>
                    <w:rPr>
                      <w:bCs/>
                      <w:lang w:eastAsia="lt-LT"/>
                    </w:rPr>
                    <w:t xml:space="preserve">Į bendrojo ugdymo mokyklą pradėti ugdytis vaikai priimami </w:t>
                  </w:r>
                  <w:r>
                    <w:rPr>
                      <w:lang w:eastAsia="lt-LT"/>
                    </w:rPr>
                    <w:t>pagal prašymo padavimo datą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69a06ac7ca1b42acb0d6e9b2398ea03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26258460f699426b86392d5048b0b687"/>
                <w:lock w:val="sdtLocked"/>
                <w:richText/>
              </w:sdtPr>
              <w:sdtContent>
                <w:p>
                  <w:pPr>
                    <w:ind w:firstLine="709"/>
                    <w:jc w:val="both"/>
                  </w:pPr>
                  <w:sdt>
                    <w:sdtPr>
                      <w:alias w:val="Numeris"/>
                      <w:tag w:val="nr_26258460f699426b86392d5048b0b687"/>
                      <w:lock w:val="sdtLocked"/>
                      <w:richText/>
                    </w:sdtPr>
                    <w:sdtContent>
                      <w:r>
                        <w:rPr>
                          <w:lang w:eastAsia="lt-LT"/>
                        </w:rPr>
                        <w:t>26</w:t>
                      </w:r>
                    </w:sdtContent>
                  </w:sdt>
                  <w:r>
                    <w:rPr>
                      <w:lang w:eastAsia="lt-LT"/>
                    </w:rPr>
                    <w:t>. Mokytis pagal pradinio ugdymo programą pradedama, kai vaikui tais kalendoriniais metais sueina 7 metai. Pradinis ugdymas pradedamas vaikui teikti vienais metais anksčiau, kai vaikas tėvų (globėjų) sprendimu buvo ugdomas pagal priešmokyklinio ugdymo programą metais anksčiau</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7 p."/>
                <w:tag w:val="part_ab6abac57159402daea001d5126a929d"/>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4a195d50e2114aba908b3848ffdbd89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0408eadec1914af6ad078ce91996cbbc"/>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5b3ec308493a44faa25bbdeab49be65c"/>
                <w:lock w:val="sdtLocked"/>
                <w:richText/>
              </w:sdtPr>
              <w:sdtContent>
                <w:p>
                  <w:pPr>
                    <w:ind w:firstLine="709"/>
                    <w:jc w:val="both"/>
                    <w:rPr>
                      <w:bCs/>
                      <w:color w:val="000000"/>
                      <w:u w:val="single"/>
                    </w:rPr>
                  </w:pPr>
                  <w:sdt>
                    <w:sdtPr>
                      <w:alias w:val="Numeris"/>
                      <w:tag w:val="nr_5b3ec308493a44faa25bbdeab49be65c"/>
                      <w:lock w:val="sdtLocked"/>
                      <w:richText/>
                    </w:sdtPr>
                    <w:sdtContent>
                      <w:r>
                        <w:rPr>
                          <w:bCs/>
                          <w:color w:val="000000"/>
                          <w:lang w:eastAsia="lt-LT"/>
                        </w:rPr>
                        <w:t>30</w:t>
                      </w:r>
                    </w:sdtContent>
                  </w:sdt>
                  <w:r>
                    <w:rPr>
                      <w:bCs/>
                      <w:color w:val="000000"/>
                      <w:lang w:eastAsia="lt-LT"/>
                    </w:rPr>
                    <w:t>.</w:t>
                  </w:r>
                  <w:r>
                    <w:rPr>
                      <w:lang w:eastAsia="lt-LT"/>
                    </w:rPr>
                    <w:t xml:space="preserve"> Į pirmąsias klases prašymai priimami n</w:t>
                  </w:r>
                  <w:r>
                    <w:rPr>
                      <w:color w:val="000000"/>
                      <w:lang w:eastAsia="lt-LT"/>
                    </w:rPr>
                    <w:t xml:space="preserve">uo </w:t>
                  </w:r>
                  <w:r>
                    <w:rPr>
                      <w:lang w:eastAsia="lt-LT"/>
                    </w:rPr>
                    <w:t xml:space="preserve">einamųjų metų sausio 2 d. iki birželio 15 d. </w:t>
                  </w:r>
                  <w:r>
                    <w:rPr>
                      <w:bCs/>
                      <w:color w:val="000000"/>
                      <w:lang w:eastAsia="lt-LT"/>
                    </w:rPr>
                    <w:t xml:space="preserve"> Asmuo, nepateikęs prašymo iki einamųjų metų birželio 15 d., netenka pirmumo teisės būti priimtas į mokyklą pagal paskirtą aptarnavimo teritoriją. Jis priimamas į arčiausią bendrojo ugdymo mokyklą, kurioje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4daa68ee88f84e14be7671b664ad2196"/>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923de919f78d437c8ce7bd201d3eb2b7"/>
                    <w:lock w:val="sdtLocked"/>
                    <w:richText/>
                  </w:sdtPr>
                  <w:sdtContent>
                    <w:p>
                      <w:pPr>
                        <w:ind w:firstLine="748"/>
                        <w:jc w:val="both"/>
                      </w:pPr>
                      <w:sdt>
                        <w:sdtPr>
                          <w:alias w:val="Numeris"/>
                          <w:tag w:val="nr_923de919f78d437c8ce7bd201d3eb2b7"/>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5715e808a7e547d59e889afbac254318"/>
                    <w:lock w:val="sdtLocked"/>
                    <w:richText/>
                  </w:sdtPr>
                  <w:sdtContent>
                    <w:p>
                      <w:pPr>
                        <w:pStyle w:val="PlainText"/>
                        <w:ind w:firstLine="567"/>
                        <w:jc w:val="both"/>
                        <w:rPr>
                          <w:rFonts w:ascii="Times New Roman" w:hAnsi="Times New Roman"/>
                          <w:b/>
                          <w:bCs/>
                          <w:sz w:val="22"/>
                        </w:rPr>
                      </w:pPr>
                      <w:r>
                        <w:rPr>
                          <w:rFonts w:ascii="Times New Roman" w:hAnsi="Times New Roman"/>
                          <w:sz w:val="22"/>
                        </w:rPr>
                        <w:t>36.4</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02f8521e43a4e50991b666241147148"/>
                <w:lock w:val="sdtLocked"/>
                <w:richText/>
              </w:sdtPr>
              <w:sdtContent>
                <w:p>
                  <w:pPr>
                    <w:ind w:firstLine="709"/>
                    <w:jc w:val="both"/>
                  </w:pPr>
                  <w:sdt>
                    <w:sdtPr>
                      <w:alias w:val="Numeris"/>
                      <w:tag w:val="nr_b02f8521e43a4e50991b666241147148"/>
                      <w:lock w:val="sdtLocked"/>
                      <w:richText/>
                    </w:sdtPr>
                    <w:sdtContent>
                      <w:r>
                        <w:rPr>
                          <w:lang w:val="pl-PL" w:eastAsia="lt-LT"/>
                        </w:rPr>
                        <w:t>39</w:t>
                      </w:r>
                    </w:sdtContent>
                  </w:sdt>
                  <w:r>
                    <w:rPr>
                      <w:lang w:val="pl-PL" w:eastAsia="lt-LT"/>
                    </w:rPr>
                    <w:t>. Prašyme nurodoma gyvenamoji vieta,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d155c0373e11e881f2ba995b003ed2">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2018-03-29,
paskelbta TAR 2018-04-04, i. k. 2018-05219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f0e910cb2211e9929af1b9eea48566">
            <w:r w:rsidRPr="00532B9F">
              <w:rPr>
                <w:rFonts w:ascii="Times New Roman" w:eastAsia="MS Mincho" w:hAnsi="Times New Roman"/>
                <w:sz w:val="20"/>
                <w:iCs/>
                <w:color w:val="0000FF" w:themeColor="hyperlink"/>
                <w:u w:val="single"/>
              </w:rPr>
              <w:t>T-184</w:t>
            </w:r>
          </w:fldSimple>
          <w:r>
            <w:rPr>
              <w:rFonts w:ascii="Times New Roman" w:eastAsia="MS Mincho" w:hAnsi="Times New Roman"/>
              <w:sz w:val="20"/>
              <w:iCs/>
            </w:rPr>
            <w:t>,
2019-08-29,
paskelbta TAR 2019-09-02, i. k. 2019-13818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3afc1d022fe11eabe008ea93139d588">
            <w:r w:rsidRPr="00532B9F">
              <w:rPr>
                <w:rFonts w:ascii="Times New Roman" w:eastAsia="MS Mincho" w:hAnsi="Times New Roman"/>
                <w:sz w:val="20"/>
                <w:iCs/>
                <w:color w:val="0000FF" w:themeColor="hyperlink"/>
                <w:u w:val="single"/>
              </w:rPr>
              <w:t>T-264</w:t>
            </w:r>
          </w:fldSimple>
          <w:r>
            <w:rPr>
              <w:rFonts w:ascii="Times New Roman" w:eastAsia="MS Mincho" w:hAnsi="Times New Roman"/>
              <w:sz w:val="20"/>
              <w:iCs/>
            </w:rPr>
            <w:t>,
2019-12-19,
paskelbta TAR 2019-12-20, i. k. 2019-20847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0EFC62"/>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0bfb993110de44ae815bf1c37b2de656"/>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22bac44b932c4e0499e8b087e4a8587a">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b4c191292d2744eaa0de78462a7847fe"/>
      <Part Type="punktas" Nr="3" Abbr="3 p." DocPartId="879f49454a094a459a8a7ec73a19d84d" PartId="5ac76eb15e294da4a541f4b948baf7a0"/>
      <Part Type="punktas" Nr="4" Abbr="4 p." DocPartId="0b762ed10c094fe2a691ba357c718924" PartId="7671335bfd27438db19faaa786ce5101"/>
      <Part Type="punktas" Nr="5" Abbr="5 p." DocPartId="6fdd26bda0194c9fa911a2fea3091fdf" PartId="5aae357a257441cbaba18c2114027dbd"/>
      <Part Type="punktas" Nr="5-1" Abbr="5-1 p." DocPartId="6445da4b410f4a0bacacba7965eec157" PartId="1997c2fb20104e42a6e6a47c14bec220"/>
      <Part Type="punktas" Nr="6" Abbr="6 p." DocPartId="2f629e23ef5e403fa3bf7fc545dc19b8" PartId="2afb2313cf724ebe9d44b4085ed14e32"/>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b58a2d3cd7e4ed8b87799372691cc79"/>
        <Part Type="punktas" Nr="9.2" Abbr="9.2 p." DocPartId="498bd2cae0e24100ae3f215ccb2d9db8" PartId="099db97a21cd4db6902983a88b9f6a3a"/>
        <Part Type="punktas" Nr="9.3" Abbr="9.3 p." DocPartId="5277bef3de3546049f7f1da231a0aa13" PartId="d2b45d7bbfe1486ea5e8e747acd15125"/>
        <Part Type="punktas" Nr="9.4" Abbr="9.4 p." DocPartId="25da56f79ae14afaa690292c4c23b1d2" PartId="7db01eb838f944b9b2d5887d619c76fe"/>
        <Part Type="punktas" Nr="9.5" Abbr="9.5 p." DocPartId="cd1e6487e9fe4dcb8efda31dc220d826" PartId="e58674a12b45458591d8eaf16da9fbe9"/>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6b59ccc9b6104bcbba1575831637da12"/>
          <Part Type="punktas" Nr="9.6.4" Abbr="9.6.4 p." DocPartId="939f1abac09a4573ad09a1d41427bcbd" PartId="38ff6c9bbd614fada6430725b6407bbb"/>
          <Part Type="punktas" Nr="9.6.4" Abbr="9.6.4 p." DocPartId="46f512e4c31c45479fe03ac2d1f8449f" PartId="90b0ed42d6c3452c8e955394b7c2f519"/>
        </Part>
      </Part>
      <Part Type="punktas" Nr="9-1" Abbr="9-1 p." DocPartId="21b8a7c7b1f64794a49cf175ff2f5b69" PartId="852f7da5f5e2473c8f0ff0bf64e220c1"/>
      <Part Type="punktas" Nr="10" Abbr="10 p." DocPartId="8ac0084a7f954e8487ea3ab2dd17df71" PartId="07be97be07d44660bfab3f06dff90590"/>
      <Part Type="punktas" Nr="11" Abbr="11 p." DocPartId="2be71fa55f4c46d08212e2df4965c3c2" PartId="24ea63b2a73f4dcfb738edc130bf5fff"/>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c80423fea37e43869fcf1a334bc6ec4e"/>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f23af5c8aef548a18926e10c9ae02a68"/>
      <Part Type="punktas" Nr="21" Abbr="21 p." DocPartId="24ac64c0c2264994976557ea2acf464e" PartId="f1eac4abba274d4eb8ec74c50b6497de"/>
      <Part Type="punktas" Nr="22" Abbr="22 p." DocPartId="a132128a9dfc40dea6da16dc7b2dd690" PartId="d02e4589bf5e4f9ba7b3fe1cc916b6d4"/>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69a06ac7ca1b42acb0d6e9b2398ea034"/>
    </Part>
    <Part Type="skyrius" Nr="4" Title="PRIĖMIMAS MOKYTIS PAGAL PRADINIO UGDYMO PROGRAMĄ" DocPartId="3f91cdbec6e847ec9fd057d252ff325f" PartId="3c55c9ce3cf64691a82b21ce08da49b9">
      <Part Type="punktas" Nr="26" Abbr="26 p." DocPartId="91c8a87b72e8416e8e75e6e26fde560b" PartId="26258460f699426b86392d5048b0b687"/>
      <Part Type="punktas" Nr="27" Abbr="27 p." DocPartId="823855b6951742f3b89b1e937ed97f46" PartId="ab6abac57159402daea001d5126a929d"/>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4a195d50e2114aba908b3848ffdbd893"/>
        <Part Type="punktas" Nr="29.3" Abbr="29.3 p." DocPartId="fd8351d37e404470ad32749f11f46551" PartId="6a2f44e79dec4c9780c75236e3688429"/>
        <Part Type="punktas" Nr="29.4" Abbr="29.4 p." DocPartId="746d24c882724ce591b9c1a3cc9318ea" PartId="0408eadec1914af6ad078ce91996cbbc"/>
        <Part Type="punktas" Nr="29.5" Abbr="29.5 p." DocPartId="4f69ab3faf094bcd82c435728263fdfe" PartId="6102e24d21aa4939b96262b127bfe5d1"/>
      </Part>
      <Part Type="punktas" Nr="30" Abbr="30 p." DocPartId="ee54801d7b8346948b3f7ed5dd00c547" PartId="5b3ec308493a44faa25bbdeab49be65c"/>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4daa68ee88f84e14be7671b664ad2196"/>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923de919f78d437c8ce7bd201d3eb2b7"/>
        <Part Type="punktas" Nr="36.4" Abbr="36.4 p." DocPartId="9057b9f1360040e997ddda230b450b3b" PartId="5715e808a7e547d59e889afbac25431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02f8521e43a4e50991b666241147148"/>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B8AB6056-3582-4FB0-9BEF-F875F59F3676}">
  <ds:schemaRefs>
    <ds:schemaRef ds:uri="http://lrs.lt/TAIS/DocParts"/>
  </ds:schemaRefs>
</ds:datastoreItem>
</file>

<file path=docProps/app.xml><?xml version="1.0" encoding="utf-8"?>
<Properties xmlns="http://schemas.openxmlformats.org/officeDocument/2006/extended-properties">
  <Template>Normal.dotm</Template>
  <TotalTime>82</TotalTime>
  <Pages>9</Pages>
  <Words>16974</Words>
  <Characters>9676</Characters>
  <Application>Microsoft Office Word</Application>
  <DocSecurity>0</DocSecurity>
  <Lines>80</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26597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KUČIAUSKIENĖ Simona</lastModifiedBy>
  <lastPrinted>2009-02-21T08:16:00Z</lastPrinted>
  <dcterms:modified xsi:type="dcterms:W3CDTF">2020-01-06T11:08:00Z</dcterms:modified>
  <revision>27</revision>
  <dc:title>[Adresatas]</dc:title>
</coreProperties>
</file>