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2023-01-04 iki 2023-06-28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4439a43498b4df69c2202b2fd8e1ec1"/>
                        <w:lock w:val="sdtLocked"/>
                        <w:richText/>
                      </w:sdtPr>
                      <w:sdtContent>
                        <w:p>
                          <w:pPr>
                            <w:spacing w:line="360" w:lineRule="auto"/>
                            <w:ind w:firstLine="720"/>
                            <w:jc w:val="both"/>
                            <w:rPr>
                              <w:szCs w:val="24"/>
                              <w:lang w:eastAsia="lt-LT"/>
                            </w:rPr>
                          </w:pPr>
                          <w:sdt>
                            <w:sdtPr>
                              <w:alias w:val="Numeris"/>
                              <w:tag w:val="nr_34439a43498b4df69c2202b2fd8e1ec1"/>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ddc15d97a49445558b942998d679999b"/>
                        <w:lock w:val="sdtLocked"/>
                        <w:richText/>
                      </w:sdtPr>
                      <w:sdtContent>
                        <w:p>
                          <w:pPr>
                            <w:spacing w:line="360" w:lineRule="auto"/>
                            <w:ind w:firstLine="720"/>
                            <w:jc w:val="both"/>
                            <w:rPr>
                              <w:szCs w:val="24"/>
                              <w:lang w:eastAsia="lt-LT"/>
                            </w:rPr>
                          </w:pPr>
                          <w:sdt>
                            <w:sdtPr>
                              <w:alias w:val="Numeris"/>
                              <w:tag w:val="nr_ddc15d97a49445558b942998d679999b"/>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622ed96cb59541e3881233c2b17daccf"/>
                    <w:lock w:val="sdtLocked"/>
                    <w:richText/>
                  </w:sdtPr>
                  <w:sdtContent>
                    <w:p>
                      <w:pPr>
                        <w:spacing w:line="360" w:lineRule="auto"/>
                        <w:ind w:firstLine="720"/>
                        <w:jc w:val="both"/>
                        <w:rPr>
                          <w:b/>
                          <w:szCs w:val="24"/>
                          <w:lang w:eastAsia="lt-LT"/>
                        </w:rPr>
                      </w:pPr>
                      <w:sdt>
                        <w:sdtPr>
                          <w:alias w:val="Numeris"/>
                          <w:tag w:val="nr_622ed96cb59541e3881233c2b17daccf"/>
                          <w:lock w:val="sdtLocked"/>
                          <w:richText/>
                        </w:sdtPr>
                        <w:sdtContent>
                          <w:r>
                            <w:rPr>
                              <w:b/>
                              <w:szCs w:val="24"/>
                              <w:lang w:eastAsia="lt-LT"/>
                            </w:rPr>
                            <w:t>10</w:t>
                          </w:r>
                        </w:sdtContent>
                      </w:sdt>
                      <w:r>
                        <w:rPr>
                          <w:b/>
                          <w:szCs w:val="24"/>
                          <w:lang w:eastAsia="lt-LT"/>
                        </w:rPr>
                        <w:t xml:space="preserve"> straipsnis. </w:t>
                      </w:r>
                      <w:sdt>
                        <w:sdtPr>
                          <w:alias w:val="Pavadinimas"/>
                          <w:tag w:val="title_622ed96cb59541e3881233c2b17daccf"/>
                          <w:lock w:val="sdtLocked"/>
                          <w:richText/>
                        </w:sdtPr>
                        <w:sdtContent>
                          <w:r>
                            <w:rPr>
                              <w:b/>
                              <w:szCs w:val="24"/>
                              <w:lang w:eastAsia="lt-LT"/>
                            </w:rPr>
                            <w:t>Specialiųjų žemės naudojimo sąlygų taikymas</w:t>
                          </w:r>
                        </w:sdtContent>
                      </w:sdt>
                    </w:p>
                    <w:sdt>
                      <w:sdtPr>
                        <w:alias w:val="10 str. 1 d."/>
                        <w:tag w:val="part_9508fbe6c4434fdda0a275b000176200"/>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4198f7f4b48142709e78c3b69990cef2"/>
                        <w:lock w:val="sdtLocked"/>
                        <w:richText/>
                      </w:sdtPr>
                      <w:sdtContent>
                        <w:p>
                          <w:pPr>
                            <w:widowControl w:val="0"/>
                            <w:spacing w:line="360" w:lineRule="auto"/>
                            <w:ind w:firstLine="720"/>
                            <w:jc w:val="both"/>
                            <w:rPr>
                              <w:szCs w:val="24"/>
                              <w:lang w:eastAsia="lt-LT"/>
                            </w:rPr>
                          </w:pPr>
                          <w:sdt>
                            <w:sdtPr>
                              <w:alias w:val="Numeris"/>
                              <w:tag w:val="nr_4198f7f4b48142709e78c3b69990cef2"/>
                              <w:lock w:val="sdtLocked"/>
                              <w:richText/>
                            </w:sdtPr>
                            <w:sdtContent>
                              <w:r>
                                <w:rPr>
                                  <w:color w:val="000000"/>
                                  <w:szCs w:val="24"/>
                                  <w:lang w:eastAsia="lt-LT"/>
                                </w:rPr>
                                <w:t>3</w:t>
                              </w:r>
                            </w:sdtContent>
                          </w:sdt>
                          <w:r>
                            <w:rPr>
                              <w:color w:val="000000"/>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taip pat tose</w:t>
                          </w:r>
                          <w:r>
                            <w:rPr>
                              <w:b/>
                              <w:bCs/>
                              <w:color w:val="000000"/>
                              <w:szCs w:val="24"/>
                              <w:lang w:eastAsia="lt-LT"/>
                            </w:rPr>
                            <w:t xml:space="preserve"> </w:t>
                          </w:r>
                          <w:r>
                            <w:rPr>
                              <w:color w:val="000000"/>
                              <w:szCs w:val="24"/>
                              <w:lang w:eastAsia="lt-LT"/>
                            </w:rPr>
                            <w:t xml:space="preserve">sanitarinės apsaugos zonose </w:t>
                          </w:r>
                          <w:r>
                            <w:rPr>
                              <w:color w:val="000000"/>
                              <w:szCs w:val="24"/>
                            </w:rPr>
                            <w:t xml:space="preserve">(jų dalyse), </w:t>
                          </w:r>
                          <w:r>
                            <w:rPr>
                              <w:color w:val="000000"/>
                              <w:szCs w:val="24"/>
                              <w:lang w:eastAsia="lt-LT"/>
                            </w:rPr>
                            <w:t xml:space="preserve">kuriose yra objektai, nurodyti šio įstatymo 53 straipsnio 1 dalies </w:t>
                            <w:br/>
                            <w:t>1–4 punktuose, neturi viršyti ribinių užterštumo (ar kitokių) verčių, nustatytų gyvenamosios paskirties pastatų (namų), viešbučių, mokslo, poilsio, gydymo paskirties pastatų, su apgyvendinimu susijusių specialiosios paskirties pastatų, rekreacijai skirtų objektų aplinkai.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1-1 d."/>
                        <w:tag w:val="part_3cfa0ed662ac45789ae8f2709114d84b"/>
                        <w:lock w:val="sdtLocked"/>
                        <w:richText/>
                      </w:sdtPr>
                      <w:sdtContent>
                        <w:p>
                          <w:pPr>
                            <w:widowControl w:val="0"/>
                            <w:spacing w:line="360" w:lineRule="auto"/>
                            <w:ind w:firstLine="720"/>
                            <w:jc w:val="both"/>
                          </w:pPr>
                          <w:sdt>
                            <w:sdtPr>
                              <w:alias w:val="Numeris"/>
                              <w:tag w:val="nr_3cfa0ed662ac45789ae8f2709114d84b"/>
                              <w:lock w:val="sdtLocked"/>
                              <w:richText/>
                            </w:sdtPr>
                            <w:sdtContent>
                              <w:r>
                                <w:rPr>
                                  <w:color w:val="000000"/>
                                  <w:szCs w:val="24"/>
                                  <w:lang w:eastAsia="lt-LT"/>
                                </w:rPr>
                                <w:t>1</w:t>
                              </w:r>
                              <w:r>
                                <w:rPr>
                                  <w:color w:val="000000"/>
                                  <w:szCs w:val="24"/>
                                  <w:vertAlign w:val="superscript"/>
                                  <w:lang w:eastAsia="lt-LT"/>
                                </w:rPr>
                                <w:t>1</w:t>
                              </w:r>
                            </w:sdtContent>
                          </w:sdt>
                          <w:r>
                            <w:rPr>
                              <w:color w:val="000000"/>
                              <w:szCs w:val="24"/>
                              <w:lang w:eastAsia="lt-LT"/>
                            </w:rPr>
                            <w:t>. Šio įstatymo 50 straipsnio 1, 2 ir 4 punktuose nurodytose sanitarinės apsaugos zonose, į Nekilnojamojo turto kadastrą ir Nekilnojamojo turto registrą įrašytose šio įstatymo 9 straipsnio 3 dalyje nustatytais pagrindais (ar tais pačiais pagrindais pagal teisinį reguliavimą, galiojusį iki Lietuvos Respublikos specialiųjų žemės naudojimo sąlygų įstatymo įsigaliojimo dienos),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fde81f3702a34e96950b9712617f1c62"/>
                    <w:lock w:val="sdtLocked"/>
                    <w:richText/>
                  </w:sdtPr>
                  <w:sdtContent>
                    <w:p>
                      <w:pPr>
                        <w:widowControl w:val="0"/>
                        <w:spacing w:line="360" w:lineRule="auto"/>
                        <w:ind w:firstLine="720"/>
                        <w:jc w:val="both"/>
                        <w:rPr>
                          <w:szCs w:val="24"/>
                          <w:lang w:eastAsia="lt-LT"/>
                        </w:rPr>
                      </w:pPr>
                      <w:sdt>
                        <w:sdtPr>
                          <w:alias w:val="Numeris"/>
                          <w:tag w:val="nr_fde81f3702a34e96950b9712617f1c62"/>
                          <w:lock w:val="sdtLocked"/>
                          <w:richText/>
                        </w:sdtPr>
                        <w:sdtContent>
                          <w:r>
                            <w:rPr>
                              <w:color w:val="000000"/>
                              <w:szCs w:val="24"/>
                              <w:lang w:eastAsia="lt-LT"/>
                            </w:rPr>
                            <w:t>2</w:t>
                          </w:r>
                        </w:sdtContent>
                      </w:sdt>
                      <w:r>
                        <w:rPr>
                          <w:color w:val="000000"/>
                          <w:szCs w:val="24"/>
                          <w:lang w:eastAsia="lt-LT"/>
                        </w:rPr>
                        <w:t>. Šio įstatymo 142 straipsnis įsigalioja 2023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01559a803f93497a8708efea277e4737"/>
                    <w:lock w:val="sdtLocked"/>
                    <w:richText/>
                  </w:sdtPr>
                  <w:sdtContent>
                    <w:p>
                      <w:pPr>
                        <w:spacing w:line="400" w:lineRule="atLeast"/>
                        <w:ind w:firstLine="720"/>
                        <w:jc w:val="both"/>
                        <w:rPr>
                          <w:szCs w:val="24"/>
                          <w:lang w:eastAsia="lt-LT"/>
                        </w:rPr>
                      </w:pPr>
                      <w:sdt>
                        <w:sdtPr>
                          <w:alias w:val="Numeris"/>
                          <w:tag w:val="nr_01559a803f93497a8708efea277e473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9971142a8934412ca9c91e928c5f4f11"/>
                    <w:lock w:val="sdtLocked"/>
                    <w:richText/>
                  </w:sdtPr>
                  <w:sdtContent>
                    <w:p>
                      <w:pPr>
                        <w:spacing w:line="400" w:lineRule="atLeast"/>
                        <w:ind w:firstLine="720"/>
                        <w:jc w:val="both"/>
                        <w:rPr>
                          <w:szCs w:val="24"/>
                          <w:lang w:eastAsia="lt-LT"/>
                        </w:rPr>
                      </w:pPr>
                      <w:sdt>
                        <w:sdtPr>
                          <w:alias w:val="Numeris"/>
                          <w:tag w:val="nr_9971142a8934412ca9c91e928c5f4f11"/>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w:t>
                      </w:r>
                      <w:r>
                        <w:rPr>
                          <w:color w:val="000000"/>
                          <w:szCs w:val="24"/>
                        </w:rPr>
                        <w:t xml:space="preserve">Jeigu šioje dalyje nurodytos teritorijos </w:t>
                      </w:r>
                      <w:r>
                        <w:rPr>
                          <w:bCs/>
                          <w:color w:val="000000"/>
                          <w:szCs w:val="24"/>
                        </w:rPr>
                        <w:t>buvo nustatytos, bet nebuvo įrašytos į Nekilnojamojo turto kadastrą ir Nekilnojamojo turto registrą iki 2022 m. gruodžio 31 d. ir (ar) nustatomos po 2022 m. gruodžio 31 d., šio įstatymo 142 straipsnyje išdėstyto 9 straipsnio 1 dalyje nurodyti prašymai pateikiami arba šioms teritorijoms įregistruoti reikalingi duomenys perduodami iki 2024 m. gruodžio 31 d.,</w:t>
                      </w:r>
                      <w:r>
                        <w:rPr>
                          <w:color w:val="000000"/>
                          <w:szCs w:val="24"/>
                        </w:rPr>
                        <w:t xml:space="preserve"> nustatomos po 2022 m. gruodžio 31 d., šio įstatymo 142 straipsnyje išdėstyto </w:t>
                      </w:r>
                      <w:r>
                        <w:rPr>
                          <w:bCs/>
                          <w:color w:val="000000"/>
                          <w:szCs w:val="24"/>
                        </w:rPr>
                        <w:t xml:space="preserve">Lietuvos Respublikos specialiųjų žemės naudojimo sąlygų </w:t>
                      </w:r>
                      <w:r>
                        <w:rPr>
                          <w:color w:val="000000"/>
                          <w:szCs w:val="24"/>
                        </w:rPr>
                        <w:t>įstatymo 9 straipsnio 1 dalyje nurodyti prašymai pateikiami arba šioms teritorijoms įregistruoti reikalingi duomenys perduodami iki 2024 m. gruodžio 31 d.</w:t>
                      </w:r>
                      <w:r>
                        <w:t xml:space="preserve"> </w:t>
                      </w:r>
                      <w:r>
                        <w:rPr>
                          <w:szCs w:val="24"/>
                          <w:lang w:eastAsia="lt-LT"/>
                        </w:rPr>
                        <w:t>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4-1 d."/>
                    <w:tag w:val="part_09f5a4b6f1a248e6b1c7e647b94c9526"/>
                    <w:lock w:val="sdtLocked"/>
                    <w:richText/>
                  </w:sdtPr>
                  <w:sdtContent>
                    <w:p>
                      <w:pPr>
                        <w:widowControl w:val="0"/>
                        <w:spacing w:line="360" w:lineRule="auto"/>
                        <w:ind w:firstLine="720"/>
                        <w:jc w:val="both"/>
                      </w:pPr>
                      <w:sdt>
                        <w:sdtPr>
                          <w:alias w:val="Numeris"/>
                          <w:tag w:val="nr_09f5a4b6f1a248e6b1c7e647b94c9526"/>
                          <w:lock w:val="sdtLocked"/>
                          <w:richText/>
                        </w:sdtPr>
                        <w:sdtContent>
                          <w:r>
                            <w:rPr>
                              <w:color w:val="000000"/>
                              <w:szCs w:val="24"/>
                              <w:lang w:eastAsia="lt-LT"/>
                            </w:rPr>
                            <w:t>4</w:t>
                          </w:r>
                          <w:r>
                            <w:rPr>
                              <w:color w:val="000000"/>
                              <w:szCs w:val="24"/>
                              <w:vertAlign w:val="superscript"/>
                              <w:lang w:eastAsia="lt-LT"/>
                            </w:rPr>
                            <w:t>1</w:t>
                          </w:r>
                        </w:sdtContent>
                      </w:sdt>
                      <w:r>
                        <w:rPr>
                          <w:color w:val="000000"/>
                          <w:szCs w:val="24"/>
                          <w:lang w:eastAsia="lt-LT"/>
                        </w:rPr>
                        <w:t xml:space="preserve">. Kai sanitarinės apsaugos zona į Nekilnojamojo turto kadastrą ir Nekilnojamojo turto registrą buvo įrašyta šio įstatymo 9 straipsnio 3 dalyje nustatytais pagrindais (ar tais pačiais pagrindais pagal teisinį reguliavimą, galiojusį iki Specialiųjų žemės naudojimo sąlygų įstatymo įsigaliojimo dienos), </w:t>
                      </w:r>
                      <w:r>
                        <w:rPr>
                          <w:bCs/>
                          <w:color w:val="000000"/>
                          <w:szCs w:val="24"/>
                        </w:rPr>
                        <w:t xml:space="preserve">bet šio įstatymo 142 straipsnyje išdėstyto Specialiųjų žemės naudojimo sąlygų įstatymo 9 straipsnio 1 dalyje nurodytas prašymas arba šiai teritorijai įregistruoti reikalingi duomenys nepateikti Nekilnojamojo turto registro tvarkytojui, </w:t>
                      </w:r>
                      <w:r>
                        <w:rPr>
                          <w:color w:val="000000"/>
                          <w:szCs w:val="24"/>
                          <w:lang w:eastAsia="lt-LT"/>
                        </w:rPr>
                        <w:t>asmuo, suinteresuotas ūkinės ir (ar) kitokios veiklos, dėl kurios turi būti nustatyta sanitarinės apsaugos zona, vykdymu,</w:t>
                      </w:r>
                      <w:r>
                        <w:rPr>
                          <w:bCs/>
                          <w:color w:val="000000"/>
                          <w:szCs w:val="24"/>
                        </w:rPr>
                        <w:t xml:space="preserve"> šioje dalyje nurodytu atveju</w:t>
                      </w:r>
                      <w:r>
                        <w:rPr>
                          <w:color w:val="000000"/>
                          <w:szCs w:val="24"/>
                          <w:lang w:eastAsia="lt-LT"/>
                        </w:rPr>
                        <w:t xml:space="preserve"> nustato šią sanitarinės apsaugos zoną poveikio visuomenės sveikatai vertinimo dokumente ir Nekilnojamojo turto registro tvarkytojui pateikia šioje dalyje nurodytus prašymus arba </w:t>
                      </w:r>
                      <w:r>
                        <w:rPr>
                          <w:bCs/>
                          <w:color w:val="000000"/>
                          <w:szCs w:val="24"/>
                        </w:rPr>
                        <w:t>sanitarinės apsaugos zonai</w:t>
                      </w:r>
                      <w:r>
                        <w:rPr>
                          <w:color w:val="000000"/>
                          <w:szCs w:val="24"/>
                          <w:lang w:eastAsia="lt-LT"/>
                        </w:rPr>
                        <w:t xml:space="preserve"> įregistruoti reikalingus duomenis. </w:t>
                      </w:r>
                      <w:r>
                        <w:rPr>
                          <w:bCs/>
                          <w:color w:val="000000"/>
                          <w:szCs w:val="24"/>
                        </w:rPr>
                        <w:t xml:space="preserve">Šioje dalyje nurodytas poveikio visuomenės sveikatai vertinimo dokumentas rengiamas, kai į Nekilnojamojo turto kadastrą ir Nekilnojamojo turto registrą įrašyta sanitarinės apsaugos zona nenurodyta (nepažymėta grafiškai) šio įstatymo 6 straipsnio 1 dalyje ir šio įstatymo 142 straipsnyje išdėstyto Specialiųjų žemės naudojimo sąlygų įstatymo 6 straipsnio 1 dalyje nurodytuose dokumentuose (ar kituose dokumentuose pagal iki Specialiųjų žemės naudojimo sąlygų įstatymo įsigaliojimo dienos galiojusį teisinį reguliavimą). </w:t>
                      </w:r>
                      <w:r>
                        <w:rPr>
                          <w:color w:val="000000"/>
                          <w:szCs w:val="24"/>
                          <w:lang w:eastAsia="lt-LT"/>
                        </w:rPr>
                        <w:t xml:space="preserve">Prašymas </w:t>
                      </w:r>
                      <w:r>
                        <w:rPr>
                          <w:bCs/>
                          <w:color w:val="000000"/>
                          <w:szCs w:val="24"/>
                        </w:rPr>
                        <w:t>įgaliotai institucijai priimti sprendimą dėl</w:t>
                      </w:r>
                      <w:r>
                        <w:rPr>
                          <w:color w:val="000000"/>
                          <w:szCs w:val="24"/>
                          <w:lang w:eastAsia="lt-LT"/>
                        </w:rPr>
                        <w:t xml:space="preserve"> šioje dalyje nurodyto poveikio visuomenės sveikatai vertinimo dokumento pateikiamas iki 2024 m. gruodžio 31 d., o šio įstatymo 142 straipsnyje išdėstyto Specialiųjų žemės naudojimo sąlygų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išskyrus atvejus, kai žemės sklypo ar valstybinės žemės dalis, patenkanti į poveikio visuomenės sveikatai vertinimo dokumentuose nustatytą sanitarinės apsaugos zoną, padidėja (šiais atvejais </w:t>
                      </w:r>
                      <w:r>
                        <w:rPr>
                          <w:bCs/>
                          <w:color w:val="000000"/>
                          <w:szCs w:val="24"/>
                        </w:rPr>
                        <w:t>padidėjusioje, palyginti su įrašytąja į Nekilnojamojo turto kadastrą ir Nekilnojamojo turto registrą, sanitarinės apsaugos zonos dalyje taikomos šio įstatymo 53 straipsnio 1 dalyje nustatytos specialiosios žemės naudojimo sąlygos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4-2 d."/>
                    <w:tag w:val="part_9f05d5682dcb44c18e4fff913e017186"/>
                    <w:lock w:val="sdtLocked"/>
                    <w:richText/>
                  </w:sdtPr>
                  <w:sdtContent>
                    <w:p>
                      <w:pPr>
                        <w:widowControl w:val="0"/>
                        <w:spacing w:line="360" w:lineRule="auto"/>
                        <w:ind w:firstLine="720"/>
                        <w:jc w:val="both"/>
                        <w:rPr>
                          <w:szCs w:val="24"/>
                          <w:lang w:eastAsia="lt-LT"/>
                        </w:rPr>
                      </w:pPr>
                      <w:sdt>
                        <w:sdtPr>
                          <w:alias w:val="Numeris"/>
                          <w:tag w:val="nr_9f05d5682dcb44c18e4fff913e017186"/>
                          <w:lock w:val="sdtLocked"/>
                          <w:richText/>
                        </w:sdtPr>
                        <w:sdtContent>
                          <w:r>
                            <w:rPr>
                              <w:color w:val="000000"/>
                              <w:szCs w:val="24"/>
                              <w:lang w:eastAsia="lt-LT"/>
                            </w:rPr>
                            <w:t>4</w:t>
                          </w:r>
                          <w:r>
                            <w:rPr>
                              <w:color w:val="000000"/>
                              <w:szCs w:val="24"/>
                              <w:vertAlign w:val="superscript"/>
                              <w:lang w:eastAsia="lt-LT"/>
                            </w:rPr>
                            <w:t>2</w:t>
                          </w:r>
                        </w:sdtContent>
                      </w:sdt>
                      <w:r>
                        <w:rPr>
                          <w:color w:val="000000"/>
                          <w:szCs w:val="24"/>
                          <w:lang w:eastAsia="lt-LT"/>
                        </w:rPr>
                        <w:t>. Kai sanitarinės apsaugos zona turėjo būti įrašyta į Nekilnojamojo turto kadastrą ir Nekilnojamojo turto registrą šio įstatymo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ir Nekilnojamojo turto registro tvarkytojui pateikia šio įstatymo 142 straipsnyje išdėstyto Specialiųjų žemės naudojimo sąlygų įstatymo 9 straipsnio 1 dalyje nurodytus prašymus arba sanitarinės apsaugos zonai įregistruoti reikalingus duomenis. Prašymas įgaliotai institucijai priimti sprendimą dėl šioje dalyje nurodyto poveikio visuomenės sveikatai vertinimo dokumento pateikiamas iki 2024 m. gruodžio 31 d. Šio straipsnio 4</w:t>
                      </w:r>
                      <w:r>
                        <w:rPr>
                          <w:color w:val="000000"/>
                          <w:szCs w:val="24"/>
                          <w:vertAlign w:val="superscript"/>
                          <w:lang w:eastAsia="lt-LT"/>
                        </w:rPr>
                        <w:t>1</w:t>
                      </w:r>
                      <w:r>
                        <w:rPr>
                          <w:color w:val="000000"/>
                          <w:szCs w:val="24"/>
                          <w:lang w:eastAsia="lt-LT"/>
                        </w:rPr>
                        <w:t xml:space="preserve"> dalyje nustatytais terminais šioje dalyje nurodyti prašymai arba sanitarinės apsaugos zonoms įregistruoti reikalingi duomenys teikiami kartu su Nacionalinės žemės tarnybos prie Aplinkos ministerijos direktoriaus nustatyta tvarka parengta Nacionalinės žemės tarnybos prie Aplinkos ministerijos išvada dėl galimybės nustatyti sanitarinės apsaugos zoną šio įstatymo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e93c4da641ca43b89fe8d3f43d97b49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06b2b85e6f84416d9942193e30bd5b7d"/>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06b2b85e6f84416d9942193e30bd5b7d"/>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06b2b85e6f84416d9942193e30bd5b7d"/>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117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tc>
            <w:tc>
              <w:tcPr>
                <w:tcW w:w="1555" w:type="dxa"/>
                <w:tcBorders>
                  <w:bottom w:val="single" w:sz="4" w:space="0" w:color="auto"/>
                </w:tcBorders>
              </w:tcPr>
              <w:p>
                <w:pPr>
                  <w:snapToGrid w:val="0"/>
                  <w:rPr>
                    <w:rFonts w:eastAsia="Arial Unicode MS"/>
                    <w:szCs w:val="24"/>
                    <w:lang w:eastAsia="lt-LT"/>
                  </w:rPr>
                </w:pPr>
                <w:r>
                  <w:rPr>
                    <w:rFonts w:eastAsia="Arial Unicode MS"/>
                    <w:szCs w:val="24"/>
                    <w:lang w:eastAsia="lt-LT"/>
                  </w:rPr>
                  <w:t>35.11, 35.3</w:t>
                </w:r>
              </w:p>
            </w:tc>
            <w:tc>
              <w:tcPr>
                <w:tcW w:w="1640" w:type="dxa"/>
                <w:tcBorders>
                  <w:bottom w:val="single" w:sz="4" w:space="0" w:color="auto"/>
                </w:tcBorders>
              </w:tcPr>
              <w:p>
                <w:pPr>
                  <w:snapToGrid w:val="0"/>
                  <w:jc w:val="center"/>
                  <w:rPr>
                    <w:rFonts w:eastAsia="Arial Unicode MS"/>
                    <w:bCs/>
                    <w:szCs w:val="24"/>
                    <w:lang w:eastAsia="lt-LT"/>
                  </w:rPr>
                </w:pPr>
                <w:r>
                  <w:rPr>
                    <w:rFonts w:eastAsia="Arial Unicode MS"/>
                    <w:bCs/>
                    <w:szCs w:val="24"/>
                    <w:lang w:eastAsia="lt-LT"/>
                  </w:rPr>
                  <w:t>100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59A291"/>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1.xml"/>
  <Relationship Id="rId12" Type="http://schemas.openxmlformats.org/officeDocument/2006/relationships/header" Target="header32.xml"/>
  <Relationship Id="rId13" Type="http://schemas.openxmlformats.org/officeDocument/2006/relationships/footer" Target="footer31.xml"/>
  <Relationship Id="rId14" Type="http://schemas.openxmlformats.org/officeDocument/2006/relationships/footer" Target="footer32.xml"/>
  <Relationship Id="rId15" Type="http://schemas.openxmlformats.org/officeDocument/2006/relationships/header" Target="header33.xml"/>
  <Relationship Id="rId16" Type="http://schemas.openxmlformats.org/officeDocument/2006/relationships/footer" Target="footer3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34439a43498b4df69c2202b2fd8e1ec1"/>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ddc15d97a49445558b942998d679999b"/>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622ed96cb59541e3881233c2b17daccf">
          <Part Type="strDalis" Nr="1" Abbr="10 str. 1 d." DocPartId="99765c20e0df465abf250606f064c904" PartId="9508fbe6c4434fdda0a275b000176200"/>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4198f7f4b48142709e78c3b69990cef2"/>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1-1 d." DocPartId="04b4b5e340414cbaaa2f58b2c3924b90" PartId="3cfa0ed662ac45789ae8f2709114d84b"/>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fde81f3702a34e96950b9712617f1c62"/>
        <Part Type="strDalis" Nr="2-1" Abbr="2-1 d." DocPartId="b8c1d279dc194d5d96ad2a3febf101f1" PartId="01559a803f93497a8708efea277e473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9971142a8934412ca9c91e928c5f4f11"/>
        <Part Type="strDalis" Nr="4" Abbr="141 str. 4 d." DocPartId="849fb72499394945a7c39f798c906e9c" PartId="ffe276fa1acd4dcc83b97473de954a28"/>
        <Part Type="strDalis" Nr="4-1" Abbr="4-1 d." DocPartId="d9367991066143858b0f8471c816a906" PartId="09f5a4b6f1a248e6b1c7e647b94c9526"/>
        <Part Type="strDalis" Nr="4-2" Abbr="4-2 d." DocPartId="76ed3bf83e8f41ef90579c914819c06b" PartId="9f05d5682dcb44c18e4fff913e017186"/>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e93c4da641ca43b89fe8d3f43d97b490"/>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06b2b85e6f84416d9942193e30bd5b7d"/>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220C9CC-FC3E-42D2-83F6-A74F5B269F32}">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9F20110D-813F-4B6B-A71D-1D9E3A4F2D5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58</TotalTime>
  <Pages>135</Pages>
  <Words>40558</Words>
  <Characters>290605</Characters>
  <Application>Microsoft Office Word</Application>
  <DocSecurity>0</DocSecurity>
  <Lines>2421</Lines>
  <Paragraphs>661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330502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GUMBYTĖ Danguolė</lastModifiedBy>
  <lastPrinted>2019-06-19T08:52:00Z</lastPrinted>
  <dcterms:modified xsi:type="dcterms:W3CDTF">2023-03-10T11:05:00Z</dcterms:modified>
  <revision>25</revision>
</coreProperties>
</file>