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2023-01-01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f5d8595adb424232b6a0b07236c1e9a6"/>
                            <w:lock w:val="sdtLocked"/>
                            <w:richText/>
                          </w:sdtPr>
                          <w:sdtContent>
                            <w:p>
                              <w:pPr>
                                <w:spacing w:line="360" w:lineRule="auto"/>
                                <w:ind w:firstLine="720"/>
                                <w:jc w:val="both"/>
                                <w:rPr>
                                  <w:szCs w:val="24"/>
                                  <w:lang w:eastAsia="lt-LT"/>
                                </w:rPr>
                              </w:pPr>
                              <w:sdt>
                                <w:sdtPr>
                                  <w:alias w:val="Numeris"/>
                                  <w:tag w:val="nr_f5d8595adb424232b6a0b07236c1e9a6"/>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ccce16a55631429da56f8cd43b232b1c"/>
                            <w:lock w:val="sdtLocked"/>
                            <w:richText/>
                          </w:sdtPr>
                          <w:sdtContent>
                            <w:p>
                              <w:pPr>
                                <w:spacing w:line="360" w:lineRule="auto"/>
                                <w:ind w:firstLine="720"/>
                                <w:jc w:val="both"/>
                                <w:rPr>
                                  <w:szCs w:val="24"/>
                                  <w:lang w:eastAsia="lt-LT"/>
                                </w:rPr>
                              </w:pPr>
                              <w:sdt>
                                <w:sdtPr>
                                  <w:alias w:val="Numeris"/>
                                  <w:tag w:val="nr_ccce16a55631429da56f8cd43b232b1c"/>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4439a43498b4df69c2202b2fd8e1ec1"/>
                        <w:lock w:val="sdtLocked"/>
                        <w:richText/>
                      </w:sdtPr>
                      <w:sdtContent>
                        <w:p>
                          <w:pPr>
                            <w:spacing w:line="360" w:lineRule="auto"/>
                            <w:ind w:firstLine="720"/>
                            <w:jc w:val="both"/>
                            <w:rPr>
                              <w:szCs w:val="24"/>
                              <w:lang w:eastAsia="lt-LT"/>
                            </w:rPr>
                          </w:pPr>
                          <w:sdt>
                            <w:sdtPr>
                              <w:alias w:val="Numeris"/>
                              <w:tag w:val="nr_34439a43498b4df69c2202b2fd8e1ec1"/>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fe93f478868a4eab82f9e6a2c249e6cb"/>
                            <w:lock w:val="sdtLocked"/>
                            <w:richText/>
                          </w:sdtPr>
                          <w:sdtContent>
                            <w:p>
                              <w:pPr>
                                <w:spacing w:line="360" w:lineRule="auto"/>
                                <w:ind w:firstLine="720"/>
                                <w:jc w:val="both"/>
                                <w:rPr>
                                  <w:szCs w:val="24"/>
                                  <w:lang w:eastAsia="lt-LT"/>
                                </w:rPr>
                              </w:pPr>
                              <w:sdt>
                                <w:sdtPr>
                                  <w:alias w:val="Numeris"/>
                                  <w:tag w:val="nr_fe93f478868a4eab82f9e6a2c249e6c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09c42d58a13349b89f8dee8a8998609a"/>
                            <w:lock w:val="sdtLocked"/>
                            <w:richText/>
                          </w:sdtPr>
                          <w:sdtContent>
                            <w:p>
                              <w:pPr>
                                <w:spacing w:line="360" w:lineRule="auto"/>
                                <w:ind w:firstLine="720"/>
                                <w:jc w:val="both"/>
                                <w:rPr>
                                  <w:szCs w:val="24"/>
                                  <w:lang w:eastAsia="lt-LT"/>
                                </w:rPr>
                              </w:pPr>
                              <w:sdt>
                                <w:sdtPr>
                                  <w:alias w:val="Numeris"/>
                                  <w:tag w:val="nr_09c42d58a13349b89f8dee8a8998609a"/>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ddc15d97a49445558b942998d679999b"/>
                        <w:lock w:val="sdtLocked"/>
                        <w:richText/>
                      </w:sdtPr>
                      <w:sdtContent>
                        <w:p>
                          <w:pPr>
                            <w:spacing w:line="360" w:lineRule="auto"/>
                            <w:ind w:firstLine="720"/>
                            <w:jc w:val="both"/>
                            <w:rPr>
                              <w:szCs w:val="24"/>
                              <w:lang w:eastAsia="lt-LT"/>
                            </w:rPr>
                          </w:pPr>
                          <w:sdt>
                            <w:sdtPr>
                              <w:alias w:val="Numeris"/>
                              <w:tag w:val="nr_ddc15d97a49445558b942998d679999b"/>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0f9c6f914cfc401d8daff2adf3fc590e"/>
                            <w:lock w:val="sdtLocked"/>
                            <w:richText/>
                          </w:sdtPr>
                          <w:sdtContent>
                            <w:p>
                              <w:pPr>
                                <w:spacing w:line="360" w:lineRule="auto"/>
                                <w:ind w:firstLine="720"/>
                                <w:jc w:val="both"/>
                                <w:rPr>
                                  <w:szCs w:val="24"/>
                                  <w:lang w:eastAsia="lt-LT"/>
                                </w:rPr>
                              </w:pPr>
                              <w:sdt>
                                <w:sdtPr>
                                  <w:alias w:val="Numeris"/>
                                  <w:tag w:val="nr_0f9c6f914cfc401d8daff2adf3fc590e"/>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622ed96cb59541e3881233c2b17daccf"/>
                    <w:lock w:val="sdtLocked"/>
                    <w:richText/>
                  </w:sdtPr>
                  <w:sdtContent>
                    <w:p>
                      <w:pPr>
                        <w:spacing w:line="360" w:lineRule="auto"/>
                        <w:ind w:firstLine="720"/>
                        <w:jc w:val="both"/>
                        <w:rPr>
                          <w:b/>
                          <w:szCs w:val="24"/>
                          <w:lang w:eastAsia="lt-LT"/>
                        </w:rPr>
                      </w:pPr>
                      <w:sdt>
                        <w:sdtPr>
                          <w:alias w:val="Numeris"/>
                          <w:tag w:val="nr_622ed96cb59541e3881233c2b17daccf"/>
                          <w:lock w:val="sdtLocked"/>
                          <w:richText/>
                        </w:sdtPr>
                        <w:sdtContent>
                          <w:r>
                            <w:rPr>
                              <w:b/>
                              <w:szCs w:val="24"/>
                              <w:lang w:eastAsia="lt-LT"/>
                            </w:rPr>
                            <w:t>10</w:t>
                          </w:r>
                        </w:sdtContent>
                      </w:sdt>
                      <w:r>
                        <w:rPr>
                          <w:b/>
                          <w:szCs w:val="24"/>
                          <w:lang w:eastAsia="lt-LT"/>
                        </w:rPr>
                        <w:t xml:space="preserve"> straipsnis. </w:t>
                      </w:r>
                      <w:sdt>
                        <w:sdtPr>
                          <w:alias w:val="Pavadinimas"/>
                          <w:tag w:val="title_622ed96cb59541e3881233c2b17daccf"/>
                          <w:lock w:val="sdtLocked"/>
                          <w:richText/>
                        </w:sdtPr>
                        <w:sdtContent>
                          <w:r>
                            <w:rPr>
                              <w:b/>
                              <w:szCs w:val="24"/>
                              <w:lang w:eastAsia="lt-LT"/>
                            </w:rPr>
                            <w:t>Specialiųjų žemės naudojimo sąlygų taikymas</w:t>
                          </w:r>
                        </w:sdtContent>
                      </w:sdt>
                    </w:p>
                    <w:sdt>
                      <w:sdtPr>
                        <w:alias w:val="10 str. 1 d."/>
                        <w:tag w:val="part_9508fbe6c4434fdda0a275b000176200"/>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4e60781785ee46ab97b38a12d1a7ffd9"/>
                    <w:lock w:val="sdtLocked"/>
                    <w:richText/>
                  </w:sdtPr>
                  <w:sdtContent>
                    <w:p>
                      <w:pPr>
                        <w:spacing w:line="360" w:lineRule="auto"/>
                        <w:ind w:left="2127" w:hanging="1407"/>
                        <w:jc w:val="both"/>
                        <w:rPr>
                          <w:b/>
                          <w:szCs w:val="24"/>
                          <w:lang w:eastAsia="lt-LT"/>
                        </w:rPr>
                      </w:pPr>
                      <w:sdt>
                        <w:sdtPr>
                          <w:alias w:val="Numeris"/>
                          <w:tag w:val="nr_4e60781785ee46ab97b38a12d1a7ffd9"/>
                          <w:lock w:val="sdtLocked"/>
                          <w:richText/>
                        </w:sdtPr>
                        <w:sdtContent>
                          <w:r>
                            <w:rPr>
                              <w:b/>
                              <w:szCs w:val="24"/>
                              <w:lang w:eastAsia="lt-LT"/>
                            </w:rPr>
                            <w:t>11</w:t>
                          </w:r>
                        </w:sdtContent>
                      </w:sdt>
                      <w:r>
                        <w:rPr>
                          <w:b/>
                          <w:szCs w:val="24"/>
                          <w:lang w:eastAsia="lt-LT"/>
                        </w:rPr>
                        <w:t xml:space="preserve"> straipsnis. </w:t>
                      </w:r>
                      <w:sdt>
                        <w:sdtPr>
                          <w:alias w:val="Pavadinimas"/>
                          <w:tag w:val="title_4e60781785ee46ab97b38a12d1a7ffd9"/>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69ca603c2efb4bb2adf7e8756fa076d5"/>
                        <w:lock w:val="sdtLocked"/>
                        <w:richText/>
                      </w:sdtPr>
                      <w:sdtContent>
                        <w:p>
                          <w:pPr>
                            <w:spacing w:line="360" w:lineRule="auto"/>
                            <w:ind w:firstLine="720"/>
                            <w:jc w:val="both"/>
                            <w:rPr>
                              <w:szCs w:val="24"/>
                              <w:lang w:eastAsia="lt-LT"/>
                            </w:rPr>
                          </w:pPr>
                          <w:sdt>
                            <w:sdtPr>
                              <w:alias w:val="Numeris"/>
                              <w:tag w:val="nr_69ca603c2efb4bb2adf7e8756fa076d5"/>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e9b65cdb39774b039a457c267549e9f6"/>
                        <w:lock w:val="sdtLocked"/>
                        <w:richText/>
                      </w:sdtPr>
                      <w:sdtContent>
                        <w:p>
                          <w:pPr>
                            <w:spacing w:line="360" w:lineRule="auto"/>
                            <w:ind w:firstLine="720"/>
                            <w:jc w:val="both"/>
                            <w:rPr>
                              <w:szCs w:val="24"/>
                              <w:lang w:eastAsia="lt-LT"/>
                            </w:rPr>
                          </w:pPr>
                          <w:sdt>
                            <w:sdtPr>
                              <w:alias w:val="Numeris"/>
                              <w:tag w:val="nr_e9b65cdb39774b039a457c267549e9f6"/>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9a1ef57f9ce4081ac8e3d72d4467345"/>
                        <w:lock w:val="sdtLocked"/>
                        <w:richText/>
                      </w:sdtPr>
                      <w:sdtContent>
                        <w:p>
                          <w:pPr>
                            <w:spacing w:line="360" w:lineRule="auto"/>
                            <w:ind w:firstLine="720"/>
                            <w:jc w:val="both"/>
                            <w:rPr>
                              <w:szCs w:val="24"/>
                              <w:lang w:eastAsia="lt-LT"/>
                            </w:rPr>
                          </w:pPr>
                          <w:sdt>
                            <w:sdtPr>
                              <w:alias w:val="Numeris"/>
                              <w:tag w:val="nr_c9a1ef57f9ce4081ac8e3d72d4467345"/>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3720aae8d5642fc9ced352abaa9efc8"/>
                        <w:lock w:val="sdtLocked"/>
                        <w:richText/>
                      </w:sdtPr>
                      <w:sdtContent>
                        <w:p>
                          <w:pPr>
                            <w:spacing w:line="360" w:lineRule="auto"/>
                            <w:ind w:firstLine="720"/>
                            <w:jc w:val="both"/>
                            <w:rPr>
                              <w:szCs w:val="24"/>
                              <w:lang w:eastAsia="lt-LT"/>
                            </w:rPr>
                          </w:pPr>
                          <w:sdt>
                            <w:sdtPr>
                              <w:alias w:val="Numeris"/>
                              <w:tag w:val="nr_23720aae8d5642fc9ced352abaa9efc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878260026f2547f0bb5875cc1a92c30b"/>
                        <w:lock w:val="sdtLocked"/>
                        <w:richText/>
                      </w:sdtPr>
                      <w:sdtContent>
                        <w:p>
                          <w:pPr>
                            <w:spacing w:line="360" w:lineRule="auto"/>
                            <w:ind w:firstLine="720"/>
                            <w:jc w:val="both"/>
                            <w:rPr>
                              <w:szCs w:val="24"/>
                              <w:lang w:eastAsia="lt-LT"/>
                            </w:rPr>
                          </w:pPr>
                          <w:sdt>
                            <w:sdtPr>
                              <w:alias w:val="Numeris"/>
                              <w:tag w:val="nr_878260026f2547f0bb5875cc1a92c30b"/>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2-1 d."/>
                    <w:tag w:val="part_01559a803f93497a8708efea277e4737"/>
                    <w:lock w:val="sdtLocked"/>
                    <w:richText/>
                  </w:sdtPr>
                  <w:sdtContent>
                    <w:p>
                      <w:pPr>
                        <w:spacing w:line="400" w:lineRule="atLeast"/>
                        <w:ind w:firstLine="720"/>
                        <w:jc w:val="both"/>
                        <w:rPr>
                          <w:szCs w:val="24"/>
                          <w:lang w:eastAsia="lt-LT"/>
                        </w:rPr>
                      </w:pPr>
                      <w:sdt>
                        <w:sdtPr>
                          <w:alias w:val="Numeris"/>
                          <w:tag w:val="nr_01559a803f93497a8708efea277e473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9971142a8934412ca9c91e928c5f4f11"/>
                    <w:lock w:val="sdtLocked"/>
                    <w:richText/>
                  </w:sdtPr>
                  <w:sdtContent>
                    <w:p>
                      <w:pPr>
                        <w:spacing w:line="400" w:lineRule="atLeast"/>
                        <w:ind w:firstLine="720"/>
                        <w:jc w:val="both"/>
                        <w:rPr>
                          <w:szCs w:val="24"/>
                          <w:lang w:eastAsia="lt-LT"/>
                        </w:rPr>
                      </w:pPr>
                      <w:sdt>
                        <w:sdtPr>
                          <w:alias w:val="Numeris"/>
                          <w:tag w:val="nr_9971142a8934412ca9c91e928c5f4f11"/>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w:t>
                      </w:r>
                      <w:r>
                        <w:rPr>
                          <w:color w:val="000000"/>
                          <w:szCs w:val="24"/>
                        </w:rPr>
                        <w:t xml:space="preserve">Jeigu šioje dalyje nurodytos teritorijos </w:t>
                      </w:r>
                      <w:r>
                        <w:rPr>
                          <w:bCs/>
                          <w:color w:val="000000"/>
                          <w:szCs w:val="24"/>
                        </w:rPr>
                        <w:t>buvo nustatytos, bet nebuvo įrašytos į Nekilnojamojo turto kadastrą ir Nekilnojamojo turto registrą iki 2022 m. gruodžio 31 d. ir (ar) nustatomos po 2022 m. gruodžio 31 d., šio įstatymo 142 straipsnyje išdėstyto 9 straipsnio 1 dalyje nurodyti prašymai pateikiami arba šioms teritorijoms įregistruoti reikalingi duomenys perduodami iki 2024 m. gruodžio 31 d.,</w:t>
                      </w:r>
                      <w:r>
                        <w:rPr>
                          <w:color w:val="000000"/>
                          <w:szCs w:val="24"/>
                        </w:rPr>
                        <w:t xml:space="preserve"> nustatomos po 2022 m. gruodžio 31 d., šio įstatymo 142 straipsnyje išdėstyto </w:t>
                      </w:r>
                      <w:r>
                        <w:rPr>
                          <w:bCs/>
                          <w:color w:val="000000"/>
                          <w:szCs w:val="24"/>
                        </w:rPr>
                        <w:t xml:space="preserve">Lietuvos Respublikos specialiųjų žemės naudojimo sąlygų </w:t>
                      </w:r>
                      <w:r>
                        <w:rPr>
                          <w:color w:val="000000"/>
                          <w:szCs w:val="24"/>
                        </w:rPr>
                        <w:t>įstatymo 9 straipsnio 1 dalyje nurodyti prašymai pateikiami arba šioms teritorijoms įregistruoti reikalingi duomenys perduodami iki 2024 m. gruodžio 31 d.</w:t>
                      </w:r>
                      <w:r>
                        <w:t xml:space="preserve"> </w:t>
                      </w:r>
                      <w:r>
                        <w:rPr>
                          <w:szCs w:val="24"/>
                          <w:lang w:eastAsia="lt-LT"/>
                        </w:rPr>
                        <w:t>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866eab23705f4615becc0f39fc95b09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06b2b85e6f84416d9942193e30bd5b7d"/>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06b2b85e6f84416d9942193e30bd5b7d"/>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06b2b85e6f84416d9942193e30bd5b7d"/>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117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tc>
            <w:tc>
              <w:tcPr>
                <w:tcW w:w="1555" w:type="dxa"/>
                <w:tcBorders>
                  <w:bottom w:val="single" w:sz="4" w:space="0" w:color="auto"/>
                </w:tcBorders>
              </w:tcPr>
              <w:p>
                <w:pPr>
                  <w:snapToGrid w:val="0"/>
                  <w:rPr>
                    <w:rFonts w:eastAsia="Arial Unicode MS"/>
                    <w:szCs w:val="24"/>
                    <w:lang w:eastAsia="lt-LT"/>
                  </w:rPr>
                </w:pPr>
                <w:r>
                  <w:rPr>
                    <w:rFonts w:eastAsia="Arial Unicode MS"/>
                    <w:szCs w:val="24"/>
                    <w:lang w:eastAsia="lt-LT"/>
                  </w:rPr>
                  <w:t>35.11, 35.3</w:t>
                </w:r>
              </w:p>
            </w:tc>
            <w:tc>
              <w:tcPr>
                <w:tcW w:w="1640" w:type="dxa"/>
                <w:tcBorders>
                  <w:bottom w:val="single" w:sz="4" w:space="0" w:color="auto"/>
                </w:tcBorders>
              </w:tcPr>
              <w:p>
                <w:pPr>
                  <w:snapToGrid w:val="0"/>
                  <w:jc w:val="center"/>
                  <w:rPr>
                    <w:rFonts w:eastAsia="Arial Unicode MS"/>
                    <w:bCs/>
                    <w:szCs w:val="24"/>
                    <w:lang w:eastAsia="lt-LT"/>
                  </w:rPr>
                </w:pPr>
                <w:r>
                  <w:rPr>
                    <w:rFonts w:eastAsia="Arial Unicode MS"/>
                    <w:bCs/>
                    <w:szCs w:val="24"/>
                    <w:lang w:eastAsia="lt-LT"/>
                  </w:rPr>
                  <w:t>100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8"/>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1223F7"/>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8.xml"/>
  <Relationship Id="rId12" Type="http://schemas.openxmlformats.org/officeDocument/2006/relationships/header" Target="header29.xml"/>
  <Relationship Id="rId13" Type="http://schemas.openxmlformats.org/officeDocument/2006/relationships/footer" Target="footer28.xml"/>
  <Relationship Id="rId14" Type="http://schemas.openxmlformats.org/officeDocument/2006/relationships/footer" Target="footer29.xml"/>
  <Relationship Id="rId15" Type="http://schemas.openxmlformats.org/officeDocument/2006/relationships/header" Target="header30.xml"/>
  <Relationship Id="rId16" Type="http://schemas.openxmlformats.org/officeDocument/2006/relationships/footer" Target="footer30.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glossaryDocument" Target="glossary/document.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f5d8595adb424232b6a0b07236c1e9a6"/>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ccce16a55631429da56f8cd43b232b1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34439a43498b4df69c2202b2fd8e1ec1"/>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fe93f478868a4eab82f9e6a2c249e6cb"/>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09c42d58a13349b89f8dee8a8998609a"/>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ddc15d97a49445558b942998d679999b"/>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0f9c6f914cfc401d8daff2adf3fc590e"/>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622ed96cb59541e3881233c2b17daccf">
          <Part Type="strDalis" Nr="1" Abbr="10 str. 1 d." DocPartId="99765c20e0df465abf250606f064c904" PartId="9508fbe6c4434fdda0a275b000176200"/>
        </Part>
        <Part Type="straipsnis" Nr="11" Abbr="11 str." Title="Informavimas apie šiame įstatyme nurodytas teritorijas, nustatomas ir (ar) nustatytas tenkinant viešąjį interesą" DocPartId="21be1178010d426397805686eb396c78" PartId="4e60781785ee46ab97b38a12d1a7ffd9">
          <Part Type="strDalis" Nr="1" Abbr="11 str. 1 d." DocPartId="375e4a75ff2e431b9b6bc322c4b43432" PartId="69ca603c2efb4bb2adf7e8756fa076d5"/>
          <Part Type="strDalis" Nr="2" Abbr="11 str. 2 d." DocPartId="5a3400af5aaa44648d32a4b3c9d0213a" PartId="e9b65cdb39774b039a457c267549e9f6"/>
          <Part Type="strDalis" Nr="3" Abbr="11 str. 3 d." DocPartId="64733d1a7c714445a0aa792a698c063f" PartId="c9a1ef57f9ce4081ac8e3d72d4467345"/>
          <Part Type="strDalis" Nr="4" Abbr="11 str. 4 d." DocPartId="87d0b893461241e28afa897b2cf077e3" PartId="23720aae8d5642fc9ced352abaa9efc8"/>
          <Part Type="strDalis" Nr="5" Abbr="11 str. 5 d." DocPartId="bc5369346ed548d6850f7fcbab0f500a" PartId="878260026f2547f0bb5875cc1a92c30b"/>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2-1" Abbr="2-1 d." DocPartId="b8c1d279dc194d5d96ad2a3febf101f1" PartId="01559a803f93497a8708efea277e473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9971142a8934412ca9c91e928c5f4f11"/>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866eab23705f4615becc0f39fc95b096"/>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06b2b85e6f84416d9942193e30bd5b7d"/>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DCA058E-DED7-4B87-8F56-AFC5527DC49A}">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838D5196-2407-4229-9545-6BA0AB3178B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145</Pages>
  <Words>43912</Words>
  <Characters>314958</Characters>
  <Application>Microsoft Office Word</Application>
  <DocSecurity>0</DocSecurity>
  <Lines>2624</Lines>
  <Paragraphs>716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358154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GUMBYTĖ Danguolė</lastModifiedBy>
  <lastPrinted>2019-06-19T08:52:00Z</lastPrinted>
  <dcterms:modified xsi:type="dcterms:W3CDTF">2023-03-10T10:50:00Z</dcterms:modified>
  <revision>24</revision>
</coreProperties>
</file>