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2025-02-01 iki 2025-05-31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2a2db76082c04f92853f98a843058420"/>
                    <w:lock w:val="sdtLocked"/>
                    <w:richText/>
                  </w:sdtPr>
                  <w:sdtContent>
                    <w:p>
                      <w:pPr>
                        <w:spacing w:line="360" w:lineRule="auto"/>
                        <w:ind w:firstLine="720"/>
                        <w:jc w:val="both"/>
                        <w:rPr>
                          <w:b/>
                          <w:szCs w:val="24"/>
                          <w:lang w:eastAsia="lt-LT"/>
                        </w:rPr>
                      </w:pPr>
                      <w:sdt>
                        <w:sdtPr>
                          <w:alias w:val="Numeris"/>
                          <w:tag w:val="nr_2a2db76082c04f92853f98a843058420"/>
                          <w:lock w:val="sdtLocked"/>
                          <w:richText/>
                        </w:sdtPr>
                        <w:sdtContent>
                          <w:r>
                            <w:t>54</w:t>
                          </w:r>
                        </w:sdtContent>
                      </w:sdt>
                      <w:r>
                        <w:t>.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 Lietuvos Respublikos saugaus eismo automobilių keliais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f5d8595adb424232b6a0b07236c1e9a6"/>
                            <w:lock w:val="sdtLocked"/>
                            <w:richText/>
                          </w:sdtPr>
                          <w:sdtContent>
                            <w:p>
                              <w:pPr>
                                <w:spacing w:line="360" w:lineRule="auto"/>
                                <w:ind w:firstLine="720"/>
                                <w:jc w:val="both"/>
                                <w:rPr>
                                  <w:szCs w:val="24"/>
                                  <w:lang w:eastAsia="lt-LT"/>
                                </w:rPr>
                              </w:pPr>
                              <w:sdt>
                                <w:sdtPr>
                                  <w:alias w:val="Numeris"/>
                                  <w:tag w:val="nr_f5d8595adb424232b6a0b07236c1e9a6"/>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ccce16a55631429da56f8cd43b232b1c"/>
                            <w:lock w:val="sdtLocked"/>
                            <w:richText/>
                          </w:sdtPr>
                          <w:sdtContent>
                            <w:p>
                              <w:pPr>
                                <w:spacing w:line="360" w:lineRule="auto"/>
                                <w:ind w:firstLine="720"/>
                                <w:jc w:val="both"/>
                                <w:rPr>
                                  <w:szCs w:val="24"/>
                                  <w:lang w:eastAsia="lt-LT"/>
                                </w:rPr>
                              </w:pPr>
                              <w:sdt>
                                <w:sdtPr>
                                  <w:alias w:val="Numeris"/>
                                  <w:tag w:val="nr_ccce16a55631429da56f8cd43b232b1c"/>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fe93f478868a4eab82f9e6a2c249e6cb"/>
                            <w:lock w:val="sdtLocked"/>
                            <w:richText/>
                          </w:sdtPr>
                          <w:sdtContent>
                            <w:p>
                              <w:pPr>
                                <w:spacing w:line="360" w:lineRule="auto"/>
                                <w:ind w:firstLine="720"/>
                                <w:jc w:val="both"/>
                                <w:rPr>
                                  <w:szCs w:val="24"/>
                                  <w:lang w:eastAsia="lt-LT"/>
                                </w:rPr>
                              </w:pPr>
                              <w:sdt>
                                <w:sdtPr>
                                  <w:alias w:val="Numeris"/>
                                  <w:tag w:val="nr_fe93f478868a4eab82f9e6a2c249e6c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09c42d58a13349b89f8dee8a8998609a"/>
                            <w:lock w:val="sdtLocked"/>
                            <w:richText/>
                          </w:sdtPr>
                          <w:sdtContent>
                            <w:p>
                              <w:pPr>
                                <w:spacing w:line="360" w:lineRule="auto"/>
                                <w:ind w:firstLine="720"/>
                                <w:jc w:val="both"/>
                                <w:rPr>
                                  <w:szCs w:val="24"/>
                                  <w:lang w:eastAsia="lt-LT"/>
                                </w:rPr>
                              </w:pPr>
                              <w:sdt>
                                <w:sdtPr>
                                  <w:alias w:val="Numeris"/>
                                  <w:tag w:val="nr_09c42d58a13349b89f8dee8a8998609a"/>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0f9c6f914cfc401d8daff2adf3fc590e"/>
                            <w:lock w:val="sdtLocked"/>
                            <w:richText/>
                          </w:sdtPr>
                          <w:sdtContent>
                            <w:p>
                              <w:pPr>
                                <w:spacing w:line="360" w:lineRule="auto"/>
                                <w:ind w:firstLine="720"/>
                                <w:jc w:val="both"/>
                                <w:rPr>
                                  <w:szCs w:val="24"/>
                                  <w:lang w:eastAsia="lt-LT"/>
                                </w:rPr>
                              </w:pPr>
                              <w:sdt>
                                <w:sdtPr>
                                  <w:alias w:val="Numeris"/>
                                  <w:tag w:val="nr_0f9c6f914cfc401d8daff2adf3fc590e"/>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4e60781785ee46ab97b38a12d1a7ffd9"/>
                    <w:lock w:val="sdtLocked"/>
                    <w:richText/>
                  </w:sdtPr>
                  <w:sdtContent>
                    <w:p>
                      <w:pPr>
                        <w:spacing w:line="360" w:lineRule="auto"/>
                        <w:ind w:left="2127" w:hanging="1407"/>
                        <w:jc w:val="both"/>
                        <w:rPr>
                          <w:b/>
                          <w:szCs w:val="24"/>
                          <w:lang w:eastAsia="lt-LT"/>
                        </w:rPr>
                      </w:pPr>
                      <w:sdt>
                        <w:sdtPr>
                          <w:alias w:val="Numeris"/>
                          <w:tag w:val="nr_4e60781785ee46ab97b38a12d1a7ffd9"/>
                          <w:lock w:val="sdtLocked"/>
                          <w:richText/>
                        </w:sdtPr>
                        <w:sdtContent>
                          <w:r>
                            <w:rPr>
                              <w:b/>
                              <w:szCs w:val="24"/>
                              <w:lang w:eastAsia="lt-LT"/>
                            </w:rPr>
                            <w:t>11</w:t>
                          </w:r>
                        </w:sdtContent>
                      </w:sdt>
                      <w:r>
                        <w:rPr>
                          <w:b/>
                          <w:szCs w:val="24"/>
                          <w:lang w:eastAsia="lt-LT"/>
                        </w:rPr>
                        <w:t xml:space="preserve"> straipsnis. </w:t>
                      </w:r>
                      <w:sdt>
                        <w:sdtPr>
                          <w:alias w:val="Pavadinimas"/>
                          <w:tag w:val="title_4e60781785ee46ab97b38a12d1a7ffd9"/>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69ca603c2efb4bb2adf7e8756fa076d5"/>
                        <w:lock w:val="sdtLocked"/>
                        <w:richText/>
                      </w:sdtPr>
                      <w:sdtContent>
                        <w:p>
                          <w:pPr>
                            <w:spacing w:line="360" w:lineRule="auto"/>
                            <w:ind w:firstLine="720"/>
                            <w:jc w:val="both"/>
                            <w:rPr>
                              <w:szCs w:val="24"/>
                              <w:lang w:eastAsia="lt-LT"/>
                            </w:rPr>
                          </w:pPr>
                          <w:sdt>
                            <w:sdtPr>
                              <w:alias w:val="Numeris"/>
                              <w:tag w:val="nr_69ca603c2efb4bb2adf7e8756fa076d5"/>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e9b65cdb39774b039a457c267549e9f6"/>
                        <w:lock w:val="sdtLocked"/>
                        <w:richText/>
                      </w:sdtPr>
                      <w:sdtContent>
                        <w:p>
                          <w:pPr>
                            <w:spacing w:line="360" w:lineRule="auto"/>
                            <w:ind w:firstLine="720"/>
                            <w:jc w:val="both"/>
                            <w:rPr>
                              <w:szCs w:val="24"/>
                              <w:lang w:eastAsia="lt-LT"/>
                            </w:rPr>
                          </w:pPr>
                          <w:sdt>
                            <w:sdtPr>
                              <w:alias w:val="Numeris"/>
                              <w:tag w:val="nr_e9b65cdb39774b039a457c267549e9f6"/>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9a1ef57f9ce4081ac8e3d72d4467345"/>
                        <w:lock w:val="sdtLocked"/>
                        <w:richText/>
                      </w:sdtPr>
                      <w:sdtContent>
                        <w:p>
                          <w:pPr>
                            <w:spacing w:line="360" w:lineRule="auto"/>
                            <w:ind w:firstLine="720"/>
                            <w:jc w:val="both"/>
                            <w:rPr>
                              <w:szCs w:val="24"/>
                              <w:lang w:eastAsia="lt-LT"/>
                            </w:rPr>
                          </w:pPr>
                          <w:sdt>
                            <w:sdtPr>
                              <w:alias w:val="Numeris"/>
                              <w:tag w:val="nr_c9a1ef57f9ce4081ac8e3d72d4467345"/>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3720aae8d5642fc9ced352abaa9efc8"/>
                        <w:lock w:val="sdtLocked"/>
                        <w:richText/>
                      </w:sdtPr>
                      <w:sdtContent>
                        <w:p>
                          <w:pPr>
                            <w:spacing w:line="360" w:lineRule="auto"/>
                            <w:ind w:firstLine="720"/>
                            <w:jc w:val="both"/>
                            <w:rPr>
                              <w:szCs w:val="24"/>
                              <w:lang w:eastAsia="lt-LT"/>
                            </w:rPr>
                          </w:pPr>
                          <w:sdt>
                            <w:sdtPr>
                              <w:alias w:val="Numeris"/>
                              <w:tag w:val="nr_23720aae8d5642fc9ced352abaa9efc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878260026f2547f0bb5875cc1a92c30b"/>
                        <w:lock w:val="sdtLocked"/>
                        <w:richText/>
                      </w:sdtPr>
                      <w:sdtContent>
                        <w:p>
                          <w:pPr>
                            <w:spacing w:line="360" w:lineRule="auto"/>
                            <w:ind w:firstLine="720"/>
                            <w:jc w:val="both"/>
                            <w:rPr>
                              <w:szCs w:val="24"/>
                              <w:lang w:eastAsia="lt-LT"/>
                            </w:rPr>
                          </w:pPr>
                          <w:sdt>
                            <w:sdtPr>
                              <w:alias w:val="Numeris"/>
                              <w:tag w:val="nr_878260026f2547f0bb5875cc1a92c30b"/>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ae69eb78106c42bd8bb7bbeae845bcae"/>
                            <w:lock w:val="sdtLocked"/>
                            <w:richText/>
                          </w:sdtPr>
                          <w:sdtContent>
                            <w:p>
                              <w:pPr>
                                <w:spacing w:line="360" w:lineRule="auto"/>
                                <w:ind w:firstLine="720"/>
                                <w:jc w:val="both"/>
                                <w:rPr>
                                  <w:szCs w:val="24"/>
                                  <w:lang w:eastAsia="lt-LT"/>
                                </w:rPr>
                              </w:pPr>
                              <w:sdt>
                                <w:sdtPr>
                                  <w:alias w:val="Numeris"/>
                                  <w:tag w:val="nr_ae69eb78106c42bd8bb7bbeae845bcae"/>
                                  <w:lock w:val="sdtLocked"/>
                                  <w:richText/>
                                </w:sdtPr>
                                <w:sdtContent>
                                  <w:r>
                                    <w:t>2</w:t>
                                  </w:r>
                                </w:sdtContent>
                              </w:sdt>
                              <w:r>
                                <w:t xml:space="preserve">) įrengti išorinę reklamą, išskyrus šio straipsnio 2 dalies 6 punkte nurodytą atvejį;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0cff257beb0468eab27c9234d885dfc"/>
                            <w:lock w:val="sdtLocked"/>
                            <w:richText/>
                          </w:sdtPr>
                          <w:sdtContent>
                            <w:p>
                              <w:pPr>
                                <w:spacing w:line="360" w:lineRule="auto"/>
                                <w:ind w:firstLine="720"/>
                                <w:jc w:val="both"/>
                                <w:rPr>
                                  <w:szCs w:val="24"/>
                                  <w:lang w:eastAsia="lt-LT"/>
                                </w:rPr>
                              </w:pPr>
                              <w:sdt>
                                <w:sdtPr>
                                  <w:alias w:val="Numeris"/>
                                  <w:tag w:val="nr_b0cff257beb0468eab27c9234d885dfc"/>
                                  <w:lock w:val="sdtLocked"/>
                                  <w:richText/>
                                </w:sdtPr>
                                <w:sdtContent>
                                  <w:r>
                                    <w:rPr>
                                      <w:lang w:eastAsia="lt-LT"/>
                                    </w:rPr>
                                    <w:t>1</w:t>
                                  </w:r>
                                </w:sdtContent>
                              </w:sdt>
                              <w:r>
                                <w:rPr>
                                  <w:lang w:eastAsia="lt-LT"/>
                                </w:rPr>
                                <w:t>)</w:t>
                              </w:r>
                              <w:r>
                                <w:rPr>
                                  <w:bCs/>
                                  <w:lang w:eastAsia="lt-LT"/>
                                </w:rPr>
                                <w:t xml:space="preserve"> </w:t>
                              </w:r>
                              <w:r>
                                <w:rPr>
                                  <w:szCs w:val="24"/>
                                </w:rPr>
                                <w:t xml:space="preserve">statyti, rekonstruoti statinius ar įrengti įrenginius, </w:t>
                              </w:r>
                              <w:r>
                                <w:rPr>
                                  <w:bCs/>
                                  <w:szCs w:val="24"/>
                                </w:rPr>
                                <w:t>įskaitant pastatus</w:t>
                              </w:r>
                              <w:r>
                                <w:rPr>
                                  <w:szCs w:val="24"/>
                                </w:rPr>
                                <w:t>, kurių statyba nėra draudžiama pagal šio straipsnio 1 dalies</w:t>
                              </w:r>
                              <w:r>
                                <w:rPr>
                                  <w:bCs/>
                                  <w:szCs w:val="24"/>
                                </w:rPr>
                                <w:t xml:space="preserve"> </w:t>
                              </w:r>
                              <w:r>
                                <w:rPr>
                                  <w:szCs w:val="24"/>
                                </w:rPr>
                                <w:t>1</w:t>
                              </w:r>
                              <w:r>
                                <w:rPr>
                                  <w:bCs/>
                                  <w:szCs w:val="24"/>
                                </w:rPr>
                                <w:t xml:space="preserve"> </w:t>
                              </w:r>
                              <w:r>
                                <w:rPr>
                                  <w:szCs w:val="24"/>
                                </w:rPr>
                                <w:t>punktą, taip pat laikinus sniegą sulaikančius įrenginius rudens, žiemos ir pavasario laikotarpiais;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6 p."/>
                            <w:tag w:val="part_9110790eb5004e558f5c2d65a727e5de"/>
                            <w:lock w:val="sdtLocked"/>
                            <w:richText/>
                          </w:sdtPr>
                          <w:sdtContent>
                            <w:p>
                              <w:pPr>
                                <w:spacing w:line="360" w:lineRule="auto"/>
                                <w:ind w:firstLine="720"/>
                                <w:jc w:val="both"/>
                                <w:rPr>
                                  <w:szCs w:val="24"/>
                                </w:rPr>
                              </w:pPr>
                              <w:sdt>
                                <w:sdtPr>
                                  <w:alias w:val="Numeris"/>
                                  <w:tag w:val="nr_9110790eb5004e558f5c2d65a727e5de"/>
                                  <w:lock w:val="sdtLocked"/>
                                  <w:richText/>
                                </w:sdtPr>
                                <w:sdtContent>
                                  <w:r>
                                    <w:rPr>
                                      <w:bCs/>
                                      <w:lang w:eastAsia="lt-LT"/>
                                    </w:rPr>
                                    <w:t>6</w:t>
                                  </w:r>
                                </w:sdtContent>
                              </w:sdt>
                              <w:r>
                                <w:rPr>
                                  <w:bCs/>
                                  <w:lang w:eastAsia="lt-LT"/>
                                </w:rPr>
                                <w:t>) gyvenvietėse įrengti išorinę reklamą;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7 p."/>
                            <w:tag w:val="part_d7413515e47e46059d2850877091d981"/>
                            <w:lock w:val="sdtLocked"/>
                            <w:richText/>
                          </w:sdtPr>
                          <w:sdtContent>
                            <w:p>
                              <w:pPr>
                                <w:spacing w:line="360" w:lineRule="auto"/>
                                <w:ind w:firstLine="720"/>
                                <w:jc w:val="both"/>
                              </w:pPr>
                              <w:sdt>
                                <w:sdtPr>
                                  <w:alias w:val="Numeris"/>
                                  <w:tag w:val="nr_d7413515e47e46059d2850877091d981"/>
                                  <w:lock w:val="sdtLocked"/>
                                  <w:richText/>
                                </w:sdtPr>
                                <w:sdtContent>
                                  <w:r>
                                    <w:rPr>
                                      <w:bCs/>
                                    </w:rPr>
                                    <w:t>7</w:t>
                                  </w:r>
                                </w:sdtContent>
                              </w:sdt>
                              <w:r>
                                <w:t>) kelių apsaugos zonos dalyje, sutampančioje su kelio juostos dalimi, organizuoti renginius, susijusius su žmonių susibūrimu, vykdyti prekybinę veiklą ir (ar) kitus darbus, nenurodytus šios dalies 1–</w:t>
                              </w:r>
                              <w:r>
                                <w:rPr>
                                  <w:bCs/>
                                </w:rPr>
                                <w:t>6</w:t>
                              </w:r>
                              <w:r>
                                <w:t xml:space="preserve"> punktuose.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43ff7d278e73426893574a450f447d0c"/>
                            <w:lock w:val="sdtLocked"/>
                            <w:richText/>
                          </w:sdtPr>
                          <w:sdtContent>
                            <w:p>
                              <w:pPr>
                                <w:spacing w:line="360" w:lineRule="auto"/>
                                <w:ind w:firstLine="720"/>
                                <w:jc w:val="both"/>
                                <w:rPr>
                                  <w:szCs w:val="24"/>
                                  <w:lang w:eastAsia="lt-LT"/>
                                </w:rPr>
                              </w:pPr>
                              <w:sdt>
                                <w:sdtPr>
                                  <w:alias w:val="Numeris"/>
                                  <w:tag w:val="nr_43ff7d278e73426893574a450f447d0c"/>
                                  <w:lock w:val="sdtLocked"/>
                                  <w:richText/>
                                </w:sdtPr>
                                <w:sdtContent>
                                  <w:r>
                                    <w:t>1</w:t>
                                  </w:r>
                                </w:sdtContent>
                              </w:sdt>
                              <w: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inžinerinius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dab1baaa16ed4418a26849a98e2287a4"/>
                    <w:lock w:val="sdtLocked"/>
                    <w:richText/>
                  </w:sdtPr>
                  <w:sdtContent>
                    <w:p>
                      <w:pPr>
                        <w:spacing w:line="360" w:lineRule="auto"/>
                        <w:ind w:firstLine="720"/>
                        <w:jc w:val="both"/>
                        <w:rPr>
                          <w:szCs w:val="24"/>
                          <w:lang w:eastAsia="lt-LT"/>
                        </w:rPr>
                      </w:pPr>
                      <w:sdt>
                        <w:sdtPr>
                          <w:alias w:val="Numeris"/>
                          <w:tag w:val="nr_dab1baaa16ed4418a26849a98e2287a4"/>
                          <w:lock w:val="sdtLocked"/>
                          <w:richText/>
                        </w:sdtPr>
                        <w:sdtContent>
                          <w:r>
                            <w:rPr>
                              <w:szCs w:val="24"/>
                              <w:lang w:eastAsia="lt-LT"/>
                            </w:rPr>
                            <w:t>1</w:t>
                          </w:r>
                        </w:sdtContent>
                      </w:sdt>
                      <w:r>
                        <w:rPr>
                          <w:szCs w:val="24"/>
                          <w:lang w:eastAsia="lt-LT"/>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2de1d153499947cab8e2bdce87cf72c5"/>
                    <w:lock w:val="sdtLocked"/>
                    <w:richText/>
                  </w:sdtPr>
                  <w:sdtContent>
                    <w:p>
                      <w:pPr>
                        <w:spacing w:line="360" w:lineRule="auto"/>
                        <w:ind w:firstLine="720"/>
                        <w:jc w:val="both"/>
                        <w:rPr>
                          <w:szCs w:val="24"/>
                          <w:lang w:eastAsia="lt-LT"/>
                        </w:rPr>
                      </w:pPr>
                      <w:sdt>
                        <w:sdtPr>
                          <w:alias w:val="Numeris"/>
                          <w:tag w:val="nr_2de1d153499947cab8e2bdce87cf72c5"/>
                          <w:lock w:val="sdtLocked"/>
                          <w:richText/>
                        </w:sdtPr>
                        <w:sdtContent>
                          <w:r>
                            <w:rPr>
                              <w:bCs/>
                              <w:szCs w:val="24"/>
                              <w:lang w:eastAsia="lt-LT"/>
                            </w:rPr>
                            <w:t>4</w:t>
                          </w:r>
                        </w:sdtContent>
                      </w:sdt>
                      <w:r>
                        <w:rPr>
                          <w:szCs w:val="24"/>
                          <w:lang w:eastAsia="lt-LT"/>
                        </w:rPr>
                        <w:t xml:space="preserve">. Kai sanitarinės apsaugos zona į Nekilnojamojo turto kadastrą ir Nekilnojamojo turto registrą buvo įrašyta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w:t>
                      </w:r>
                      <w:r>
                        <w:rPr>
                          <w:bCs/>
                          <w:szCs w:val="24"/>
                          <w:lang w:eastAsia="lt-LT"/>
                        </w:rPr>
                        <w:t>Jeigu poveikio visuomenės sveikatai vertinimo dokumente nustatyta sanitarinės apsaugos zona, palyginti su įrašytąja į Nekilnojamojo turto kadastrą ir Nekilnojamojo turto registrą, sumažėja,</w:t>
                      </w:r>
                      <w:r>
                        <w:rPr>
                          <w:szCs w:val="24"/>
                          <w:lang w:eastAsia="lt-LT"/>
                        </w:rPr>
                        <w:t xml:space="preserve"> </w:t>
                      </w:r>
                      <w:r>
                        <w:rPr>
                          <w:bCs/>
                          <w:szCs w:val="24"/>
                          <w:lang w:eastAsia="lt-LT"/>
                        </w:rPr>
                        <w:t>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2–4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w:t>
                      </w:r>
                      <w:r>
                        <w:rPr>
                          <w:szCs w:val="24"/>
                          <w:lang w:eastAsia="lt-LT"/>
                        </w:rPr>
                        <w:t xml:space="preserve">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w:t>
                      </w:r>
                      <w:r>
                        <w:rPr>
                          <w:bCs/>
                          <w:szCs w:val="24"/>
                          <w:lang w:eastAsia="lt-LT"/>
                        </w:rPr>
                        <w:t>ir kompensacijos dėl specialiųjų žemės naudojimo sąlygų taikymo šiose teritorijose nemokamos</w:t>
                      </w:r>
                      <w:r>
                        <w:rPr>
                          <w:szCs w:val="24"/>
                          <w:lang w:eastAsia="lt-LT"/>
                        </w:rPr>
                        <w:t>,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p>
                  </w:sdtContent>
                </w:sdt>
                <w:sdt>
                  <w:sdtPr>
                    <w:alias w:val="141 str. 5 d."/>
                    <w:tag w:val="part_49df1d4b7b00497fb3955c4264c2b4f8"/>
                    <w:lock w:val="sdtLocked"/>
                    <w:richText/>
                  </w:sdtPr>
                  <w:sdtContent>
                    <w:p>
                      <w:pPr>
                        <w:spacing w:line="360" w:lineRule="auto"/>
                        <w:ind w:firstLine="720"/>
                        <w:jc w:val="both"/>
                        <w:rPr>
                          <w:szCs w:val="24"/>
                          <w:lang w:eastAsia="lt-LT"/>
                        </w:rPr>
                      </w:pPr>
                      <w:sdt>
                        <w:sdtPr>
                          <w:alias w:val="Numeris"/>
                          <w:tag w:val="nr_49df1d4b7b00497fb3955c4264c2b4f8"/>
                          <w:lock w:val="sdtLocked"/>
                          <w:richText/>
                        </w:sdtPr>
                        <w:sdtContent>
                          <w:r>
                            <w:rPr>
                              <w:bCs/>
                              <w:szCs w:val="24"/>
                              <w:lang w:eastAsia="lt-LT"/>
                            </w:rPr>
                            <w:t>5</w:t>
                          </w:r>
                        </w:sdtContent>
                      </w:sdt>
                      <w:r>
                        <w:rPr>
                          <w:szCs w:val="24"/>
                          <w:lang w:eastAsia="lt-LT"/>
                        </w:rPr>
                        <w:t xml:space="preserve">. Kai sanitarinės apsaugos zona turėjo būti įrašyta į Nekilnojamojo turto kadastrą ir Nekilnojamojo turto registrą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w:t>
                      </w:r>
                      <w:r>
                        <w:rPr>
                          <w:bCs/>
                          <w:szCs w:val="24"/>
                          <w:lang w:eastAsia="lt-LT"/>
                        </w:rPr>
                        <w:t>,</w:t>
                      </w:r>
                      <w:r>
                        <w:rPr>
                          <w:szCs w:val="24"/>
                          <w:lang w:eastAsia="lt-LT"/>
                        </w:rPr>
                        <w:t xml:space="preserve"> Nekilnojamojo turto registro tvarkytojui pateikia šio įstatymo 9 straipsnio 1 dalyje nurodytus prašymus arba sanitarinės apsaugos zonai įregistruoti reikalingus duomenis </w:t>
                      </w:r>
                      <w:r>
                        <w:rPr>
                          <w:bCs/>
                          <w:szCs w:val="24"/>
                          <w:lang w:eastAsia="lt-LT"/>
                        </w:rPr>
                        <w:t>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2–4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w:t>
                      </w:r>
                      <w:r>
                        <w:rPr>
                          <w:szCs w:val="24"/>
                          <w:lang w:eastAsia="lt-LT"/>
                        </w:rPr>
                        <w:t xml:space="preserve">. Prašymas įgaliotai institucijai priimti sprendimą dėl šioje dalyje nurodyto poveikio visuomenės sveikatai vertinimo dokumento pateikiamas iki 2024 m. gruodžio 31 d. Šio straipsnio </w:t>
                      </w:r>
                      <w:r>
                        <w:rPr>
                          <w:bCs/>
                          <w:szCs w:val="24"/>
                          <w:lang w:eastAsia="lt-LT"/>
                        </w:rPr>
                        <w:t>4</w:t>
                      </w:r>
                      <w:r>
                        <w:rPr>
                          <w:szCs w:val="24"/>
                          <w:lang w:eastAsia="lt-LT"/>
                        </w:rPr>
                        <w:t xml:space="preserve"> dalyje nustatytais terminais šioje dalyje nurodyti</w:t>
                      </w:r>
                      <w:r>
                        <w:rPr>
                          <w:b/>
                          <w:bCs/>
                          <w:szCs w:val="24"/>
                          <w:lang w:eastAsia="lt-LT"/>
                        </w:rPr>
                        <w:t xml:space="preserve"> </w:t>
                      </w:r>
                      <w:r>
                        <w:rPr>
                          <w:szCs w:val="24"/>
                          <w:lang w:eastAsia="lt-LT"/>
                        </w:rPr>
                        <w:t xml:space="preserve">prašymai </w:t>
                      </w:r>
                      <w:r>
                        <w:rPr>
                          <w:bCs/>
                          <w:szCs w:val="24"/>
                          <w:lang w:eastAsia="lt-LT"/>
                        </w:rPr>
                        <w:t>įgaliotai institucijai</w:t>
                      </w:r>
                      <w:r>
                        <w:rPr>
                          <w:szCs w:val="24"/>
                          <w:lang w:eastAsia="lt-LT"/>
                        </w:rPr>
                        <w:t xml:space="preserve"> teikiami kartu su Nacionalinės žemės tarnybos prie Aplinkos ministerijos direktoriaus nustatyta tvarka parengta Nacionalinės žemės tarnybos prie Aplinkos ministerijos išvada dėl galimybės nustatyti sanitarinės apsaugos zoną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w:t>
                      </w:r>
                      <w:r>
                        <w:rPr>
                          <w:bCs/>
                          <w:szCs w:val="24"/>
                          <w:lang w:eastAsia="lt-LT"/>
                        </w:rPr>
                        <w:t>ir kompensacijos dėl specialiųjų žemės naudojimo sąlygų taikymo šiose teritorijose nemokamos</w:t>
                      </w:r>
                      <w:r>
                        <w:rPr>
                          <w:szCs w:val="24"/>
                          <w:lang w:eastAsia="lt-LT"/>
                        </w:rPr>
                        <w:t xml:space="preserve">,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w:t>
                      </w:r>
                      <w:r>
                        <w:rPr>
                          <w:bCs/>
                          <w:szCs w:val="24"/>
                          <w:lang w:eastAsia="lt-LT"/>
                        </w:rPr>
                        <w:t>(įstatymo redakcija iki 2022 m. gruodžio 31 d.)</w:t>
                      </w:r>
                      <w:r>
                        <w:rPr>
                          <w:szCs w:val="24"/>
                          <w:lang w:eastAsia="lt-LT"/>
                        </w:rPr>
                        <w:t xml:space="preserve">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3b7c8b42ce69452ea1a5a49faa984d8b"/>
                    <w:lock w:val="sdtLocked"/>
                    <w:richText/>
                  </w:sdtPr>
                  <w:sdtContent>
                    <w:p>
                      <w:pPr>
                        <w:tabs>
                          <w:tab w:val="left" w:pos="709"/>
                          <w:tab w:val="left" w:pos="993"/>
                        </w:tabs>
                        <w:spacing w:line="360" w:lineRule="auto"/>
                        <w:ind w:firstLine="720"/>
                        <w:jc w:val="both"/>
                        <w:rPr>
                          <w:szCs w:val="24"/>
                          <w:lang w:eastAsia="lt-LT"/>
                        </w:rPr>
                      </w:pPr>
                      <w:sdt>
                        <w:sdtPr>
                          <w:alias w:val="Numeris"/>
                          <w:tag w:val="nr_3b7c8b42ce69452ea1a5a49faa984d8b"/>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w:t>
                      </w:r>
                      <w:r>
                        <w:rPr>
                          <w:bCs/>
                          <w:szCs w:val="24"/>
                          <w:lang w:eastAsia="lt-LT"/>
                        </w:rPr>
                        <w:t>šio įstatymo 9</w:t>
                      </w:r>
                      <w:r>
                        <w:rPr>
                          <w:szCs w:val="24"/>
                          <w:lang w:eastAsia="lt-LT"/>
                        </w:rPr>
                        <w:t> </w:t>
                      </w:r>
                      <w:r>
                        <w:rPr>
                          <w:bCs/>
                          <w:szCs w:val="24"/>
                          <w:lang w:eastAsia="lt-LT"/>
                        </w:rPr>
                        <w:t>straipsnio 1 dalyje nurodytą prašymą arba šiai teritorijai įregistruoti reikalingus duomenis</w:t>
                      </w:r>
                      <w:r>
                        <w:rPr>
                          <w:szCs w:val="24"/>
                          <w:lang w:eastAsia="lt-LT"/>
                        </w:rPr>
                        <w:t>,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w:t>
                      </w:r>
                      <w:r>
                        <w:rPr>
                          <w:bCs/>
                          <w:szCs w:val="24"/>
                          <w:lang w:eastAsia="lt-LT"/>
                        </w:rPr>
                        <w:t xml:space="preserve"> </w:t>
                      </w:r>
                      <w:r>
                        <w:rPr>
                          <w:szCs w:val="24"/>
                          <w:lang w:eastAsia="lt-LT"/>
                        </w:rPr>
                        <w:t xml:space="preserve">interneto svetainėje, viename iš nacionalinių ir viename iš vietinių laikraščių, jeigu toks leidžiamas numatomos nustatyti teritorijos vietoje). Kai atitinkamo fizinio asmens gyvenamoji vieta nežinoma, informacija apie teritorijas, nustatytas tenkinant viešąjį interesą, ir jose taikytinas specialiąsias sąlygas siunčiama į paskutinę žinomą tokio fizinio asmens gyvenamąją vietą. </w:t>
                      </w:r>
                    </w:p>
                  </w:sdtContent>
                </w:sdt>
                <w:sdt>
                  <w:sdtPr>
                    <w:alias w:val="141 str. 10 d."/>
                    <w:tag w:val="part_e0ca9739a6a2485ba8aaaf6c8db41d74"/>
                    <w:lock w:val="sdtLocked"/>
                    <w:richText/>
                  </w:sdtPr>
                  <w:sdtContent>
                    <w:p>
                      <w:pPr>
                        <w:tabs>
                          <w:tab w:val="left" w:pos="709"/>
                          <w:tab w:val="left" w:pos="993"/>
                        </w:tabs>
                        <w:spacing w:line="360" w:lineRule="auto"/>
                        <w:ind w:firstLine="720"/>
                        <w:jc w:val="both"/>
                        <w:rPr>
                          <w:szCs w:val="24"/>
                          <w:lang w:eastAsia="lt-LT"/>
                        </w:rPr>
                      </w:pPr>
                      <w:sdt>
                        <w:sdtPr>
                          <w:alias w:val="Numeris"/>
                          <w:tag w:val="nr_e0ca9739a6a2485ba8aaaf6c8db41d74"/>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2b645dc8af5749c5973696806c321b7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682ba9111aad40528d00bcfcc2183d7b"/>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682ba9111aad40528d00bcfcc2183d7b"/>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682ba9111aad40528d00bcfcc2183d7b"/>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snapToGrid w:val="0"/>
                  <w:jc w:val="center"/>
                  <w:rPr>
                    <w:rFonts w:eastAsia="Arial Unicode MS"/>
                    <w:szCs w:val="24"/>
                    <w:lang w:eastAsia="lt-LT"/>
                  </w:rPr>
                </w:pPr>
                <w:r>
                  <w:rPr>
                    <w:rFonts w:eastAsia="Arial Unicode MS"/>
                    <w:bCs/>
                    <w:szCs w:val="24"/>
                    <w:lang w:eastAsia="lt-LT"/>
                  </w:rPr>
                  <w:t>19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Pr>
              <w:p>
                <w:pPr>
                  <w:snapToGrid w:val="0"/>
                  <w:jc w:val="center"/>
                  <w:rPr>
                    <w:rFonts w:eastAsia="Arial Unicode MS"/>
                    <w:szCs w:val="24"/>
                    <w:lang w:eastAsia="lt-LT"/>
                  </w:rPr>
                </w:pPr>
                <w:r>
                  <w:rPr>
                    <w:rFonts w:eastAsia="Arial Unicode MS"/>
                    <w:szCs w:val="24"/>
                    <w:lang w:eastAsia="lt-LT"/>
                  </w:rPr>
                  <w:t>20.3</w:t>
                </w: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3da02a73311ef90b5ee8931e5ce5e">
            <w:r w:rsidRPr="00532B9F">
              <w:rPr>
                <w:rFonts w:ascii="Times New Roman" w:eastAsia="MS Mincho" w:hAnsi="Times New Roman"/>
                <w:sz w:val="20"/>
                <w:iCs/>
                <w:color w:val="0000FF" w:themeColor="hyperlink"/>
                <w:u w:val="single"/>
              </w:rPr>
              <w:t>XIV-3151</w:t>
            </w:r>
          </w:fldSimple>
          <w:r>
            <w:rPr>
              <w:rFonts w:ascii="Times New Roman" w:eastAsia="MS Mincho" w:hAnsi="Times New Roman"/>
              <w:sz w:val="20"/>
              <w:iCs/>
            </w:rPr>
            <w:t>,
2024-11-12,
paskelbta TAR 2024-11-20, i. k. 2024-20209                </w:t>
          </w:r>
        </w:p>
        <w:p>
          <w:pPr>
            <w:jc w:val="both"/>
            <w:rPr>
              <w:rFonts w:ascii="Times New Roman" w:hAnsi="Times New Roman"/>
            </w:rPr>
          </w:pPr>
          <w:r>
            <w:rPr>
              <w:rFonts w:ascii="Times New Roman" w:hAnsi="Times New Roman"/>
              <w:sz w:val="20"/>
            </w:rPr>
            <w:t>Lietuvos Respublikos specialiųjų žemės naudojimo sąlygų įstatymo Nr. XIII-2166 2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3</w:t>
    </w:r>
    <w:r>
      <w:rPr>
        <w:rFonts w:ascii="TimesLT" w:hAnsi="TimesLT"/>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E9D003"/>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6.xml"/>
  <Relationship Id="rId11" Type="http://schemas.openxmlformats.org/officeDocument/2006/relationships/header" Target="header47.xml"/>
  <Relationship Id="rId12" Type="http://schemas.openxmlformats.org/officeDocument/2006/relationships/footer" Target="footer46.xml"/>
  <Relationship Id="rId13" Type="http://schemas.openxmlformats.org/officeDocument/2006/relationships/footer" Target="footer47.xml"/>
  <Relationship Id="rId14" Type="http://schemas.openxmlformats.org/officeDocument/2006/relationships/header" Target="header48.xml"/>
  <Relationship Id="rId15" Type="http://schemas.openxmlformats.org/officeDocument/2006/relationships/footer" Target="footer4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2a2db76082c04f92853f98a843058420"/>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f5d8595adb424232b6a0b07236c1e9a6"/>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ccce16a55631429da56f8cd43b232b1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fe93f478868a4eab82f9e6a2c249e6cb"/>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09c42d58a13349b89f8dee8a8998609a"/>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0f9c6f914cfc401d8daff2adf3fc590e"/>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4e60781785ee46ab97b38a12d1a7ffd9">
          <Part Type="strDalis" Nr="1" Abbr="11 str. 1 d." DocPartId="375e4a75ff2e431b9b6bc322c4b43432" PartId="69ca603c2efb4bb2adf7e8756fa076d5"/>
          <Part Type="strDalis" Nr="2" Abbr="11 str. 2 d." DocPartId="5a3400af5aaa44648d32a4b3c9d0213a" PartId="e9b65cdb39774b039a457c267549e9f6"/>
          <Part Type="strDalis" Nr="3" Abbr="11 str. 3 d." DocPartId="64733d1a7c714445a0aa792a698c063f" PartId="c9a1ef57f9ce4081ac8e3d72d4467345"/>
          <Part Type="strDalis" Nr="4" Abbr="11 str. 4 d." DocPartId="87d0b893461241e28afa897b2cf077e3" PartId="23720aae8d5642fc9ced352abaa9efc8"/>
          <Part Type="strDalis" Nr="5" Abbr="11 str. 5 d." DocPartId="bc5369346ed548d6850f7fcbab0f500a" PartId="878260026f2547f0bb5875cc1a92c30b"/>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ae69eb78106c42bd8bb7bbeae845bcae"/>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b0cff257beb0468eab27c9234d885dfc"/>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6 p." DocPartId="aefd010e9477468ca02555b19e6565b1" PartId="9110790eb5004e558f5c2d65a727e5de"/>
            <Part Type="strPunktas" Nr="7" Abbr="19 str. 2 d. 7 p." DocPartId="7519aebff0a8470094738ac88ed496f8" PartId="d7413515e47e46059d2850877091d981"/>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43ff7d278e73426893574a450f447d0c"/>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dab1baaa16ed4418a26849a98e2287a4"/>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2de1d153499947cab8e2bdce87cf72c5"/>
        <Part Type="strDalis" Nr="5" Abbr="141 str. 5 d." DocPartId="d313bcb508a54063a61be05d45b7b881" PartId="49df1d4b7b00497fb3955c4264c2b4f8"/>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3b7c8b42ce69452ea1a5a49faa984d8b"/>
        <Part Type="strDalis" Nr="10" Abbr="141 str. 10 d." DocPartId="5c4c0b8f587d427c879ef6ad027ebc15" PartId="e0ca9739a6a2485ba8aaaf6c8db41d74"/>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2b645dc8af5749c5973696806c321b70"/>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682ba9111aad40528d00bcfcc2183d7b"/>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7C1B513-177B-4379-86A0-16CA2BA03A92}">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915A5F7F-3C5B-4395-B72A-337DBD5170F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124</Pages>
  <Words>36614</Words>
  <Characters>262511</Characters>
  <Application>Microsoft Office Word</Application>
  <DocSecurity>0</DocSecurity>
  <Lines>2187</Lines>
  <Paragraphs>597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298528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TAMALIŪNIENĖ Vilija</lastModifiedBy>
  <lastPrinted>2019-06-19T08:52:00Z</lastPrinted>
  <dcterms:modified xsi:type="dcterms:W3CDTF">2024-12-12T15:15:00Z</dcterms:modified>
  <revision>30</revision>
</coreProperties>
</file>