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ommentsIds.xml" ContentType="application/vnd.openxmlformats-officedocument.wordprocessingml.commentsId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2a4c9f9dadcd4c209c6007d824a37185"/>
        <w:lock w:val="sdtLocked"/>
        <w:richText/>
      </w:sdtPr>
      <w:sdtContent>
        <w:p>
          <w:pPr>
            <w:jc w:val="both"/>
            <w:rPr>
              <w:rFonts w:ascii="Arial" w:hAnsi="Arial"/>
            </w:rPr>
          </w:pPr>
          <w:r>
            <w:rPr>
              <w:rFonts w:ascii="Arial" w:hAnsi="Arial"/>
              <w:b/>
              <w:i/>
            </w:rPr>
            <w:t>Suvestinė redakcija nuo 2024-09-07</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Įsakymas paskelbtas: TAR 2023-10-26, i. k. 2023-20890</w:t>
          </w:r>
        </w:p>
        <w:p>
          <w:pPr>
            <w:jc w:val="both"/>
            <w:rPr>
              <w:rFonts w:ascii="Arial" w:hAnsi="Arial"/>
              <w:sz w:val="20"/>
            </w:rPr>
          </w:pPr>
        </w:p>
        <w:p>
          <w:pPr>
            <w:tabs>
              <w:tab w:val="center" w:pos="4819"/>
              <w:tab w:val="right" w:pos="9638"/>
            </w:tabs>
            <w:rPr>
              <w:szCs w:val="22"/>
              <w:lang w:val="en-GB"/>
            </w:rPr>
          </w:pPr>
        </w:p>
        <w:p>
          <w:pPr>
            <w:jc w:val="center"/>
            <w:rPr>
              <w:szCs w:val="24"/>
            </w:rPr>
          </w:pPr>
          <w:r>
            <w:rPr>
              <w:szCs w:val="22"/>
              <w:lang w:eastAsia="lt-LT"/>
            </w:rPr>
            <w:drawing>
              <wp:inline distT="0" distB="0" distL="0" distR="0">
                <wp:extent cx="520700" cy="622300"/>
                <wp:effectExtent l="0" t="0" r="0" b="6350"/>
                <wp:docPr id="1" name="Picture 1" descr="HERB21"/>
                <wp:cNvGraphicFramePr/>
                <a:graphic xmlns:a="http://schemas.openxmlformats.org/drawingml/2006/main">
                  <a:graphicData uri="http://schemas.openxmlformats.org/drawingml/2006/picture">
                    <pic:pic xmlns:pic="http://schemas.openxmlformats.org/drawingml/2006/picture">
                      <pic:nvPicPr>
                        <pic:cNvPr id="1" name="Picture 1" descr="HERB21"/>
                        <pic:cNvPicPr/>
                      </pic:nvPicPr>
                      <pic:blipFill>
                        <a:blip r:embed="rId14"/>
                        <a:srcRect/>
                        <a:stretch>
                          <a:fillRect/>
                        </a:stretch>
                      </pic:blipFill>
                      <pic:spPr bwMode="auto">
                        <a:xfrm>
                          <a:off x="0" y="0"/>
                          <a:ext cx="520700" cy="622300"/>
                        </a:xfrm>
                        <a:prstGeom prst="rect">
                          <a:avLst/>
                        </a:prstGeom>
                        <a:noFill/>
                        <a:ln w="9525">
                          <a:noFill/>
                          <a:miter lim="800000"/>
                          <a:headEnd/>
                          <a:tailEnd/>
                        </a:ln>
                      </pic:spPr>
                    </pic:pic>
                  </a:graphicData>
                </a:graphic>
              </wp:inline>
            </w:drawing>
          </w:r>
        </w:p>
        <w:p>
          <w:pPr>
            <w:jc w:val="center"/>
            <w:rPr>
              <w:sz w:val="16"/>
              <w:szCs w:val="16"/>
            </w:rPr>
          </w:pPr>
        </w:p>
        <w:p>
          <w:pPr>
            <w:widowControl w:val="0"/>
            <w:suppressAutoHyphens/>
            <w:jc w:val="center"/>
            <w:rPr>
              <w:rFonts w:eastAsia="Andale Sans UI" w:cs="Tahoma"/>
              <w:b/>
              <w:bCs/>
              <w:szCs w:val="24"/>
              <w:lang w:bidi="en-US"/>
            </w:rPr>
          </w:pPr>
          <w:r>
            <w:rPr>
              <w:rFonts w:eastAsia="Andale Sans UI" w:cs="Tahoma"/>
              <w:b/>
              <w:bCs/>
              <w:szCs w:val="24"/>
              <w:lang w:bidi="en-US"/>
            </w:rPr>
            <w:t>LIETUVOS RESPUBLIKOS APLINKOS MINISTRAS</w:t>
            <w:br/>
          </w:r>
        </w:p>
        <w:p>
          <w:pPr>
            <w:widowControl w:val="0"/>
            <w:suppressAutoHyphens/>
            <w:jc w:val="center"/>
            <w:rPr>
              <w:rFonts w:ascii="Thorndale" w:eastAsia="Andale Sans UI" w:hAnsi="Thorndale" w:cs="Tahoma"/>
              <w:szCs w:val="24"/>
              <w:lang w:bidi="en-US"/>
            </w:rPr>
          </w:pPr>
          <w:r>
            <w:rPr>
              <w:rFonts w:ascii="Thorndale" w:eastAsia="Andale Sans UI" w:hAnsi="Thorndale" w:cs="Tahoma"/>
              <w:b/>
              <w:bCs/>
              <w:szCs w:val="24"/>
              <w:lang w:bidi="en-US"/>
            </w:rPr>
            <w:t>ĮSAKYMAS</w:t>
          </w:r>
        </w:p>
        <w:p>
          <w:pPr>
            <w:jc w:val="center"/>
            <w:rPr>
              <w:b/>
              <w:color w:val="000000"/>
              <w:szCs w:val="24"/>
            </w:rPr>
          </w:pPr>
          <w:r>
            <w:rPr>
              <w:b/>
              <w:bCs/>
              <w:color w:val="000000"/>
            </w:rPr>
            <w:t xml:space="preserve">DĖL </w:t>
          </w:r>
          <w:r>
            <w:rPr>
              <w:b/>
              <w:color w:val="000000"/>
              <w:szCs w:val="24"/>
              <w:lang w:eastAsia="en-GB"/>
            </w:rPr>
            <w:t xml:space="preserve">IŠMOKŲ ŪKIO SUBJEKTAMS UŽ PERLEIDŽIAMAS </w:t>
          </w:r>
          <w:r>
            <w:rPr>
              <w:b/>
              <w:color w:val="000000"/>
              <w:szCs w:val="24"/>
            </w:rPr>
            <w:t>TEISES Į ŽVEJYBOS KVOTĄ APSKAIČIAVIMO IR MOKĖJIMO TVARKOS APRAŠO</w:t>
          </w:r>
        </w:p>
        <w:p>
          <w:pPr>
            <w:widowControl w:val="0"/>
            <w:suppressAutoHyphens/>
            <w:jc w:val="center"/>
            <w:rPr>
              <w:b/>
              <w:bCs/>
              <w:color w:val="000000"/>
            </w:rPr>
          </w:pPr>
          <w:r>
            <w:rPr>
              <w:b/>
              <w:bCs/>
              <w:color w:val="000000"/>
            </w:rPr>
            <w:t>PATVIRTINIMO</w:t>
          </w:r>
        </w:p>
        <w:p>
          <w:pPr>
            <w:widowControl w:val="0"/>
            <w:suppressAutoHyphens/>
            <w:jc w:val="center"/>
            <w:rPr>
              <w:rFonts w:eastAsia="Andale Sans UI" w:cs="Tahoma"/>
              <w:b/>
              <w:szCs w:val="24"/>
              <w:lang w:bidi="en-US"/>
            </w:rPr>
          </w:pPr>
        </w:p>
        <w:p>
          <w:pPr>
            <w:widowControl w:val="0"/>
            <w:suppressAutoHyphens/>
            <w:jc w:val="center"/>
            <w:rPr>
              <w:rFonts w:eastAsia="Andale Sans UI" w:cs="Tahoma"/>
              <w:szCs w:val="24"/>
              <w:lang w:bidi="en-US"/>
            </w:rPr>
          </w:pPr>
          <w:r>
            <w:rPr>
              <w:rFonts w:eastAsia="Andale Sans UI" w:cs="Tahoma"/>
              <w:szCs w:val="24"/>
              <w:lang w:bidi="en-US"/>
            </w:rPr>
            <w:t xml:space="preserve">2023 m. spalio 26 </w:t>
          </w:r>
          <w:r>
            <w:rPr>
              <w:rFonts w:ascii="Thorndale" w:eastAsia="Andale Sans UI" w:hAnsi="Thorndale" w:cs="Tahoma"/>
              <w:szCs w:val="24"/>
              <w:lang w:bidi="en-US"/>
            </w:rPr>
            <w:t>d</w:t>
          </w:r>
          <w:r>
            <w:rPr>
              <w:rFonts w:eastAsia="Andale Sans UI" w:cs="Tahoma"/>
              <w:szCs w:val="24"/>
              <w:lang w:bidi="en-US"/>
            </w:rPr>
            <w:t>. Nr. D1-356</w:t>
          </w:r>
        </w:p>
        <w:p>
          <w:pPr>
            <w:widowControl w:val="0"/>
            <w:suppressAutoHyphens/>
            <w:jc w:val="center"/>
            <w:rPr>
              <w:rFonts w:eastAsia="Andale Sans UI" w:cs="Tahoma"/>
              <w:szCs w:val="24"/>
              <w:lang w:bidi="en-US"/>
            </w:rPr>
          </w:pPr>
          <w:r>
            <w:rPr>
              <w:rFonts w:eastAsia="Andale Sans UI" w:cs="Tahoma"/>
              <w:szCs w:val="24"/>
              <w:lang w:bidi="en-US"/>
            </w:rPr>
            <w:t>Vilnius</w:t>
          </w:r>
        </w:p>
        <w:p>
          <w:pPr>
            <w:widowControl w:val="0"/>
            <w:suppressAutoHyphens/>
            <w:jc w:val="center"/>
            <w:rPr>
              <w:rFonts w:eastAsia="Andale Sans UI" w:cs="Tahoma"/>
              <w:szCs w:val="24"/>
              <w:lang w:bidi="en-US"/>
            </w:rPr>
          </w:pPr>
        </w:p>
        <w:p>
          <w:pPr>
            <w:widowControl w:val="0"/>
            <w:suppressAutoHyphens/>
            <w:jc w:val="center"/>
            <w:rPr>
              <w:rFonts w:eastAsia="Andale Sans UI" w:cs="Tahoma"/>
              <w:szCs w:val="24"/>
              <w:lang w:bidi="en-US"/>
            </w:rPr>
          </w:pPr>
        </w:p>
        <w:sdt>
          <w:sdtPr>
            <w:alias w:val="preambule"/>
            <w:tag w:val="part_dcfd9b04b16d41a9ba308bd72083cba0"/>
            <w:lock w:val="sdtLocked"/>
            <w:richText/>
          </w:sdtPr>
          <w:sdtContent>
            <w:p>
              <w:pPr>
                <w:ind w:firstLine="709"/>
                <w:jc w:val="both"/>
                <w:rPr>
                  <w:color w:val="000000"/>
                </w:rPr>
              </w:pPr>
              <w:r>
                <w:t xml:space="preserve">Vadovaudamasis Lietuvos Respublikos žuvininkystės įstatymo  14</w:t>
              </w:r>
              <w:r>
                <w:rPr>
                  <w:vertAlign w:val="superscript"/>
                </w:rPr>
                <w:t>4 </w:t>
              </w:r>
              <w:r>
                <w:t>straipsnio 3 ir 5 dalimis</w:t>
              </w:r>
              <w:r>
                <w:rPr>
                  <w:color w:val="000000"/>
                </w:rPr>
                <w:t>:</w:t>
              </w:r>
            </w:p>
          </w:sdtContent>
        </w:sdt>
        <w:sdt>
          <w:sdtPr>
            <w:alias w:val="1 p."/>
            <w:tag w:val="part_de14532669f84c77954d401bdfee7d0c"/>
            <w:lock w:val="sdtLocked"/>
            <w:richText/>
          </w:sdtPr>
          <w:sdtContent>
            <w:p>
              <w:pPr>
                <w:ind w:firstLine="709"/>
                <w:jc w:val="both"/>
                <w:rPr>
                  <w:rFonts w:eastAsia="Andale Sans UI" w:cs="Tahoma"/>
                  <w:szCs w:val="24"/>
                  <w:lang w:bidi="en-US"/>
                </w:rPr>
              </w:pPr>
              <w:sdt>
                <w:sdtPr>
                  <w:alias w:val="Numeris"/>
                  <w:tag w:val="nr_de14532669f84c77954d401bdfee7d0c"/>
                  <w:lock w:val="sdtLocked"/>
                  <w:richText/>
                </w:sdtPr>
                <w:sdtContent>
                  <w:r>
                    <w:t>1</w:t>
                  </w:r>
                </w:sdtContent>
              </w:sdt>
              <w:r>
                <w:t xml:space="preserve">. T v i r t i n u </w:t>
              </w:r>
              <w:r>
                <w:rPr>
                  <w:color w:val="000000"/>
                  <w:szCs w:val="24"/>
                </w:rPr>
                <w:t>I</w:t>
              </w:r>
              <w:r>
                <w:rPr>
                  <w:color w:val="000000"/>
                  <w:szCs w:val="24"/>
                  <w:lang w:eastAsia="en-GB"/>
                </w:rPr>
                <w:t xml:space="preserve">šmokų ūkio subjektams už perleidžiamas </w:t>
              </w:r>
              <w:r>
                <w:rPr>
                  <w:color w:val="000000"/>
                  <w:szCs w:val="24"/>
                </w:rPr>
                <w:t xml:space="preserve">teises į žvejybos kvotą apskaičiavimo ir mokėjimo tvarkos aprašą </w:t>
              </w:r>
              <w:r>
                <w:rPr>
                  <w:color w:val="000000"/>
                </w:rPr>
                <w:t>(pridedama).</w:t>
              </w:r>
            </w:p>
          </w:sdtContent>
        </w:sdt>
        <w:sdt>
          <w:sdtPr>
            <w:alias w:val="2 p."/>
            <w:tag w:val="part_6fbe4f2e2abf464a887b910550d804b4"/>
            <w:lock w:val="sdtLocked"/>
            <w:richText/>
          </w:sdtPr>
          <w:sdtContent>
            <w:p>
              <w:pPr>
                <w:ind w:firstLine="709"/>
                <w:jc w:val="both"/>
                <w:rPr>
                  <w:color w:val="000000"/>
                </w:rPr>
              </w:pPr>
              <w:sdt>
                <w:sdtPr>
                  <w:alias w:val="Numeris"/>
                  <w:tag w:val="nr_6fbe4f2e2abf464a887b910550d804b4"/>
                  <w:lock w:val="sdtLocked"/>
                  <w:richText/>
                </w:sdtPr>
                <w:sdtContent>
                  <w:r>
                    <w:t>2</w:t>
                  </w:r>
                </w:sdtContent>
              </w:sdt>
              <w:r>
                <w:t xml:space="preserve">. N u s t a t a u, kad šis įsakymas </w:t>
              </w:r>
              <w:r>
                <w:rPr>
                  <w:color w:val="000000"/>
                </w:rPr>
                <w:t>įsigalioja 2024 m. sausio 1 d.</w:t>
              </w:r>
            </w:p>
          </w:sdtContent>
        </w:sdt>
        <w:sdt>
          <w:sdtPr>
            <w:alias w:val="signatura"/>
            <w:tag w:val="part_9ad58fc544084afda9906a210958bc5c"/>
            <w:lock w:val="sdtLocked"/>
            <w:richText/>
          </w:sdtPr>
          <w:sdtContent>
            <w:p>
              <w:pPr>
                <w:widowControl w:val="0"/>
                <w:suppressAutoHyphens/>
                <w:snapToGrid w:val="0"/>
                <w:ind w:right="-285"/>
              </w:pPr>
            </w:p>
            <w:p>
              <w:pPr>
                <w:widowControl w:val="0"/>
                <w:suppressAutoHyphens/>
                <w:snapToGrid w:val="0"/>
                <w:ind w:right="-285"/>
              </w:pPr>
            </w:p>
            <w:p>
              <w:pPr>
                <w:widowControl w:val="0"/>
                <w:suppressAutoHyphens/>
                <w:snapToGrid w:val="0"/>
                <w:ind w:right="-285"/>
              </w:pPr>
            </w:p>
            <w:p>
              <w:pPr>
                <w:widowControl w:val="0"/>
                <w:suppressAutoHyphens/>
                <w:snapToGrid w:val="0"/>
                <w:ind w:right="-285"/>
                <w:rPr>
                  <w:rFonts w:eastAsia="Andale Sans UI" w:cs="Tahoma"/>
                  <w:szCs w:val="24"/>
                  <w:lang w:bidi="en-US"/>
                </w:rPr>
              </w:pPr>
              <w:r>
                <w:rPr>
                  <w:rFonts w:eastAsia="Andale Sans UI" w:cs="Tahoma"/>
                  <w:szCs w:val="24"/>
                  <w:lang w:bidi="en-US"/>
                </w:rPr>
                <w:t>Aplinkos ministras</w:t>
                <w:tab/>
                <w:tab/>
                <w:tab/>
                <w:tab/>
                <w:tab/>
                <w:tab/>
                <w:tab/>
                <w:tab/>
                <w:tab/>
                <w:t>Simonas Gentvilas</w:t>
              </w:r>
            </w:p>
            <w:p>
              <w:pPr>
                <w:tabs>
                  <w:tab w:val="center" w:pos="4819"/>
                  <w:tab w:val="right" w:pos="9638"/>
                </w:tabs>
                <w:rPr>
                  <w:szCs w:val="22"/>
                  <w:lang w:val="en-GB"/>
                </w:rPr>
              </w:pPr>
            </w:p>
          </w:sdtContent>
        </w:sdt>
      </w:sdtContent>
    </w:sdt>
    <w:sdt>
      <w:sdtPr>
        <w:alias w:val="patvirtinta"/>
        <w:tag w:val="part_0be330c1306a4d41ae8e5ef7c8154748"/>
        <w:lock w:val="sdtLocked"/>
        <w:richText/>
      </w:sdtPr>
      <w:sdtContent>
        <w:p>
          <w:pPr>
            <w:spacing w:line="276" w:lineRule="auto"/>
            <w:ind w:firstLine="5103"/>
            <w:sectPr>
              <w:headerReference w:type="even" r:id="rId15"/>
              <w:headerReference w:type="default" r:id="rId16"/>
              <w:footerReference w:type="even" r:id="rId17"/>
              <w:footerReference w:type="default" r:id="rId18"/>
              <w:headerReference w:type="first" r:id="rId19"/>
              <w:footerReference w:type="first" r:id="rId20"/>
              <w:pgSz w:w="11906" w:h="16838" w:code="9"/>
              <w:pgMar w:top="1134" w:right="567" w:bottom="1134" w:left="1701" w:header="709" w:footer="709" w:gutter="0"/>
              <w:pgNumType w:start="1"/>
              <w:cols w:space="708"/>
              <w:titlePg/>
              <w:docGrid w:linePitch="360"/>
            </w:sectPr>
          </w:pPr>
        </w:p>
        <w:p>
          <w:pPr>
            <w:spacing w:line="276" w:lineRule="auto"/>
            <w:ind w:firstLine="5103"/>
            <w:rPr>
              <w:rFonts w:eastAsia="Lucida Sans Unicode"/>
              <w:szCs w:val="24"/>
            </w:rPr>
          </w:pPr>
          <w:r>
            <w:rPr>
              <w:rFonts w:eastAsia="Lucida Sans Unicode"/>
              <w:szCs w:val="24"/>
            </w:rPr>
            <w:t>PATVIRTINTA</w:t>
          </w:r>
        </w:p>
        <w:p>
          <w:pPr>
            <w:spacing w:line="276" w:lineRule="auto"/>
            <w:ind w:firstLine="5103"/>
            <w:rPr>
              <w:rFonts w:eastAsia="Lucida Sans Unicode"/>
              <w:szCs w:val="24"/>
            </w:rPr>
          </w:pPr>
          <w:r>
            <w:rPr>
              <w:rFonts w:eastAsia="Lucida Sans Unicode"/>
              <w:szCs w:val="24"/>
            </w:rPr>
            <w:t>Lietuvos Respublikos aplinkos ministro</w:t>
          </w:r>
        </w:p>
        <w:p>
          <w:pPr>
            <w:spacing w:line="276" w:lineRule="auto"/>
            <w:ind w:firstLine="5103"/>
            <w:rPr>
              <w:rFonts w:eastAsia="Lucida Sans Unicode"/>
              <w:szCs w:val="24"/>
            </w:rPr>
          </w:pPr>
          <w:r>
            <w:rPr>
              <w:rFonts w:eastAsia="Lucida Sans Unicode"/>
              <w:szCs w:val="24"/>
            </w:rPr>
            <w:t>2023 m. spalio 26 d. įsakymu Nr. D1-356</w:t>
          </w:r>
        </w:p>
        <w:p>
          <w:pPr>
            <w:spacing w:line="276" w:lineRule="auto"/>
            <w:jc w:val="center"/>
            <w:rPr>
              <w:b/>
              <w:bCs/>
              <w:caps/>
              <w:szCs w:val="24"/>
            </w:rPr>
          </w:pPr>
        </w:p>
        <w:p>
          <w:pPr>
            <w:jc w:val="center"/>
            <w:rPr>
              <w:b/>
              <w:color w:val="000000"/>
              <w:szCs w:val="24"/>
            </w:rPr>
          </w:pPr>
          <w:sdt>
            <w:sdtPr>
              <w:alias w:val="Pavadinimas"/>
              <w:tag w:val="title_0be330c1306a4d41ae8e5ef7c8154748"/>
              <w:lock w:val="sdtLocked"/>
              <w:richText/>
            </w:sdtPr>
            <w:sdtContent>
              <w:r>
                <w:rPr>
                  <w:b/>
                  <w:color w:val="000000"/>
                  <w:szCs w:val="24"/>
                  <w:lang w:eastAsia="en-GB"/>
                </w:rPr>
                <w:t xml:space="preserve">IŠMOKŲ ŪKIO SUBJEKTAMS UŽ PERLEIDŽIAMAS </w:t>
              </w:r>
              <w:r>
                <w:rPr>
                  <w:b/>
                  <w:color w:val="000000"/>
                  <w:szCs w:val="24"/>
                </w:rPr>
                <w:t>TEISES Į ŽVEJYBOS KVOTĄ APSKAIČIAVIMO IR MOKĖJIMO TVARKOS APRAŠAS</w:t>
              </w:r>
            </w:sdtContent>
          </w:sdt>
        </w:p>
        <w:p>
          <w:pPr>
            <w:spacing w:line="276" w:lineRule="auto"/>
            <w:jc w:val="center"/>
            <w:rPr>
              <w:b/>
              <w:color w:val="000000"/>
              <w:szCs w:val="24"/>
            </w:rPr>
          </w:pPr>
        </w:p>
        <w:sdt>
          <w:sdtPr>
            <w:alias w:val="skyrius"/>
            <w:tag w:val="part_d611385b59fa44409e99b129acef00df"/>
            <w:lock w:val="sdtLocked"/>
            <w:richText/>
          </w:sdtPr>
          <w:sdtContent>
            <w:p>
              <w:pPr>
                <w:jc w:val="center"/>
                <w:rPr>
                  <w:color w:val="000000"/>
                  <w:szCs w:val="24"/>
                  <w:lang w:val="en-GB" w:eastAsia="en-GB"/>
                </w:rPr>
              </w:pPr>
              <w:sdt>
                <w:sdtPr>
                  <w:alias w:val="Numeris"/>
                  <w:tag w:val="nr_d611385b59fa44409e99b129acef00df"/>
                  <w:lock w:val="sdtLocked"/>
                  <w:richText/>
                </w:sdtPr>
                <w:sdtContent>
                  <w:r>
                    <w:rPr>
                      <w:b/>
                      <w:bCs/>
                      <w:color w:val="000000"/>
                      <w:szCs w:val="24"/>
                      <w:lang w:eastAsia="en-GB"/>
                    </w:rPr>
                    <w:t>I</w:t>
                  </w:r>
                </w:sdtContent>
              </w:sdt>
              <w:r>
                <w:rPr>
                  <w:b/>
                  <w:bCs/>
                  <w:color w:val="000000"/>
                  <w:szCs w:val="24"/>
                  <w:lang w:eastAsia="en-GB"/>
                </w:rPr>
                <w:t xml:space="preserve"> SKYRIUS</w:t>
              </w:r>
            </w:p>
            <w:p>
              <w:pPr>
                <w:jc w:val="center"/>
                <w:rPr>
                  <w:color w:val="000000"/>
                  <w:szCs w:val="24"/>
                  <w:lang w:val="en-GB" w:eastAsia="en-GB"/>
                </w:rPr>
              </w:pPr>
              <w:sdt>
                <w:sdtPr>
                  <w:alias w:val="Pavadinimas"/>
                  <w:tag w:val="title_d611385b59fa44409e99b129acef00df"/>
                  <w:lock w:val="sdtLocked"/>
                  <w:richText/>
                </w:sdtPr>
                <w:sdtContent>
                  <w:r>
                    <w:rPr>
                      <w:b/>
                      <w:bCs/>
                      <w:color w:val="000000"/>
                      <w:szCs w:val="24"/>
                      <w:lang w:eastAsia="en-GB"/>
                    </w:rPr>
                    <w:t>BENDROSIOS NUOSTATOS</w:t>
                  </w:r>
                </w:sdtContent>
              </w:sdt>
            </w:p>
            <w:p>
              <w:pPr>
                <w:spacing w:line="276" w:lineRule="auto"/>
                <w:jc w:val="center"/>
                <w:rPr>
                  <w:rFonts w:eastAsia="Lucida Sans Unicode"/>
                  <w:b/>
                  <w:bCs/>
                  <w:caps/>
                  <w:szCs w:val="24"/>
                </w:rPr>
              </w:pPr>
            </w:p>
            <w:p>
              <w:pPr>
                <w:spacing w:line="276" w:lineRule="auto"/>
                <w:jc w:val="center"/>
                <w:rPr>
                  <w:rFonts w:eastAsia="Lucida Sans Unicode"/>
                  <w:b/>
                  <w:bCs/>
                  <w:caps/>
                  <w:szCs w:val="24"/>
                </w:rPr>
              </w:pPr>
            </w:p>
            <w:sdt>
              <w:sdtPr>
                <w:alias w:val="1 p."/>
                <w:tag w:val="part_4f732d725e5046fb800759184ae1d971"/>
                <w:lock w:val="sdtLocked"/>
                <w:richText/>
              </w:sdtPr>
              <w:sdtContent>
                <w:p>
                  <w:pPr>
                    <w:spacing w:line="276" w:lineRule="auto"/>
                    <w:ind w:firstLine="709"/>
                    <w:jc w:val="both"/>
                    <w:rPr>
                      <w:color w:val="000000"/>
                      <w:szCs w:val="24"/>
                    </w:rPr>
                  </w:pPr>
                  <w:sdt>
                    <w:sdtPr>
                      <w:alias w:val="Numeris"/>
                      <w:tag w:val="nr_4f732d725e5046fb800759184ae1d971"/>
                      <w:lock w:val="sdtLocked"/>
                      <w:richText/>
                    </w:sdtPr>
                    <w:sdtContent>
                      <w:r>
                        <w:rPr>
                          <w:lang w:eastAsia="lt-LT"/>
                        </w:rPr>
                        <w:t>1</w:t>
                      </w:r>
                    </w:sdtContent>
                  </w:sdt>
                  <w:r>
                    <w:rPr>
                      <w:lang w:eastAsia="lt-LT"/>
                    </w:rPr>
                    <w:t xml:space="preserve">. Išmokų ūkio subjektams už perleidžiamas teises į žvejybos kvotą apskaičiavimo ir mokėjimo tvarkos aprašas (toliau – Tvarkos aprašas) nustato išmokų fiziniams asmenims, labai mažoms, mažoms ir vidutinėms įmonėms, atitinkančioms </w:t>
                  </w:r>
                  <w:r>
                    <w:t>2022 m. gruodžio 14 d. Europos Komisijos r</w:t>
                  </w:r>
                  <w:r>
                    <w:rPr>
                      <w:lang w:eastAsia="lt-LT"/>
                    </w:rPr>
                    <w:t>eglamento (ES) 2022/2473, kuriuo tam tikrų kategorijų pagalba įmonėms, kurios verčiasi žvejybos ir akvakultūros produktų gamyba, perdirbimu ir prekyba, skelbiama suderinama su vidaus rinka taikant Sutarties dėl Europos Sąjungos veikimo 107 ir 108 straipsnius, I priede nustatytus kriterijus (toliau – ūkio subjektai) už perleidžiamųjų teisių į žvejybos vidaus vandenyse kvotų (toliau – teisės į žvejybos kvotą) perleidimą aplinkos ministro įgaliotai biudžetinei įstaigai Lietuvos Respublikos aplinkos ministerijos Aplinkos projektų valdymo agentūrai (toliau – Agentūra) apskaičiavimo, išmokėjimo ir administravimo tvarką.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59b1a9019bf11ef8b14c5bcce136045">
                    <w:r w:rsidRPr="00532B9F">
                      <w:rPr>
                        <w:rFonts w:ascii="Arial" w:eastAsia="MS Mincho" w:hAnsi="Arial"/>
                        <w:sz w:val="20"/>
                        <w:i/>
                        <w:iCs/>
                        <w:color w:val="0000FF" w:themeColor="hyperlink"/>
                        <w:u w:val="single"/>
                      </w:rPr>
                      <w:t>D1-176</w:t>
                    </w:r>
                  </w:fldSimple>
                  <w:r>
                    <w:rPr>
                      <w:rFonts w:ascii="Arial" w:eastAsia="MS Mincho" w:hAnsi="Arial"/>
                      <w:sz w:val="20"/>
                      <w:i/>
                      <w:iCs/>
                    </w:rPr>
                    <w:t>,
2024-05-24,
paskelbta TAR 2024-05-24, i. k. 2024-09373            </w:t>
                  </w:r>
                </w:p>
                <w:p/>
              </w:sdtContent>
            </w:sdt>
            <w:sdt>
              <w:sdtPr>
                <w:alias w:val="2 p."/>
                <w:tag w:val="part_a499945bc398416a90657bd3f80333b7"/>
                <w:lock w:val="sdtLocked"/>
                <w:richText/>
              </w:sdtPr>
              <w:sdtContent>
                <w:p>
                  <w:pPr>
                    <w:spacing w:line="276" w:lineRule="auto"/>
                    <w:ind w:firstLine="709"/>
                    <w:jc w:val="both"/>
                    <w:rPr>
                      <w:color w:val="000000"/>
                      <w:szCs w:val="24"/>
                    </w:rPr>
                  </w:pPr>
                  <w:sdt>
                    <w:sdtPr>
                      <w:alias w:val="Numeris"/>
                      <w:tag w:val="nr_a499945bc398416a90657bd3f80333b7"/>
                      <w:lock w:val="sdtLocked"/>
                      <w:richText/>
                    </w:sdtPr>
                    <w:sdtContent>
                      <w:r>
                        <w:rPr>
                          <w:color w:val="000000"/>
                          <w:szCs w:val="24"/>
                        </w:rPr>
                        <w:t>2</w:t>
                      </w:r>
                    </w:sdtContent>
                  </w:sdt>
                  <w:r>
                    <w:rPr>
                      <w:color w:val="000000"/>
                      <w:szCs w:val="24"/>
                    </w:rPr>
                    <w:t>. Tvarkos aprašu turi vadovautis ūkio subjektai rengdami ir teikdami Agentūros direktoriaus įsakymu nustatytos formos paraiškas dėl išmokų už jų teisių į žvejybos vidaus vandenyse kvotas perleidimą ir Agentūra, atlikdama paraiškų vertinimą ir atranką.</w:t>
                  </w:r>
                </w:p>
              </w:sdtContent>
            </w:sdt>
            <w:sdt>
              <w:sdtPr>
                <w:alias w:val="3 p."/>
                <w:tag w:val="part_07e576eec9b74eaa9e7f2015dd9514ac"/>
                <w:lock w:val="sdtLocked"/>
                <w:richText/>
              </w:sdtPr>
              <w:sdtContent>
                <w:p>
                  <w:pPr>
                    <w:spacing w:line="276" w:lineRule="auto"/>
                    <w:ind w:firstLine="709"/>
                    <w:jc w:val="both"/>
                    <w:rPr>
                      <w:color w:val="000000"/>
                      <w:szCs w:val="24"/>
                      <w:lang w:eastAsia="en-GB"/>
                    </w:rPr>
                  </w:pPr>
                  <w:sdt>
                    <w:sdtPr>
                      <w:alias w:val="Numeris"/>
                      <w:tag w:val="nr_07e576eec9b74eaa9e7f2015dd9514ac"/>
                      <w:lock w:val="sdtLocked"/>
                      <w:richText/>
                    </w:sdtPr>
                    <w:sdtContent>
                      <w:r>
                        <w:rPr>
                          <w:color w:val="000000"/>
                          <w:szCs w:val="24"/>
                          <w:lang w:eastAsia="en-GB"/>
                        </w:rPr>
                        <w:t>3</w:t>
                      </w:r>
                    </w:sdtContent>
                  </w:sdt>
                  <w:r>
                    <w:rPr>
                      <w:color w:val="000000"/>
                      <w:szCs w:val="24"/>
                      <w:lang w:eastAsia="en-GB"/>
                    </w:rPr>
                    <w:t xml:space="preserve">. Išmokų tikslas – </w:t>
                  </w:r>
                  <w:r>
                    <w:rPr>
                      <w:color w:val="000000"/>
                      <w:szCs w:val="24"/>
                      <w:shd w:val="clear" w:color="auto" w:fill="FFFFFF"/>
                      <w:lang w:eastAsia="en-GB"/>
                    </w:rPr>
                    <w:t xml:space="preserve">atkurti ir pagausinti žuvų išteklius, sudaryti palankesnes sąlygas mėgėjų žvejybos plėtrai mažinant verslinės žvejybos intensyvumą vidaus vandenyse, paskatinti versline žvejyba užsiimančius ūkio subjektus perorientuoti veiklą į turizmą ir su juo susijusias veiklas, nutraukiant verslinės žvejybos veiklą. Išmokos </w:t>
                  </w:r>
                  <w:r>
                    <w:rPr>
                      <w:color w:val="000000"/>
                      <w:szCs w:val="24"/>
                      <w:shd w:val="clear" w:color="auto" w:fill="FFFFFF"/>
                    </w:rPr>
                    <w:t xml:space="preserve">padės siekti Bendrosios žuvininkystės politikos (toliau – BŽP) tikslų, išdėstytų 2013 m. gruodžio 11 d. Europos Parlamento ir Tarybos Reglamento (ES) Nr. 1380/2013 </w:t>
                  </w:r>
                  <w:r>
                    <w:rPr>
                      <w:color w:val="000000"/>
                      <w:szCs w:val="24"/>
                      <w:shd w:val="clear" w:color="auto" w:fill="FFFFFF"/>
                      <w:lang w:val="en-GB"/>
                    </w:rPr>
                    <w:t xml:space="preserve">dėl bendros žuvininkystės politikos, kuriuo iš dalies keičiami Tarybos reglamentai (EB) Nr. 1954/2003 ir (EB) Nr. 1224/2009 bei panaikinami Tarybos reglamentai (EB) Nr. 2371/2002 ir (EB) Nr. 639/2004 bei Tarybos sprendimas 2004/585/EB, </w:t>
                  </w:r>
                  <w:r>
                    <w:rPr>
                      <w:color w:val="000000"/>
                      <w:szCs w:val="24"/>
                      <w:shd w:val="clear" w:color="auto" w:fill="FFFFFF"/>
                    </w:rPr>
                    <w:t xml:space="preserve">2 straipsnyje: </w:t>
                  </w:r>
                  <w:r>
                    <w:rPr>
                      <w:color w:val="000000"/>
                      <w:szCs w:val="24"/>
                      <w:lang w:eastAsia="en-GB"/>
                    </w:rPr>
                    <w:t>stiprinti ekonominiu, socialiniu ir aplinkosaugos požiūriu tausią žvejybos veiklą, prisidėti prie vandens biologinės įvairovės ir ekosistemų apsaugos bei atkūrimo.</w:t>
                  </w:r>
                </w:p>
              </w:sdtContent>
            </w:sdt>
            <w:sdt>
              <w:sdtPr>
                <w:alias w:val="4 p."/>
                <w:tag w:val="part_05b63d071e554a36b90f7da080599c7d"/>
                <w:lock w:val="sdtLocked"/>
                <w:richText/>
              </w:sdtPr>
              <w:sdtContent>
                <w:p>
                  <w:pPr>
                    <w:spacing w:line="276" w:lineRule="auto"/>
                    <w:ind w:firstLine="709"/>
                    <w:jc w:val="both"/>
                    <w:rPr>
                      <w:color w:val="000000"/>
                      <w:szCs w:val="24"/>
                      <w:lang w:eastAsia="en-GB"/>
                    </w:rPr>
                  </w:pPr>
                  <w:sdt>
                    <w:sdtPr>
                      <w:alias w:val="Numeris"/>
                      <w:tag w:val="nr_05b63d071e554a36b90f7da080599c7d"/>
                      <w:lock w:val="sdtLocked"/>
                      <w:richText/>
                    </w:sdtPr>
                    <w:sdtContent>
                      <w:r>
                        <w:rPr>
                          <w:color w:val="000000"/>
                          <w:szCs w:val="24"/>
                          <w:lang w:eastAsia="en-GB"/>
                        </w:rPr>
                        <w:t>4</w:t>
                      </w:r>
                    </w:sdtContent>
                  </w:sdt>
                  <w:r>
                    <w:rPr>
                      <w:color w:val="000000"/>
                      <w:szCs w:val="24"/>
                      <w:lang w:eastAsia="en-GB"/>
                    </w:rPr>
                    <w:t>. Tvarkos apraše vartojamos sąvokos:</w:t>
                  </w:r>
                </w:p>
                <w:sdt>
                  <w:sdtPr>
                    <w:alias w:val="4.1 pp."/>
                    <w:tag w:val="part_c07b8ff802414547863f0db503023c0b"/>
                    <w:lock w:val="sdtLocked"/>
                    <w:richText/>
                  </w:sdtPr>
                  <w:sdtContent>
                    <w:p>
                      <w:pPr>
                        <w:spacing w:line="276" w:lineRule="auto"/>
                        <w:ind w:firstLine="709"/>
                        <w:jc w:val="both"/>
                        <w:rPr>
                          <w:color w:val="000000"/>
                          <w:szCs w:val="24"/>
                          <w:lang w:eastAsia="en-GB"/>
                        </w:rPr>
                      </w:pPr>
                      <w:sdt>
                        <w:sdtPr>
                          <w:alias w:val="Numeris"/>
                          <w:tag w:val="nr_c07b8ff802414547863f0db503023c0b"/>
                          <w:lock w:val="sdtLocked"/>
                          <w:richText/>
                        </w:sdtPr>
                        <w:sdtContent>
                          <w:r>
                            <w:rPr>
                              <w:color w:val="000000"/>
                              <w:szCs w:val="24"/>
                              <w:lang w:eastAsia="en-GB"/>
                            </w:rPr>
                            <w:t>4.1</w:t>
                          </w:r>
                        </w:sdtContent>
                      </w:sdt>
                      <w:r>
                        <w:rPr>
                          <w:color w:val="000000"/>
                          <w:szCs w:val="24"/>
                          <w:lang w:eastAsia="en-GB"/>
                        </w:rPr>
                        <w:t xml:space="preserve">. </w:t>
                      </w:r>
                      <w:r>
                        <w:rPr>
                          <w:b/>
                          <w:color w:val="000000"/>
                          <w:szCs w:val="24"/>
                          <w:lang w:eastAsia="en-GB"/>
                        </w:rPr>
                        <w:t>Išmoka</w:t>
                      </w:r>
                      <w:r>
                        <w:rPr>
                          <w:color w:val="000000"/>
                          <w:szCs w:val="24"/>
                          <w:lang w:eastAsia="en-GB"/>
                        </w:rPr>
                        <w:t xml:space="preserve"> – pinigų suma, apskaičiuojama Tvarkos apraše nustatyta tvarka ir mokama ūkio subjektui už jo teisę į žvejybos kvotą.</w:t>
                      </w:r>
                    </w:p>
                  </w:sdtContent>
                </w:sdt>
                <w:sdt>
                  <w:sdtPr>
                    <w:alias w:val="4.2 pp."/>
                    <w:tag w:val="part_3959f5556bb74d7d9b5d36d85e0b4b6a"/>
                    <w:lock w:val="sdtLocked"/>
                    <w:richText/>
                  </w:sdtPr>
                  <w:sdtContent>
                    <w:p>
                      <w:pPr>
                        <w:ind w:firstLine="709"/>
                        <w:jc w:val="both"/>
                        <w:rPr>
                          <w:color w:val="000000"/>
                          <w:szCs w:val="24"/>
                          <w:lang w:eastAsia="en-GB"/>
                        </w:rPr>
                      </w:pPr>
                      <w:sdt>
                        <w:sdtPr>
                          <w:alias w:val="Numeris"/>
                          <w:tag w:val="nr_3959f5556bb74d7d9b5d36d85e0b4b6a"/>
                          <w:lock w:val="sdtLocked"/>
                          <w:richText/>
                        </w:sdtPr>
                        <w:sdtContent>
                          <w:r>
                            <w:rPr>
                              <w:color w:val="000000"/>
                              <w:szCs w:val="24"/>
                              <w:lang w:eastAsia="en-GB"/>
                            </w:rPr>
                            <w:t>4.2</w:t>
                          </w:r>
                        </w:sdtContent>
                      </w:sdt>
                      <w:r>
                        <w:rPr>
                          <w:color w:val="000000"/>
                          <w:szCs w:val="24"/>
                          <w:lang w:eastAsia="en-GB"/>
                        </w:rPr>
                        <w:t xml:space="preserve">. </w:t>
                      </w:r>
                      <w:r>
                        <w:rPr>
                          <w:b/>
                          <w:color w:val="000000"/>
                          <w:szCs w:val="24"/>
                          <w:lang w:eastAsia="en-GB"/>
                        </w:rPr>
                        <w:t>I</w:t>
                      </w:r>
                      <w:r>
                        <w:rPr>
                          <w:b/>
                          <w:bCs/>
                          <w:szCs w:val="22"/>
                          <w:lang w:val="en-GB"/>
                        </w:rPr>
                        <w:t xml:space="preserve">šmokos sutartis </w:t>
                      </w:r>
                      <w:r>
                        <w:rPr>
                          <w:szCs w:val="22"/>
                          <w:lang w:val="en-GB"/>
                        </w:rPr>
                        <w:t>– Agentūros ir išmokos gavėjo sudaryta sutartis, kuria vadovaujantis mokama išmoka.</w:t>
                      </w:r>
                    </w:p>
                  </w:sdtContent>
                </w:sdt>
                <w:sdt>
                  <w:sdtPr>
                    <w:alias w:val="4.3 pp."/>
                    <w:tag w:val="part_cccd0708181f4dbeb1b0b28e2e13fc8a"/>
                    <w:lock w:val="sdtLocked"/>
                    <w:richText/>
                  </w:sdtPr>
                  <w:sdtContent>
                    <w:p>
                      <w:pPr>
                        <w:spacing w:line="276" w:lineRule="auto"/>
                        <w:ind w:firstLine="709"/>
                        <w:jc w:val="both"/>
                        <w:rPr>
                          <w:color w:val="000000"/>
                          <w:szCs w:val="24"/>
                          <w:lang w:eastAsia="en-GB"/>
                        </w:rPr>
                      </w:pPr>
                      <w:sdt>
                        <w:sdtPr>
                          <w:alias w:val="Numeris"/>
                          <w:tag w:val="nr_cccd0708181f4dbeb1b0b28e2e13fc8a"/>
                          <w:lock w:val="sdtLocked"/>
                          <w:richText/>
                        </w:sdtPr>
                        <w:sdtContent>
                          <w:r>
                            <w:rPr>
                              <w:color w:val="000000"/>
                              <w:szCs w:val="24"/>
                              <w:lang w:eastAsia="en-GB"/>
                            </w:rPr>
                            <w:t>4.3</w:t>
                          </w:r>
                        </w:sdtContent>
                      </w:sdt>
                      <w:r>
                        <w:rPr>
                          <w:color w:val="000000"/>
                          <w:szCs w:val="24"/>
                          <w:lang w:eastAsia="en-GB"/>
                        </w:rPr>
                        <w:t xml:space="preserve">. </w:t>
                      </w:r>
                      <w:r>
                        <w:rPr>
                          <w:b/>
                          <w:color w:val="000000"/>
                          <w:szCs w:val="24"/>
                          <w:lang w:eastAsia="en-GB"/>
                        </w:rPr>
                        <w:t>Paraiška</w:t>
                      </w:r>
                      <w:r>
                        <w:rPr>
                          <w:color w:val="000000"/>
                          <w:szCs w:val="24"/>
                          <w:lang w:eastAsia="en-GB"/>
                        </w:rPr>
                        <w:t xml:space="preserve"> – Agentūros direktoriaus įsakymu nustatytos formos dokumentas, kurį pareiškėjas teikia Agentūrai per </w:t>
                      </w:r>
                      <w:r>
                        <w:rPr>
                          <w:szCs w:val="24"/>
                        </w:rPr>
                        <w:t xml:space="preserve">Aplinkos projektų valdymo informacinę sistemą </w:t>
                      </w:r>
                      <w:r>
                        <w:rPr>
                          <w:color w:val="000000"/>
                          <w:szCs w:val="24"/>
                          <w:lang w:eastAsia="en-GB"/>
                        </w:rPr>
                        <w:t>norėdamas gauti išmoką už jo teisę į žvejybos kvotą.</w:t>
                      </w:r>
                    </w:p>
                  </w:sdtContent>
                </w:sdt>
                <w:sdt>
                  <w:sdtPr>
                    <w:alias w:val="4.4 pp."/>
                    <w:tag w:val="part_ddcfc3b805f64ce4b28525d07fe760b3"/>
                    <w:lock w:val="sdtLocked"/>
                    <w:richText/>
                  </w:sdtPr>
                  <w:sdtContent>
                    <w:p>
                      <w:pPr>
                        <w:spacing w:line="276" w:lineRule="auto"/>
                        <w:ind w:firstLine="709"/>
                        <w:jc w:val="both"/>
                        <w:rPr>
                          <w:color w:val="000000"/>
                          <w:szCs w:val="24"/>
                          <w:lang w:eastAsia="en-GB"/>
                        </w:rPr>
                      </w:pPr>
                      <w:sdt>
                        <w:sdtPr>
                          <w:alias w:val="Numeris"/>
                          <w:tag w:val="nr_ddcfc3b805f64ce4b28525d07fe760b3"/>
                          <w:lock w:val="sdtLocked"/>
                          <w:richText/>
                        </w:sdtPr>
                        <w:sdtContent>
                          <w:r>
                            <w:rPr>
                              <w:color w:val="000000"/>
                              <w:szCs w:val="24"/>
                              <w:lang w:eastAsia="en-GB"/>
                            </w:rPr>
                            <w:t>4.4</w:t>
                          </w:r>
                        </w:sdtContent>
                      </w:sdt>
                      <w:r>
                        <w:rPr>
                          <w:color w:val="000000"/>
                          <w:szCs w:val="24"/>
                          <w:lang w:eastAsia="en-GB"/>
                        </w:rPr>
                        <w:t xml:space="preserve">. </w:t>
                      </w:r>
                      <w:r>
                        <w:rPr>
                          <w:b/>
                          <w:color w:val="000000"/>
                          <w:szCs w:val="24"/>
                          <w:lang w:eastAsia="en-GB"/>
                        </w:rPr>
                        <w:t>Pareiškėjas</w:t>
                      </w:r>
                      <w:r>
                        <w:rPr>
                          <w:color w:val="000000"/>
                          <w:szCs w:val="24"/>
                          <w:lang w:eastAsia="en-GB"/>
                        </w:rPr>
                        <w:t xml:space="preserve"> – ūkio subjektas, pateikęs paraišką.</w:t>
                      </w:r>
                    </w:p>
                  </w:sdtContent>
                </w:sdt>
                <w:sdt>
                  <w:sdtPr>
                    <w:alias w:val="4.5 pp."/>
                    <w:tag w:val="part_0629c914f83941b7a17c0908da6a11e2"/>
                    <w:lock w:val="sdtLocked"/>
                    <w:richText/>
                  </w:sdtPr>
                  <w:sdtContent>
                    <w:p>
                      <w:pPr>
                        <w:spacing w:line="276" w:lineRule="auto"/>
                        <w:ind w:firstLine="709"/>
                        <w:jc w:val="both"/>
                        <w:rPr>
                          <w:color w:val="000000"/>
                          <w:szCs w:val="24"/>
                          <w:lang w:eastAsia="en-GB"/>
                        </w:rPr>
                      </w:pPr>
                      <w:sdt>
                        <w:sdtPr>
                          <w:alias w:val="Numeris"/>
                          <w:tag w:val="nr_0629c914f83941b7a17c0908da6a11e2"/>
                          <w:lock w:val="sdtLocked"/>
                          <w:richText/>
                        </w:sdtPr>
                        <w:sdtContent>
                          <w:r>
                            <w:rPr>
                              <w:color w:val="000000"/>
                              <w:szCs w:val="24"/>
                              <w:lang w:eastAsia="en-GB"/>
                            </w:rPr>
                            <w:t>4.5</w:t>
                          </w:r>
                        </w:sdtContent>
                      </w:sdt>
                      <w:r>
                        <w:rPr>
                          <w:color w:val="000000"/>
                          <w:szCs w:val="24"/>
                          <w:lang w:eastAsia="en-GB"/>
                        </w:rPr>
                        <w:t xml:space="preserve">. </w:t>
                      </w:r>
                      <w:r>
                        <w:rPr>
                          <w:b/>
                          <w:color w:val="000000"/>
                          <w:szCs w:val="24"/>
                          <w:lang w:eastAsia="en-GB"/>
                        </w:rPr>
                        <w:t>Sprendimas dėl išmokos skyrimo</w:t>
                      </w:r>
                      <w:r>
                        <w:rPr>
                          <w:color w:val="000000"/>
                          <w:szCs w:val="24"/>
                          <w:lang w:eastAsia="en-GB"/>
                        </w:rPr>
                        <w:t xml:space="preserve"> – Agentūros sprendimas skirti išmoką ūkio subjektui arba jos neskirti.</w:t>
                      </w:r>
                    </w:p>
                  </w:sdtContent>
                </w:sdt>
                <w:sdt>
                  <w:sdtPr>
                    <w:alias w:val="4.6 pp."/>
                    <w:tag w:val="part_9d1c900476404c749e617b092641b456"/>
                    <w:lock w:val="sdtLocked"/>
                    <w:richText/>
                  </w:sdtPr>
                  <w:sdtContent>
                    <w:p>
                      <w:pPr>
                        <w:spacing w:line="276" w:lineRule="auto"/>
                        <w:ind w:firstLine="709"/>
                        <w:jc w:val="both"/>
                        <w:rPr>
                          <w:color w:val="000000"/>
                          <w:szCs w:val="24"/>
                          <w:lang w:eastAsia="en-GB"/>
                        </w:rPr>
                      </w:pPr>
                      <w:sdt>
                        <w:sdtPr>
                          <w:alias w:val="Numeris"/>
                          <w:tag w:val="nr_9d1c900476404c749e617b092641b456"/>
                          <w:lock w:val="sdtLocked"/>
                          <w:richText/>
                        </w:sdtPr>
                        <w:sdtContent>
                          <w:r>
                            <w:rPr>
                              <w:color w:val="000000"/>
                              <w:szCs w:val="24"/>
                              <w:lang w:eastAsia="en-GB"/>
                            </w:rPr>
                            <w:t>4.6</w:t>
                          </w:r>
                        </w:sdtContent>
                      </w:sdt>
                      <w:r>
                        <w:rPr>
                          <w:color w:val="000000"/>
                          <w:szCs w:val="24"/>
                          <w:lang w:eastAsia="en-GB"/>
                        </w:rPr>
                        <w:t>.</w:t>
                      </w:r>
                      <w:r>
                        <w:rPr>
                          <w:color w:val="000000"/>
                          <w:szCs w:val="24"/>
                          <w:lang w:eastAsia="lt-LT"/>
                        </w:rPr>
                        <w:t xml:space="preserve"> </w:t>
                      </w:r>
                      <w:r>
                        <w:rPr>
                          <w:color w:val="000000"/>
                          <w:szCs w:val="24"/>
                          <w:lang w:eastAsia="en-GB"/>
                        </w:rPr>
                        <w:t>Kitos Tvarkos apraše vartojamos sąvokos suprantamos taip, kaip jos apibrėžtos Lietuvos Respublikos žuvininkystės įstatyme ir kituose žuvininkystę reglamentuojančiuose teisės aktuose.</w:t>
                      </w:r>
                    </w:p>
                  </w:sdtContent>
                </w:sdt>
              </w:sdtContent>
            </w:sdt>
            <w:sdt>
              <w:sdtPr>
                <w:alias w:val="5 p."/>
                <w:tag w:val="part_b3c3d919aa524e2a9e2d758fa246b9bb"/>
                <w:lock w:val="sdtLocked"/>
                <w:richText/>
              </w:sdtPr>
              <w:sdtContent>
                <w:p>
                  <w:pPr>
                    <w:spacing w:line="276" w:lineRule="auto"/>
                    <w:ind w:firstLine="709"/>
                    <w:jc w:val="both"/>
                    <w:rPr>
                      <w:szCs w:val="24"/>
                    </w:rPr>
                  </w:pPr>
                  <w:sdt>
                    <w:sdtPr>
                      <w:alias w:val="Numeris"/>
                      <w:tag w:val="nr_b3c3d919aa524e2a9e2d758fa246b9bb"/>
                      <w:lock w:val="sdtLocked"/>
                      <w:richText/>
                    </w:sdtPr>
                    <w:sdtContent>
                      <w:r>
                        <w:rPr>
                          <w:color w:val="000000"/>
                          <w:szCs w:val="24"/>
                          <w:lang w:eastAsia="en-GB"/>
                        </w:rPr>
                        <w:t>5</w:t>
                      </w:r>
                    </w:sdtContent>
                  </w:sdt>
                  <w:r>
                    <w:rPr>
                      <w:color w:val="000000"/>
                      <w:szCs w:val="24"/>
                      <w:lang w:eastAsia="en-GB"/>
                    </w:rPr>
                    <w:t>. A</w:t>
                  </w:r>
                  <w:r>
                    <w:rPr>
                      <w:szCs w:val="24"/>
                    </w:rPr>
                    <w:t>gentūra skelbia kvietimą teikti paraiškas išmokoms gauti, vertina paraiškas, išmokų apskaičiavimui reikalingą informaciją ir dokumentus, apskaičiuoja išmoką, priima sprendimus dėl išmokų skyrimo, sudaro išmokų sutartis ir išmoka išmokas vadovaudamasi Tvarkos aprašu.</w:t>
                  </w:r>
                </w:p>
              </w:sdtContent>
            </w:sdt>
            <w:sdt>
              <w:sdtPr>
                <w:alias w:val="6 p."/>
                <w:tag w:val="part_7d4c33e60793427a9cf453756219c8d4"/>
                <w:lock w:val="sdtLocked"/>
                <w:richText/>
              </w:sdtPr>
              <w:sdtContent>
                <w:p>
                  <w:pPr>
                    <w:spacing w:line="276" w:lineRule="auto"/>
                    <w:ind w:firstLine="709"/>
                    <w:jc w:val="both"/>
                    <w:rPr>
                      <w:szCs w:val="24"/>
                    </w:rPr>
                  </w:pPr>
                  <w:sdt>
                    <w:sdtPr>
                      <w:alias w:val="Numeris"/>
                      <w:tag w:val="nr_7d4c33e60793427a9cf453756219c8d4"/>
                      <w:lock w:val="sdtLocked"/>
                      <w:richText/>
                    </w:sdtPr>
                    <w:sdtContent>
                      <w:r>
                        <w:rPr>
                          <w:szCs w:val="24"/>
                        </w:rPr>
                        <w:t>6</w:t>
                      </w:r>
                    </w:sdtContent>
                  </w:sdt>
                  <w:r>
                    <w:rPr>
                      <w:szCs w:val="24"/>
                    </w:rPr>
                    <w:t>. Pareiškėjai, teikdami paraiškas ir informaciją, Agentūra, registruodama paraiškas, organizuodama paraiškų vertinimą, sprendimų dėl išmokų skyrimo priėmimą, naudojasi Aplinkos projektų valdymo informacine sistema (toliau – APVIS). Kai APVIS funkcinių galimybių nepakanka ar jos neužtikrinamos, minėti veiksmai atliekami teikiant ar kaupiant reikalingą informaciją Agentūros nustatyta tvarka. Elektroniniai dokumentai rengiami pagal Lietuvos vyriausiojo archyvaro patvirtintas ar su juo suderintas elektroninio dokumento specifikacijas ir pasirašomi kvalifikuotu elektroniniu parašu.</w:t>
                  </w:r>
                </w:p>
              </w:sdtContent>
            </w:sdt>
            <w:sdt>
              <w:sdtPr>
                <w:alias w:val="7 p."/>
                <w:tag w:val="part_609f745e05ff4887a3dd99a9f1d8553c"/>
                <w:lock w:val="sdtLocked"/>
                <w:richText/>
              </w:sdtPr>
              <w:sdtContent>
                <w:p>
                  <w:pPr>
                    <w:spacing w:line="276" w:lineRule="auto"/>
                    <w:ind w:firstLine="709"/>
                    <w:jc w:val="both"/>
                    <w:rPr>
                      <w:szCs w:val="24"/>
                    </w:rPr>
                  </w:pPr>
                  <w:sdt>
                    <w:sdtPr>
                      <w:alias w:val="Numeris"/>
                      <w:tag w:val="nr_609f745e05ff4887a3dd99a9f1d8553c"/>
                      <w:lock w:val="sdtLocked"/>
                      <w:richText/>
                    </w:sdtPr>
                    <w:sdtContent>
                      <w:r>
                        <w:rPr>
                          <w:szCs w:val="24"/>
                        </w:rPr>
                        <w:t>7</w:t>
                      </w:r>
                    </w:sdtContent>
                  </w:sdt>
                  <w:r>
                    <w:rPr>
                      <w:szCs w:val="24"/>
                    </w:rPr>
                    <w:t>. Agentūra savo interneto svetainėje skelbia kvietimą teikti paraiškas ir informaciją apie išmokų skyrimą.</w:t>
                  </w:r>
                </w:p>
              </w:sdtContent>
            </w:sdt>
            <w:sdt>
              <w:sdtPr>
                <w:alias w:val="8 p."/>
                <w:tag w:val="part_572a0706e9b7418592828149b49dd265"/>
                <w:lock w:val="sdtLocked"/>
                <w:richText/>
              </w:sdtPr>
              <w:sdtContent>
                <w:p>
                  <w:pPr>
                    <w:spacing w:line="276" w:lineRule="auto"/>
                    <w:ind w:firstLine="709"/>
                    <w:jc w:val="both"/>
                    <w:rPr>
                      <w:szCs w:val="24"/>
                    </w:rPr>
                  </w:pPr>
                  <w:sdt>
                    <w:sdtPr>
                      <w:alias w:val="Numeris"/>
                      <w:tag w:val="nr_572a0706e9b7418592828149b49dd265"/>
                      <w:lock w:val="sdtLocked"/>
                      <w:richText/>
                    </w:sdtPr>
                    <w:sdtContent>
                      <w:r>
                        <w:rPr>
                          <w:szCs w:val="24"/>
                        </w:rPr>
                        <w:t>8</w:t>
                      </w:r>
                    </w:sdtContent>
                  </w:sdt>
                  <w:r>
                    <w:rPr>
                      <w:szCs w:val="24"/>
                    </w:rPr>
                    <w:t xml:space="preserve">. Agentūra, atlikdama paraiškų vertinimą, išmokų skyrimą ir skelbdama informaciją apie </w:t>
                  </w:r>
                  <w:r>
                    <w:rPr>
                      <w:color w:val="000000"/>
                      <w:szCs w:val="24"/>
                    </w:rPr>
                    <w:t>skirtas išmokas</w:t>
                  </w:r>
                  <w:r>
                    <w:rPr>
                      <w:szCs w:val="24"/>
                    </w:rPr>
                    <w:t>, tvarko susijusius asmens duomenis laikydamasi 2016 m. balandžio 27 d. Europos Parlamento ir Tarybos reglamento (ES) 2016/679 dėl fizinių asmenų apsaugos tvarkant asmens duomenis ir dėl laisvo tokių duomenų judėjimo ir kuriuo panaikinama Direktyva 95/46/EB (Bendrasis duomenų apsaugos reglamentas), Lietuvos Respublikos asmens duomenų teisinės apsaugos įstatymo ir kitų teisės aktų, reglamentuojančių asmens duomenų apsaugą. Dokumentai, kuriuose yra asmens duomenų, tvarkomi ir saugomi 10 metų nuo sprendimo dėl išmokos skyrimo priėmimo dienos vadovaujantis Dokumentų tvarkymo ir apskaitos taisyklėmis, patvirtintomis Lietuvos vyriausiojo archyvaro 2011 m. liepos 4 d. įsakymu Nr. V-118 „Dėl Dokumentų tvarkymo ir apskaitos taisyklių patvirtinimo“. Kiti dokumentai saugomi ir naudojami vadovaujantis Lietuvos Respublikos dokumentų ir archyvų įstatymu, kitais dokumentų valdymą reglamentuojančiais teisės aktais. Pasibaigus saugojimo terminui, visi dokumentai, įskaitant tuos, kuriuose yra asmens duomenų, sunaikinami, išskyrus dokumentus, kurie teisės aktų, reglamentuojančių duomenų saugojimą, nustatytais atvejais turi būti perduoti saugoti pagal Lietuvos Respublikos dokumentų ir archyvų įstatymą.</w:t>
                  </w:r>
                </w:p>
                <w:p>
                  <w:pPr>
                    <w:spacing w:line="276" w:lineRule="auto"/>
                    <w:ind w:firstLine="709"/>
                    <w:jc w:val="both"/>
                    <w:rPr>
                      <w:szCs w:val="24"/>
                    </w:rPr>
                  </w:pPr>
                </w:p>
              </w:sdtContent>
            </w:sdt>
          </w:sdtContent>
        </w:sdt>
        <w:sdt>
          <w:sdtPr>
            <w:alias w:val="skyrius"/>
            <w:tag w:val="part_014bdb1d40b64d19bb2a0ea42b5f1dbd"/>
            <w:lock w:val="sdtLocked"/>
            <w:richText/>
          </w:sdtPr>
          <w:sdtContent>
            <w:p>
              <w:pPr>
                <w:shd w:val="clear" w:color="auto" w:fill="FFFFFF"/>
                <w:jc w:val="center"/>
                <w:rPr>
                  <w:color w:val="000000"/>
                  <w:szCs w:val="24"/>
                  <w:lang w:eastAsia="en-GB"/>
                </w:rPr>
              </w:pPr>
              <w:sdt>
                <w:sdtPr>
                  <w:alias w:val="Numeris"/>
                  <w:tag w:val="nr_014bdb1d40b64d19bb2a0ea42b5f1dbd"/>
                  <w:lock w:val="sdtLocked"/>
                  <w:richText/>
                </w:sdtPr>
                <w:sdtContent>
                  <w:r>
                    <w:rPr>
                      <w:b/>
                      <w:bCs/>
                      <w:caps/>
                      <w:color w:val="000000"/>
                      <w:szCs w:val="24"/>
                      <w:lang w:eastAsia="en-GB"/>
                    </w:rPr>
                    <w:t>II</w:t>
                  </w:r>
                </w:sdtContent>
              </w:sdt>
              <w:r>
                <w:rPr>
                  <w:b/>
                  <w:bCs/>
                  <w:caps/>
                  <w:color w:val="000000"/>
                  <w:szCs w:val="24"/>
                  <w:lang w:eastAsia="en-GB"/>
                </w:rPr>
                <w:t xml:space="preserve"> SKYRIUS</w:t>
              </w:r>
            </w:p>
            <w:p>
              <w:pPr>
                <w:shd w:val="clear" w:color="auto" w:fill="FFFFFF"/>
                <w:jc w:val="center"/>
                <w:rPr>
                  <w:color w:val="000000"/>
                  <w:szCs w:val="24"/>
                  <w:lang w:eastAsia="en-GB"/>
                </w:rPr>
              </w:pPr>
              <w:sdt>
                <w:sdtPr>
                  <w:alias w:val="Pavadinimas"/>
                  <w:tag w:val="title_014bdb1d40b64d19bb2a0ea42b5f1dbd"/>
                  <w:lock w:val="sdtLocked"/>
                  <w:richText/>
                </w:sdtPr>
                <w:sdtContent>
                  <w:r>
                    <w:rPr>
                      <w:b/>
                      <w:bCs/>
                      <w:caps/>
                      <w:color w:val="000000"/>
                      <w:szCs w:val="24"/>
                      <w:lang w:eastAsia="en-GB"/>
                    </w:rPr>
                    <w:t>GALIMI PAREIŠKĖJAI</w:t>
                  </w:r>
                </w:sdtContent>
              </w:sdt>
            </w:p>
            <w:p>
              <w:pPr>
                <w:shd w:val="clear" w:color="auto" w:fill="FFFFFF"/>
                <w:spacing w:line="276" w:lineRule="auto"/>
                <w:ind w:firstLine="793"/>
                <w:jc w:val="center"/>
                <w:rPr>
                  <w:color w:val="000000"/>
                  <w:szCs w:val="24"/>
                  <w:lang w:eastAsia="en-GB"/>
                </w:rPr>
              </w:pPr>
            </w:p>
            <w:sdt>
              <w:sdtPr>
                <w:alias w:val="9 p."/>
                <w:tag w:val="part_cd47d26983d1430ba39598bb5e006a94"/>
                <w:lock w:val="sdtLocked"/>
                <w:richText/>
              </w:sdtPr>
              <w:sdtContent>
                <w:p>
                  <w:pPr>
                    <w:spacing w:line="276" w:lineRule="auto"/>
                    <w:ind w:firstLine="709"/>
                    <w:jc w:val="both"/>
                    <w:rPr>
                      <w:szCs w:val="24"/>
                      <w:lang w:eastAsia="lt-LT"/>
                    </w:rPr>
                  </w:pPr>
                  <w:sdt>
                    <w:sdtPr>
                      <w:alias w:val="Numeris"/>
                      <w:tag w:val="nr_cd47d26983d1430ba39598bb5e006a94"/>
                      <w:lock w:val="sdtLocked"/>
                      <w:richText/>
                    </w:sdtPr>
                    <w:sdtContent>
                      <w:r>
                        <w:rPr>
                          <w:color w:val="000000"/>
                          <w:szCs w:val="24"/>
                          <w:lang w:eastAsia="lt-LT"/>
                        </w:rPr>
                        <w:t>9</w:t>
                      </w:r>
                    </w:sdtContent>
                  </w:sdt>
                  <w:r>
                    <w:rPr>
                      <w:color w:val="000000"/>
                      <w:szCs w:val="24"/>
                      <w:lang w:eastAsia="lt-LT"/>
                    </w:rPr>
                    <w:t xml:space="preserve">. Paraišką dėl išmokų gali teikti ūkio subjektas, paraiškos teikimo metu turintis teisę į žvejybos kvotą vidaus vandenyse, išskyrus ūkio subjektus, kurie </w:t>
                  </w:r>
                  <w:r>
                    <w:rPr>
                      <w:color w:val="000000"/>
                      <w:szCs w:val="24"/>
                      <w:shd w:val="clear" w:color="auto" w:fill="FFFFFF"/>
                      <w:lang w:eastAsia="lt-LT"/>
                    </w:rPr>
                    <w:t>turi teisę į žvejybos kvotą tik polderiuose ar (ir) tik specializuotajai stintų žvejybai.</w:t>
                  </w:r>
                  <w:r>
                    <w:rPr>
                      <w:color w:val="000000"/>
                      <w:szCs w:val="24"/>
                      <w:lang w:eastAsia="lt-LT"/>
                    </w:rPr>
                    <w:t xml:space="preserve"> Paraišką dėl išmokų gali teikti ūkio subjektas, atitinkantis šiuos reikalavimus:</w:t>
                  </w:r>
                </w:p>
                <w:sdt>
                  <w:sdtPr>
                    <w:alias w:val="9.1 pp."/>
                    <w:tag w:val="part_4234ba0c2dc1485495737add47e41380"/>
                    <w:lock w:val="sdtLocked"/>
                    <w:richText/>
                  </w:sdtPr>
                  <w:sdtContent>
                    <w:p>
                      <w:pPr>
                        <w:spacing w:line="276" w:lineRule="auto"/>
                        <w:ind w:firstLine="709"/>
                        <w:jc w:val="both"/>
                        <w:rPr>
                          <w:szCs w:val="24"/>
                          <w:lang w:eastAsia="lt-LT"/>
                        </w:rPr>
                      </w:pPr>
                      <w:sdt>
                        <w:sdtPr>
                          <w:alias w:val="Numeris"/>
                          <w:tag w:val="nr_4234ba0c2dc1485495737add47e41380"/>
                          <w:lock w:val="sdtLocked"/>
                          <w:richText/>
                        </w:sdtPr>
                        <w:sdtContent>
                          <w:r>
                            <w:rPr>
                              <w:color w:val="000000"/>
                              <w:szCs w:val="24"/>
                              <w:lang w:eastAsia="lt-LT"/>
                            </w:rPr>
                            <w:t>9.1</w:t>
                          </w:r>
                        </w:sdtContent>
                      </w:sdt>
                      <w:r>
                        <w:rPr>
                          <w:color w:val="000000"/>
                          <w:szCs w:val="24"/>
                          <w:lang w:eastAsia="lt-LT"/>
                        </w:rPr>
                        <w:t xml:space="preserve">. ūkio subjektui </w:t>
                      </w:r>
                      <w:r>
                        <w:rPr>
                          <w:szCs w:val="24"/>
                          <w:lang w:eastAsia="lt-LT"/>
                        </w:rPr>
                        <w:t xml:space="preserve">Perleidžiamųjų teisių į žvejybos vidaus vandenyse kvotas suteikimo, galiojimo sustabdymo, galiojimo sustabdymo panaikinimo ir teisės į žvejybos kvotą panaikinimo bei žvejybos kvotų skyrimo taisyklių, patvirtintų Lietuvos Respublikos </w:t>
                      </w:r>
                      <w:r>
                        <w:rPr>
                          <w:color w:val="000000"/>
                          <w:szCs w:val="24"/>
                          <w:lang w:eastAsia="lt-LT"/>
                        </w:rPr>
                        <w:t xml:space="preserve">žemės ūkio ministro 2014 m. gegužės 28 d. įsakymu Nr. 3D-310 „Dėl Perleidžiamųjų teisių į žvejybos vidaus vandenyse kvotas suteikimo komisijos sudarymo, šios komisijos darbo reglamento ir </w:t>
                      </w:r>
                      <w:r>
                        <w:rPr>
                          <w:szCs w:val="24"/>
                          <w:lang w:eastAsia="lt-LT"/>
                        </w:rPr>
                        <w:t xml:space="preserve">Perleidžiamųjų teisių į žvejybos vidaus vandenyse kvotas suteikimo, galiojimo sustabdymo, galiojimo sustabdymo panaikinimo ir teisės į žvejybos kvotą panaikinimo bei žvejybos kvotų skyrimo taisyklių patvirtinimo“ (toliau – Taisyklės), </w:t>
                      </w:r>
                      <w:r>
                        <w:rPr>
                          <w:color w:val="000000"/>
                          <w:szCs w:val="24"/>
                          <w:lang w:eastAsia="lt-LT"/>
                        </w:rPr>
                        <w:t>nustatyta tvarka nesustabdytas teisės į žvejybos kvotą galiojimas.</w:t>
                      </w:r>
                    </w:p>
                  </w:sdtContent>
                </w:sdt>
                <w:sdt>
                  <w:sdtPr>
                    <w:alias w:val="9.2 pp."/>
                    <w:tag w:val="part_c4742d420cb04ef0b461fdc90183c740"/>
                    <w:lock w:val="sdtLocked"/>
                    <w:richText/>
                  </w:sdtPr>
                  <w:sdtContent>
                    <w:p>
                      <w:pPr>
                        <w:spacing w:line="276" w:lineRule="auto"/>
                        <w:ind w:firstLine="709"/>
                        <w:jc w:val="both"/>
                        <w:rPr>
                          <w:color w:val="000000"/>
                          <w:szCs w:val="24"/>
                          <w:lang w:eastAsia="lt-LT"/>
                        </w:rPr>
                      </w:pPr>
                      <w:sdt>
                        <w:sdtPr>
                          <w:alias w:val="Numeris"/>
                          <w:tag w:val="nr_c4742d420cb04ef0b461fdc90183c740"/>
                          <w:lock w:val="sdtLocked"/>
                          <w:richText/>
                        </w:sdtPr>
                        <w:sdtContent>
                          <w:r>
                            <w:rPr>
                              <w:color w:val="000000"/>
                              <w:szCs w:val="24"/>
                              <w:lang w:eastAsia="lt-LT"/>
                            </w:rPr>
                            <w:t>9.2</w:t>
                          </w:r>
                        </w:sdtContent>
                      </w:sdt>
                      <w:r>
                        <w:rPr>
                          <w:color w:val="000000"/>
                          <w:szCs w:val="24"/>
                          <w:lang w:eastAsia="lt-LT"/>
                        </w:rPr>
                        <w:t>. ūkio subjektui Taisyklėse nustatyta tvarka nepanaikinta teisė į žvejybos kvotą;</w:t>
                      </w:r>
                    </w:p>
                  </w:sdtContent>
                </w:sdt>
                <w:sdt>
                  <w:sdtPr>
                    <w:alias w:val="9.3 pp."/>
                    <w:tag w:val="part_9b762f06b1764a8a9808ebfc135a746f"/>
                    <w:lock w:val="sdtLocked"/>
                    <w:richText/>
                  </w:sdtPr>
                  <w:sdtContent>
                    <w:p>
                      <w:pPr>
                        <w:spacing w:line="276" w:lineRule="auto"/>
                        <w:ind w:firstLine="709"/>
                        <w:jc w:val="both"/>
                        <w:rPr>
                          <w:color w:val="000000"/>
                          <w:szCs w:val="24"/>
                          <w:lang w:eastAsia="lt-LT"/>
                        </w:rPr>
                      </w:pPr>
                      <w:sdt>
                        <w:sdtPr>
                          <w:alias w:val="Numeris"/>
                          <w:tag w:val="nr_9b762f06b1764a8a9808ebfc135a746f"/>
                          <w:lock w:val="sdtLocked"/>
                          <w:richText/>
                        </w:sdtPr>
                        <w:sdtContent>
                          <w:r>
                            <w:rPr>
                              <w:color w:val="000000"/>
                              <w:szCs w:val="24"/>
                              <w:lang w:eastAsia="lt-LT"/>
                            </w:rPr>
                            <w:t>9.3</w:t>
                          </w:r>
                        </w:sdtContent>
                      </w:sdt>
                      <w:r>
                        <w:rPr>
                          <w:color w:val="000000"/>
                          <w:szCs w:val="24"/>
                          <w:lang w:eastAsia="lt-LT"/>
                        </w:rPr>
                        <w:t>. kalendoriniais metais, kuriais teikiama paraiška, ūkio subjektas savo žvejybos kvotos neviršijo;</w:t>
                      </w:r>
                    </w:p>
                  </w:sdtContent>
                </w:sdt>
                <w:sdt>
                  <w:sdtPr>
                    <w:alias w:val="9.4 pp."/>
                    <w:tag w:val="part_651c8f50fe854afbb2c0eac3a0d565ac"/>
                    <w:lock w:val="sdtLocked"/>
                    <w:richText/>
                  </w:sdtPr>
                  <w:sdtContent>
                    <w:p>
                      <w:pPr>
                        <w:spacing w:line="276" w:lineRule="auto"/>
                        <w:ind w:firstLine="709"/>
                        <w:jc w:val="both"/>
                        <w:rPr>
                          <w:color w:val="000000"/>
                          <w:szCs w:val="24"/>
                          <w:lang w:eastAsia="lt-LT"/>
                        </w:rPr>
                      </w:pPr>
                      <w:sdt>
                        <w:sdtPr>
                          <w:alias w:val="Numeris"/>
                          <w:tag w:val="nr_651c8f50fe854afbb2c0eac3a0d565ac"/>
                          <w:lock w:val="sdtLocked"/>
                          <w:richText/>
                        </w:sdtPr>
                        <w:sdtContent>
                          <w:r>
                            <w:rPr>
                              <w:color w:val="000000"/>
                              <w:szCs w:val="24"/>
                              <w:lang w:eastAsia="lt-LT"/>
                            </w:rPr>
                            <w:t>9.4</w:t>
                          </w:r>
                        </w:sdtContent>
                      </w:sdt>
                      <w:r>
                        <w:rPr>
                          <w:color w:val="000000"/>
                          <w:szCs w:val="24"/>
                          <w:lang w:eastAsia="lt-LT"/>
                        </w:rPr>
                        <w:t>. ūkio subjektas netraukiamas administracinėn atsakomybėn už šiurkštų verslinės žvejybos vidaus vandenyse tvarkos pažeidimą (taikoma, jei dar nepriimtas nutarimas ir nesumokėta paskirta bauda);</w:t>
                      </w:r>
                    </w:p>
                  </w:sdtContent>
                </w:sdt>
                <w:sdt>
                  <w:sdtPr>
                    <w:alias w:val="9.5 pp."/>
                    <w:tag w:val="part_35c2edb79b4543e29f6c6fe53e8815be"/>
                    <w:lock w:val="sdtLocked"/>
                    <w:richText/>
                  </w:sdtPr>
                  <w:sdtContent>
                    <w:p>
                      <w:pPr>
                        <w:spacing w:line="276" w:lineRule="auto"/>
                        <w:ind w:firstLine="709"/>
                        <w:jc w:val="both"/>
                        <w:rPr>
                          <w:color w:val="000000"/>
                          <w:szCs w:val="24"/>
                          <w:lang w:eastAsia="lt-LT"/>
                        </w:rPr>
                      </w:pPr>
                      <w:sdt>
                        <w:sdtPr>
                          <w:alias w:val="Numeris"/>
                          <w:tag w:val="nr_35c2edb79b4543e29f6c6fe53e8815be"/>
                          <w:lock w:val="sdtLocked"/>
                          <w:richText/>
                        </w:sdtPr>
                        <w:sdtContent>
                          <w:r>
                            <w:rPr>
                              <w:color w:val="000000"/>
                              <w:szCs w:val="24"/>
                              <w:lang w:eastAsia="lt-LT"/>
                            </w:rPr>
                            <w:t>9.5</w:t>
                          </w:r>
                        </w:sdtContent>
                      </w:sdt>
                      <w:r>
                        <w:rPr>
                          <w:color w:val="000000"/>
                          <w:szCs w:val="24"/>
                          <w:lang w:eastAsia="lt-LT"/>
                        </w:rPr>
                        <w:t>. ūkio subjektas Žuvininkystės tarnybos prie Lietuvos Respublikos žemės ūkio ministerijos (toliau – Žuvininkystės tarnyba) jam skirtos teisės į žvejybos kvotą ar jos dalies ir (arba) žvejybos kvotos ar jos dalies nėra išnuomojęs, perleidęs neatlygintinai naudotis ar apsikeitęs žvejybos kvotomis su kitu ūkio subjektu;</w:t>
                      </w:r>
                    </w:p>
                  </w:sdtContent>
                </w:sdt>
                <w:sdt>
                  <w:sdtPr>
                    <w:alias w:val="9.6 pp."/>
                    <w:tag w:val="part_e833c235af974618af7dd35af219b321"/>
                    <w:lock w:val="sdtLocked"/>
                    <w:richText/>
                  </w:sdtPr>
                  <w:sdtContent>
                    <w:p>
                      <w:pPr>
                        <w:spacing w:line="276" w:lineRule="auto"/>
                        <w:ind w:firstLine="709"/>
                        <w:jc w:val="both"/>
                        <w:rPr>
                          <w:rFonts w:ascii="inherit" w:hAnsi="inherit"/>
                          <w:b/>
                          <w:bCs/>
                        </w:rPr>
                      </w:pPr>
                      <w:sdt>
                        <w:sdtPr>
                          <w:alias w:val="Numeris"/>
                          <w:tag w:val="nr_e833c235af974618af7dd35af219b321"/>
                          <w:lock w:val="sdtLocked"/>
                          <w:richText/>
                        </w:sdtPr>
                        <w:sdtContent>
                          <w:r>
                            <w:t>9.6</w:t>
                          </w:r>
                        </w:sdtContent>
                      </w:sdt>
                      <w:r>
                        <w:t>. ūkio subjektas paskutinius dvejus kalendorinius metus, einančius iki paraiškos pateikimo metų sausio 1 dienos, ne mažiau kaip 90 dienų per kalendorinius metus žvejojo. Jei žuvininkystę reglamentuojančių teisės aktų nustatyta tvarka nebuvo galima žvejoti ištisus kalendorinius metus, reikalavimas dėl mažiausio žvejybos dienų skaičiaus proporcingai sumažinamas</w:t>
                      </w:r>
                      <w:r>
                        <w:rPr>
                          <w:rFonts w:ascii="inherit" w:hAnsi="inherit"/>
                          <w:szCs w:val="24"/>
                          <w:lang w:eastAsia="en-GB"/>
                        </w:rPr>
                        <w:t>, bet veiklos dienų skaičiaus ir dienų, kuriomis galima žvejoti, skaičiaus santykis turi būti toks pat kaip ūkio subjektų, vykdžiusių žvejybos veiklą ištisus metus, veiklos dienų skaičiaus ir kalendorinių dienų skaičiaus per metus santykis</w:t>
                      </w:r>
                      <w:r>
                        <w:rPr>
                          <w:rFonts w:ascii="inherit" w:hAnsi="inherit"/>
                        </w:rPr>
                        <w:t>;</w:t>
                      </w:r>
                    </w:p>
                  </w:sdtContent>
                </w:sdt>
                <w:sdt>
                  <w:sdtPr>
                    <w:alias w:val="9.7 pp."/>
                    <w:tag w:val="part_7e59175a877545f1a145eaad0cb80680"/>
                    <w:lock w:val="sdtLocked"/>
                    <w:richText/>
                  </w:sdtPr>
                  <w:sdtContent>
                    <w:p>
                      <w:pPr>
                        <w:spacing w:line="276" w:lineRule="auto"/>
                        <w:ind w:firstLine="709"/>
                        <w:jc w:val="both"/>
                      </w:pPr>
                      <w:sdt>
                        <w:sdtPr>
                          <w:alias w:val="Numeris"/>
                          <w:tag w:val="nr_7e59175a877545f1a145eaad0cb80680"/>
                          <w:lock w:val="sdtLocked"/>
                          <w:richText/>
                        </w:sdtPr>
                        <w:sdtContent>
                          <w:r>
                            <w:t>9.7</w:t>
                          </w:r>
                        </w:sdtContent>
                      </w:sdt>
                      <w:r>
                        <w:t>. ūkio subjektas dvejus metus iki paraiškos pateikimo dienos žvejybos veiklą vykdė tik vidaus vandenyse, neturėjo p</w:t>
                      </w:r>
                      <w:r>
                        <w:rPr>
                          <w:color w:val="000000"/>
                          <w:szCs w:val="24"/>
                          <w:lang w:eastAsia="lt-LT"/>
                        </w:rPr>
                        <w:t>erleidžiamosios teisės į žvejybos galimybes jūrų vandenyse ir (arba) perleidžiamosios teisės naudoti verslinės žvejybos įrankius priekrantės žvejybai</w:t>
                      </w:r>
                      <w:r>
                        <w:t>;</w:t>
                      </w:r>
                    </w:p>
                  </w:sdtContent>
                </w:sdt>
                <w:sdt>
                  <w:sdtPr>
                    <w:alias w:val="9.8 pp."/>
                    <w:tag w:val="part_3d48f9de5ea54b3cab3fd576564831a2"/>
                    <w:lock w:val="sdtLocked"/>
                    <w:richText/>
                  </w:sdtPr>
                  <w:sdtContent>
                    <w:p>
                      <w:pPr>
                        <w:spacing w:line="276" w:lineRule="auto"/>
                        <w:ind w:firstLine="709"/>
                        <w:jc w:val="both"/>
                        <w:rPr>
                          <w:color w:val="000000"/>
                          <w:szCs w:val="24"/>
                          <w:lang w:eastAsia="en-GB"/>
                        </w:rPr>
                      </w:pPr>
                      <w:sdt>
                        <w:sdtPr>
                          <w:alias w:val="Numeris"/>
                          <w:tag w:val="nr_3d48f9de5ea54b3cab3fd576564831a2"/>
                          <w:lock w:val="sdtLocked"/>
                          <w:richText/>
                        </w:sdtPr>
                        <w:sdtContent>
                          <w:r>
                            <w:rPr>
                              <w:color w:val="000000"/>
                              <w:szCs w:val="24"/>
                              <w:lang w:eastAsia="lt-LT"/>
                            </w:rPr>
                            <w:t>9.8</w:t>
                          </w:r>
                        </w:sdtContent>
                      </w:sdt>
                      <w:r>
                        <w:rPr>
                          <w:color w:val="000000"/>
                          <w:szCs w:val="24"/>
                          <w:lang w:eastAsia="lt-LT"/>
                        </w:rPr>
                        <w:t>. ūkio subjektas ar jo atstovas ne jaunesnis kaip 18 metų amžiaus.</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59b1a9019bf11ef8b14c5bcce136045">
                    <w:r w:rsidRPr="00532B9F">
                      <w:rPr>
                        <w:rFonts w:ascii="Arial" w:eastAsia="MS Mincho" w:hAnsi="Arial"/>
                        <w:sz w:val="20"/>
                        <w:i/>
                        <w:iCs/>
                        <w:color w:val="0000FF" w:themeColor="hyperlink"/>
                        <w:u w:val="single"/>
                      </w:rPr>
                      <w:t>D1-176</w:t>
                    </w:r>
                  </w:fldSimple>
                  <w:r>
                    <w:rPr>
                      <w:rFonts w:ascii="Arial" w:eastAsia="MS Mincho" w:hAnsi="Arial"/>
                      <w:sz w:val="20"/>
                      <w:i/>
                      <w:iCs/>
                    </w:rPr>
                    <w:t>,
2024-05-24,
paskelbta TAR 2024-05-24, i. k. 2024-09373            </w:t>
                  </w:r>
                </w:p>
                <w:p/>
              </w:sdtContent>
            </w:sdt>
            <w:sdt>
              <w:sdtPr>
                <w:alias w:val="10 p."/>
                <w:tag w:val="part_2eaf8208b50c4b3a887e1bae2c000ab2"/>
                <w:lock w:val="sdtLocked"/>
                <w:richText/>
              </w:sdtPr>
              <w:sdtContent>
                <w:p>
                  <w:pPr>
                    <w:spacing w:line="276" w:lineRule="auto"/>
                    <w:ind w:firstLine="709"/>
                    <w:jc w:val="both"/>
                    <w:rPr>
                      <w:color w:val="000000"/>
                      <w:szCs w:val="24"/>
                      <w:lang w:eastAsia="en-GB"/>
                    </w:rPr>
                  </w:pPr>
                  <w:sdt>
                    <w:sdtPr>
                      <w:alias w:val="Numeris"/>
                      <w:tag w:val="nr_2eaf8208b50c4b3a887e1bae2c000ab2"/>
                      <w:lock w:val="sdtLocked"/>
                      <w:richText/>
                    </w:sdtPr>
                    <w:sdtContent>
                      <w:r>
                        <w:rPr>
                          <w:color w:val="000000"/>
                          <w:szCs w:val="24"/>
                          <w:lang w:eastAsia="lt-LT"/>
                        </w:rPr>
                        <w:t>10</w:t>
                      </w:r>
                    </w:sdtContent>
                  </w:sdt>
                  <w:r>
                    <w:rPr>
                      <w:color w:val="000000"/>
                      <w:szCs w:val="24"/>
                      <w:lang w:eastAsia="lt-LT"/>
                    </w:rPr>
                    <w:t>. Atitiktį Tvarkos aprašo 9.1, 9.2 ir 9.5–9.7</w:t>
                  </w:r>
                  <w:r>
                    <w:rPr>
                      <w:b/>
                      <w:bCs/>
                      <w:color w:val="000000"/>
                      <w:szCs w:val="24"/>
                      <w:lang w:eastAsia="lt-LT"/>
                    </w:rPr>
                    <w:t xml:space="preserve"> </w:t>
                  </w:r>
                  <w:r>
                    <w:rPr>
                      <w:color w:val="000000"/>
                      <w:szCs w:val="24"/>
                      <w:lang w:eastAsia="lt-LT"/>
                    </w:rPr>
                    <w:t>papunkčiuose nustatytiems reikalavimams Agentūra vertina vadovaudamasi Žuvininkystės tarnybos pateiktais duomenimis, atitiktį Tvarkos aprašo 9.3 ir 9.4 papunkčiuose nustatytiems reikalavimams – vadovaudamasi Aplinkos apsaugos departamento prie Aplinkos ministerijos pateiktais duomenimis.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59b1a9019bf11ef8b14c5bcce136045">
                    <w:r w:rsidRPr="00532B9F">
                      <w:rPr>
                        <w:rFonts w:ascii="Arial" w:eastAsia="MS Mincho" w:hAnsi="Arial"/>
                        <w:sz w:val="20"/>
                        <w:i/>
                        <w:iCs/>
                        <w:color w:val="0000FF" w:themeColor="hyperlink"/>
                        <w:u w:val="single"/>
                      </w:rPr>
                      <w:t>D1-176</w:t>
                    </w:r>
                  </w:fldSimple>
                  <w:r>
                    <w:rPr>
                      <w:rFonts w:ascii="Arial" w:eastAsia="MS Mincho" w:hAnsi="Arial"/>
                      <w:sz w:val="20"/>
                      <w:i/>
                      <w:iCs/>
                    </w:rPr>
                    <w:t>,
2024-05-24,
paskelbta TAR 2024-05-24, i. k. 2024-09373            </w:t>
                  </w:r>
                </w:p>
                <w:p/>
              </w:sdtContent>
            </w:sdt>
          </w:sdtContent>
        </w:sdt>
        <w:sdt>
          <w:sdtPr>
            <w:alias w:val="skyrius"/>
            <w:tag w:val="part_6b6b080a434a4a21b1d09c5200ea7f69"/>
            <w:lock w:val="sdtLocked"/>
            <w:richText/>
          </w:sdtPr>
          <w:sdtContent>
            <w:p>
              <w:pPr>
                <w:shd w:val="clear" w:color="auto" w:fill="FFFFFF"/>
                <w:jc w:val="center"/>
                <w:rPr>
                  <w:color w:val="000000"/>
                  <w:szCs w:val="24"/>
                  <w:lang w:eastAsia="en-GB"/>
                </w:rPr>
              </w:pPr>
              <w:sdt>
                <w:sdtPr>
                  <w:alias w:val="Numeris"/>
                  <w:tag w:val="nr_6b6b080a434a4a21b1d09c5200ea7f69"/>
                  <w:lock w:val="sdtLocked"/>
                  <w:richText/>
                </w:sdtPr>
                <w:sdtContent>
                  <w:r>
                    <w:rPr>
                      <w:b/>
                      <w:bCs/>
                      <w:color w:val="000000"/>
                      <w:szCs w:val="24"/>
                      <w:lang w:eastAsia="en-GB"/>
                    </w:rPr>
                    <w:t>III</w:t>
                  </w:r>
                </w:sdtContent>
              </w:sdt>
              <w:r>
                <w:rPr>
                  <w:b/>
                  <w:bCs/>
                  <w:color w:val="000000"/>
                  <w:szCs w:val="24"/>
                  <w:lang w:eastAsia="en-GB"/>
                </w:rPr>
                <w:t xml:space="preserve"> SKYRIUS</w:t>
              </w:r>
            </w:p>
            <w:p>
              <w:pPr>
                <w:shd w:val="clear" w:color="auto" w:fill="FFFFFF"/>
                <w:jc w:val="center"/>
                <w:rPr>
                  <w:color w:val="000000"/>
                  <w:szCs w:val="24"/>
                  <w:lang w:eastAsia="en-GB"/>
                </w:rPr>
              </w:pPr>
              <w:sdt>
                <w:sdtPr>
                  <w:alias w:val="Pavadinimas"/>
                  <w:tag w:val="title_6b6b080a434a4a21b1d09c5200ea7f69"/>
                  <w:lock w:val="sdtLocked"/>
                  <w:richText/>
                </w:sdtPr>
                <w:sdtContent>
                  <w:r>
                    <w:rPr>
                      <w:b/>
                      <w:bCs/>
                      <w:color w:val="000000"/>
                      <w:szCs w:val="24"/>
                      <w:lang w:eastAsia="en-GB"/>
                    </w:rPr>
                    <w:t xml:space="preserve">SĄLYGOS IR REIKALAVIMAI NORINT GAUTI IŠMOKĄ </w:t>
                  </w:r>
                </w:sdtContent>
              </w:sdt>
            </w:p>
            <w:p>
              <w:pPr>
                <w:shd w:val="clear" w:color="auto" w:fill="FFFFFF"/>
                <w:spacing w:line="276" w:lineRule="auto"/>
                <w:ind w:firstLine="731"/>
                <w:jc w:val="both"/>
                <w:rPr>
                  <w:color w:val="000000"/>
                  <w:szCs w:val="24"/>
                  <w:lang w:eastAsia="en-GB"/>
                </w:rPr>
              </w:pPr>
            </w:p>
            <w:sdt>
              <w:sdtPr>
                <w:alias w:val="11 p."/>
                <w:tag w:val="part_b32b5ffb8ac8404097af113da0e9e48e"/>
                <w:lock w:val="sdtLocked"/>
                <w:richText/>
              </w:sdtPr>
              <w:sdtContent>
                <w:p>
                  <w:pPr>
                    <w:shd w:val="clear" w:color="auto" w:fill="FFFFFF"/>
                    <w:spacing w:line="276" w:lineRule="auto"/>
                    <w:ind w:firstLine="709"/>
                    <w:jc w:val="both"/>
                    <w:rPr>
                      <w:color w:val="000000"/>
                      <w:szCs w:val="24"/>
                      <w:lang w:eastAsia="en-GB"/>
                    </w:rPr>
                  </w:pPr>
                  <w:sdt>
                    <w:sdtPr>
                      <w:alias w:val="Numeris"/>
                      <w:tag w:val="nr_b32b5ffb8ac8404097af113da0e9e48e"/>
                      <w:lock w:val="sdtLocked"/>
                      <w:richText/>
                    </w:sdtPr>
                    <w:sdtContent>
                      <w:r>
                        <w:rPr>
                          <w:color w:val="000000"/>
                          <w:szCs w:val="24"/>
                          <w:lang w:eastAsia="en-GB"/>
                        </w:rPr>
                        <w:t>11</w:t>
                      </w:r>
                    </w:sdtContent>
                  </w:sdt>
                  <w:r>
                    <w:rPr>
                      <w:color w:val="000000"/>
                      <w:szCs w:val="24"/>
                      <w:lang w:eastAsia="en-GB"/>
                    </w:rPr>
                    <w:t>. Pareiškėjams, norintiems gauti išmoką, taikomi reikalavimai:</w:t>
                  </w:r>
                </w:p>
                <w:sdt>
                  <w:sdtPr>
                    <w:alias w:val="11.1 pp."/>
                    <w:tag w:val="part_4ce9da771c934912a15a16968eb2c097"/>
                    <w:lock w:val="sdtLocked"/>
                    <w:richText/>
                  </w:sdtPr>
                  <w:sdtContent>
                    <w:p>
                      <w:pPr>
                        <w:shd w:val="clear" w:color="auto" w:fill="FFFFFF"/>
                        <w:spacing w:line="276" w:lineRule="auto"/>
                        <w:ind w:firstLine="709"/>
                        <w:jc w:val="both"/>
                        <w:rPr>
                          <w:color w:val="000000"/>
                          <w:szCs w:val="24"/>
                          <w:lang w:eastAsia="en-GB"/>
                        </w:rPr>
                      </w:pPr>
                      <w:sdt>
                        <w:sdtPr>
                          <w:alias w:val="Numeris"/>
                          <w:tag w:val="nr_4ce9da771c934912a15a16968eb2c097"/>
                          <w:lock w:val="sdtLocked"/>
                          <w:richText/>
                        </w:sdtPr>
                        <w:sdtContent>
                          <w:r>
                            <w:rPr>
                              <w:color w:val="000000"/>
                              <w:szCs w:val="24"/>
                              <w:lang w:eastAsia="en-GB"/>
                            </w:rPr>
                            <w:t>11.1</w:t>
                          </w:r>
                        </w:sdtContent>
                      </w:sdt>
                      <w:r>
                        <w:rPr>
                          <w:color w:val="000000"/>
                          <w:szCs w:val="24"/>
                          <w:lang w:eastAsia="en-GB"/>
                        </w:rPr>
                        <w:t>. paraišką gauti išmoką teikia ūkio subjektas, atitinkantis Tvarkos aprašo II skyriuje nustatytus reikalavimus;</w:t>
                      </w:r>
                    </w:p>
                  </w:sdtContent>
                </w:sdt>
                <w:sdt>
                  <w:sdtPr>
                    <w:alias w:val="11.2 pp."/>
                    <w:tag w:val="part_28ae32bd3cbe4e2a9f7cd7291bb9b7e9"/>
                    <w:lock w:val="sdtLocked"/>
                    <w:richText/>
                  </w:sdtPr>
                  <w:sdtContent>
                    <w:p>
                      <w:pPr>
                        <w:spacing w:line="276" w:lineRule="auto"/>
                        <w:ind w:firstLine="709"/>
                        <w:jc w:val="both"/>
                        <w:rPr>
                          <w:color w:val="000000"/>
                          <w:szCs w:val="24"/>
                          <w:lang w:eastAsia="lt-LT"/>
                        </w:rPr>
                      </w:pPr>
                      <w:sdt>
                        <w:sdtPr>
                          <w:alias w:val="Numeris"/>
                          <w:tag w:val="nr_28ae32bd3cbe4e2a9f7cd7291bb9b7e9"/>
                          <w:lock w:val="sdtLocked"/>
                          <w:richText/>
                        </w:sdtPr>
                        <w:sdtContent>
                          <w:r>
                            <w:rPr>
                              <w:color w:val="000000"/>
                              <w:szCs w:val="24"/>
                              <w:lang w:eastAsia="lt-LT"/>
                            </w:rPr>
                            <w:t>11.2</w:t>
                          </w:r>
                        </w:sdtContent>
                      </w:sdt>
                      <w:r>
                        <w:rPr>
                          <w:color w:val="000000"/>
                          <w:szCs w:val="24"/>
                          <w:lang w:eastAsia="lt-LT"/>
                        </w:rPr>
                        <w:t>. pareiškėjas gali gauti išmoką, jei jis atitinka visus šiame Tvarkos aprašo skyriuje nustatytus tinkamumo gauti išmoką reikalavimus:</w:t>
                      </w:r>
                    </w:p>
                    <w:sdt>
                      <w:sdtPr>
                        <w:alias w:val="11.2.1 pp."/>
                        <w:tag w:val="part_b1053a2851b1410483eb8fa60f6f556a"/>
                        <w:lock w:val="sdtLocked"/>
                        <w:richText/>
                      </w:sdtPr>
                      <w:sdtContent>
                        <w:p>
                          <w:pPr>
                            <w:spacing w:line="276" w:lineRule="auto"/>
                            <w:ind w:firstLine="709"/>
                            <w:jc w:val="both"/>
                            <w:rPr>
                              <w:color w:val="000000"/>
                              <w:szCs w:val="24"/>
                              <w:lang w:eastAsia="lt-LT"/>
                            </w:rPr>
                          </w:pPr>
                          <w:sdt>
                            <w:sdtPr>
                              <w:alias w:val="Numeris"/>
                              <w:tag w:val="nr_b1053a2851b1410483eb8fa60f6f556a"/>
                              <w:lock w:val="sdtLocked"/>
                              <w:richText/>
                            </w:sdtPr>
                            <w:sdtContent>
                              <w:r>
                                <w:rPr>
                                  <w:color w:val="000000"/>
                                  <w:szCs w:val="24"/>
                                  <w:lang w:eastAsia="lt-LT"/>
                                </w:rPr>
                                <w:t>11.2.1</w:t>
                              </w:r>
                            </w:sdtContent>
                          </w:sdt>
                          <w:r>
                            <w:rPr>
                              <w:color w:val="000000"/>
                              <w:szCs w:val="24"/>
                              <w:lang w:eastAsia="lt-LT"/>
                            </w:rPr>
                            <w:t>. pareiškėjas neturi skolų Valstybinei mokesčių inspekcijai prie Lietuvos Respublikos finansų ministerijos (toliau – VMI) ar Valstybinio socialinio draudimo fondo biudžetui (toliau – SODRA), išskyrus atvejus, kai mokesčių, delspinigių, baudų mokėjimas atidėtas Lietuvos Respublikos teisės aktų nustatyta tvarka;</w:t>
                          </w:r>
                        </w:p>
                      </w:sdtContent>
                    </w:sdt>
                    <w:sdt>
                      <w:sdtPr>
                        <w:alias w:val="11.2.2 pp."/>
                        <w:tag w:val="part_def661b3138d4d2082c19884cc0c8541"/>
                        <w:lock w:val="sdtLocked"/>
                        <w:richText/>
                      </w:sdtPr>
                      <w:sdtContent>
                        <w:p>
                          <w:pPr>
                            <w:spacing w:line="276" w:lineRule="auto"/>
                            <w:ind w:firstLine="709"/>
                            <w:jc w:val="both"/>
                            <w:rPr>
                              <w:color w:val="000000"/>
                              <w:szCs w:val="24"/>
                              <w:lang w:eastAsia="lt-LT"/>
                            </w:rPr>
                          </w:pPr>
                          <w:sdt>
                            <w:sdtPr>
                              <w:alias w:val="Numeris"/>
                              <w:tag w:val="nr_def661b3138d4d2082c19884cc0c8541"/>
                              <w:lock w:val="sdtLocked"/>
                              <w:richText/>
                            </w:sdtPr>
                            <w:sdtContent>
                              <w:r>
                                <w:rPr>
                                  <w:color w:val="000000"/>
                                  <w:szCs w:val="24"/>
                                  <w:lang w:eastAsia="lt-LT"/>
                                </w:rPr>
                                <w:t>11.2.2</w:t>
                              </w:r>
                            </w:sdtContent>
                          </w:sdt>
                          <w:r>
                            <w:rPr>
                              <w:color w:val="000000"/>
                              <w:szCs w:val="24"/>
                              <w:lang w:eastAsia="lt-LT"/>
                            </w:rPr>
                            <w:t>. pareiškėjas nepadarė veikos (-ų), nurodytos (-ų) 2014 m. gegužės 15 d. Europos Parlamento ir Tarybos Reglamento (ES) Nr. 508/2014 dėl Europos jūrų reikalų ir žuvininkystės fondo ir kuriuo panaikinami Tarybos reglamentai (EB) Nr. 2328/2003, (EB) Nr. 861/2006, (EB) Nr. 1198/2006 bei (EB) Nr. 791/2007 ir Europos Parlamento ir Tarybos reglamentas Nr. 1255/2011, 10 straipsnio 1 dalies a–c punktuose ar 2021 m. liepos 7 d. Europos Parlamento ir Tarybos Reglamento (ES) 2021/1139, kuriuo nustatomas Europos jūrų reikalų, žvejybos ir akvakultūros fondas ir iš dalies keičiamas Reglamentas (ES) 2017/1004, 11 straipsnio 1 dalies a ir b punktuose, neįvykdė su Europos jūrų reikalų ir žuvininkystės fondu (EJRŽF) ar Europos jūrų reikalų, žvejybos ir akvakultūros fondu susijusio sukčiavimo, kaip apibrėžta 2017 m. liepos 5 d. Europos Parlamento ir Tarybos direktyvos (ES) 2017/1371</w:t>
                          </w:r>
                          <w:r>
                            <w:rPr>
                              <w:color w:val="000000"/>
                              <w:szCs w:val="24"/>
                              <w:vertAlign w:val="superscript"/>
                              <w:lang w:eastAsia="lt-LT"/>
                            </w:rPr>
                            <w:t xml:space="preserve"> </w:t>
                          </w:r>
                          <w:r>
                            <w:rPr>
                              <w:color w:val="000000"/>
                              <w:szCs w:val="24"/>
                              <w:lang w:eastAsia="lt-LT"/>
                            </w:rPr>
                            <w:t>dėl kovos su Sąjungos finansiniams interesams kenkiančiu sukčiavimu baudžiamosios teisės priemonėmis 3 straipsnyje;</w:t>
                          </w:r>
                        </w:p>
                      </w:sdtContent>
                    </w:sdt>
                    <w:sdt>
                      <w:sdtPr>
                        <w:alias w:val="11.2.3 pp."/>
                        <w:tag w:val="part_c35655ca0e804adaaccf9a194aa8af63"/>
                        <w:lock w:val="sdtLocked"/>
                        <w:richText/>
                      </w:sdtPr>
                      <w:sdtContent>
                        <w:p>
                          <w:pPr>
                            <w:spacing w:line="276" w:lineRule="auto"/>
                            <w:ind w:firstLine="709"/>
                            <w:jc w:val="both"/>
                            <w:rPr>
                              <w:color w:val="000000"/>
                              <w:szCs w:val="24"/>
                              <w:lang w:eastAsia="lt-LT"/>
                            </w:rPr>
                          </w:pPr>
                          <w:sdt>
                            <w:sdtPr>
                              <w:alias w:val="Numeris"/>
                              <w:tag w:val="nr_c35655ca0e804adaaccf9a194aa8af63"/>
                              <w:lock w:val="sdtLocked"/>
                              <w:richText/>
                            </w:sdtPr>
                            <w:sdtContent>
                              <w:r>
                                <w:rPr>
                                  <w:color w:val="000000"/>
                                  <w:szCs w:val="24"/>
                                  <w:lang w:eastAsia="lt-LT"/>
                                </w:rPr>
                                <w:t>11.2.3</w:t>
                              </w:r>
                            </w:sdtContent>
                          </w:sdt>
                          <w:r>
                            <w:rPr>
                              <w:color w:val="000000"/>
                              <w:szCs w:val="24"/>
                              <w:lang w:eastAsia="lt-LT"/>
                            </w:rPr>
                            <w:t>. pareiškėjui neiškelta bankroto arba restruktūrizavimo byla, nepradėtas ikiteisminis tyrimas dėl ekonominės veiklos, jis nelikviduojamas, nepriimtas kreditorių susirinkimo nutarimas bankroto procedūras vykdyti ne teismo tvarka;</w:t>
                          </w:r>
                        </w:p>
                      </w:sdtContent>
                    </w:sdt>
                    <w:sdt>
                      <w:sdtPr>
                        <w:alias w:val="11.2.4 pp."/>
                        <w:tag w:val="part_b187c5c2ab2049398318dae35167a23c"/>
                        <w:lock w:val="sdtLocked"/>
                        <w:richText/>
                      </w:sdtPr>
                      <w:sdtContent>
                        <w:p>
                          <w:pPr>
                            <w:spacing w:line="276" w:lineRule="auto"/>
                            <w:ind w:firstLine="709"/>
                            <w:jc w:val="both"/>
                            <w:rPr>
                              <w:color w:val="000000"/>
                              <w:szCs w:val="24"/>
                              <w:lang w:eastAsia="lt-LT"/>
                            </w:rPr>
                          </w:pPr>
                          <w:sdt>
                            <w:sdtPr>
                              <w:alias w:val="Numeris"/>
                              <w:tag w:val="nr_b187c5c2ab2049398318dae35167a23c"/>
                              <w:lock w:val="sdtLocked"/>
                              <w:richText/>
                            </w:sdtPr>
                            <w:sdtContent>
                              <w:r>
                                <w:rPr>
                                  <w:color w:val="000000"/>
                                  <w:szCs w:val="24"/>
                                  <w:lang w:eastAsia="lt-LT"/>
                                </w:rPr>
                                <w:t>11.2.4</w:t>
                              </w:r>
                            </w:sdtContent>
                          </w:sdt>
                          <w:r>
                            <w:rPr>
                              <w:color w:val="000000"/>
                              <w:szCs w:val="24"/>
                              <w:lang w:eastAsia="lt-LT"/>
                            </w:rPr>
                            <w:t xml:space="preserve">. pareiškėjas nėra sunkumų patirianti įmonė, kaip ši sąvoka apibrėžta 2023 m. kovo 17 d. Europos Komisijos komunikato Nr. C(2023)1598 „Valstybės pagalbos žvejybos ir akvakultūros sektoriuje gairės“ I dalies 2 skyriaus 2.5 skirsnyje; </w:t>
                          </w:r>
                        </w:p>
                      </w:sdtContent>
                    </w:sdt>
                    <w:sdt>
                      <w:sdtPr>
                        <w:alias w:val="11.2.5 pp."/>
                        <w:tag w:val="part_248355d69cae466c89af143c7b27dab9"/>
                        <w:lock w:val="sdtLocked"/>
                        <w:richText/>
                      </w:sdtPr>
                      <w:sdtContent>
                        <w:p>
                          <w:pPr>
                            <w:spacing w:line="276" w:lineRule="auto"/>
                            <w:ind w:firstLine="709"/>
                            <w:jc w:val="both"/>
                            <w:rPr>
                              <w:color w:val="000000"/>
                              <w:szCs w:val="24"/>
                              <w:lang w:eastAsia="lt-LT"/>
                            </w:rPr>
                          </w:pPr>
                          <w:sdt>
                            <w:sdtPr>
                              <w:alias w:val="Numeris"/>
                              <w:tag w:val="nr_248355d69cae466c89af143c7b27dab9"/>
                              <w:lock w:val="sdtLocked"/>
                              <w:richText/>
                            </w:sdtPr>
                            <w:sdtContent>
                              <w:r>
                                <w:rPr>
                                  <w:color w:val="000000"/>
                                  <w:szCs w:val="24"/>
                                  <w:lang w:eastAsia="lt-LT"/>
                                </w:rPr>
                                <w:t>11.2.5</w:t>
                              </w:r>
                            </w:sdtContent>
                          </w:sdt>
                          <w:r>
                            <w:rPr>
                              <w:color w:val="000000"/>
                              <w:szCs w:val="24"/>
                              <w:lang w:eastAsia="lt-LT"/>
                            </w:rPr>
                            <w:t>. pareiškėjui neišduotas dar neįvykdytas vykdomasis raštas sumoms išieškoti pagal ankstesnį Europos Komisijos sprendimą, kuriuo pagalba skelbiama neteisėta ir nesuderinama su vidaus rinka;</w:t>
                          </w:r>
                        </w:p>
                      </w:sdtContent>
                    </w:sdt>
                    <w:sdt>
                      <w:sdtPr>
                        <w:alias w:val="11.2.6 pp."/>
                        <w:tag w:val="part_386782dc5fb943f9ada4ac74482a8c3b"/>
                        <w:lock w:val="sdtLocked"/>
                        <w:richText/>
                      </w:sdtPr>
                      <w:sdtContent>
                        <w:p>
                          <w:pPr>
                            <w:spacing w:line="276" w:lineRule="auto"/>
                            <w:ind w:firstLine="709"/>
                            <w:jc w:val="both"/>
                            <w:rPr>
                              <w:color w:val="000000"/>
                              <w:szCs w:val="24"/>
                              <w:lang w:eastAsia="en-GB"/>
                            </w:rPr>
                          </w:pPr>
                          <w:sdt>
                            <w:sdtPr>
                              <w:alias w:val="Numeris"/>
                              <w:tag w:val="nr_386782dc5fb943f9ada4ac74482a8c3b"/>
                              <w:lock w:val="sdtLocked"/>
                              <w:richText/>
                            </w:sdtPr>
                            <w:sdtContent>
                              <w:r>
                                <w:rPr>
                                  <w:color w:val="000000"/>
                                  <w:szCs w:val="24"/>
                                  <w:lang w:eastAsia="lt-LT"/>
                                </w:rPr>
                                <w:t>11.2.6</w:t>
                              </w:r>
                            </w:sdtContent>
                          </w:sdt>
                          <w:r>
                            <w:rPr>
                              <w:color w:val="000000"/>
                              <w:szCs w:val="24"/>
                              <w:lang w:eastAsia="lt-LT"/>
                            </w:rPr>
                            <w:t xml:space="preserve">. pareiškėjas nėra pateikęs paraiškos paramai dėl žvejybos veiklos sustabdymo iš Europos jūrų reikalų, žuvininkystės ir akvakultūros fondo ar kitų viešųjų lėšų. </w:t>
                          </w:r>
                        </w:p>
                      </w:sdtContent>
                    </w:sdt>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59b1a9019bf11ef8b14c5bcce136045">
                        <w:r w:rsidRPr="00532B9F">
                          <w:rPr>
                            <w:rFonts w:ascii="Arial" w:eastAsia="MS Mincho" w:hAnsi="Arial"/>
                            <w:sz w:val="20"/>
                            <w:i/>
                            <w:iCs/>
                            <w:color w:val="0000FF" w:themeColor="hyperlink"/>
                            <w:u w:val="single"/>
                          </w:rPr>
                          <w:t>D1-176</w:t>
                        </w:r>
                      </w:fldSimple>
                      <w:r>
                        <w:rPr>
                          <w:rFonts w:ascii="Arial" w:eastAsia="MS Mincho" w:hAnsi="Arial"/>
                          <w:sz w:val="20"/>
                          <w:i/>
                          <w:iCs/>
                        </w:rPr>
                        <w:t>,
2024-05-24,
paskelbta TAR 2024-05-24, i. k. 2024-09373            </w:t>
                      </w:r>
                    </w:p>
                    <w:p/>
                  </w:sdtContent>
                </w:sdt>
              </w:sdtContent>
            </w:sdt>
            <w:sdt>
              <w:sdtPr>
                <w:alias w:val="12 p."/>
                <w:tag w:val="part_93ad8c91f0dd4ae28ba405f64878d5a1"/>
                <w:lock w:val="sdtLocked"/>
                <w:richText/>
              </w:sdtPr>
              <w:sdtContent>
                <w:p>
                  <w:pPr>
                    <w:shd w:val="clear" w:color="auto" w:fill="FFFFFF"/>
                    <w:spacing w:line="276" w:lineRule="auto"/>
                    <w:ind w:firstLine="709"/>
                    <w:jc w:val="both"/>
                    <w:rPr>
                      <w:color w:val="000000"/>
                      <w:szCs w:val="24"/>
                      <w:lang w:eastAsia="en-GB"/>
                    </w:rPr>
                  </w:pPr>
                  <w:sdt>
                    <w:sdtPr>
                      <w:alias w:val="Numeris"/>
                      <w:tag w:val="nr_93ad8c91f0dd4ae28ba405f64878d5a1"/>
                      <w:lock w:val="sdtLocked"/>
                      <w:richText/>
                    </w:sdtPr>
                    <w:sdtContent>
                      <w:r>
                        <w:rPr>
                          <w:color w:val="000000"/>
                          <w:szCs w:val="24"/>
                          <w:lang w:eastAsia="en-GB"/>
                        </w:rPr>
                        <w:t>12</w:t>
                      </w:r>
                    </w:sdtContent>
                  </w:sdt>
                  <w:r>
                    <w:rPr>
                      <w:color w:val="000000"/>
                      <w:szCs w:val="24"/>
                      <w:lang w:eastAsia="en-GB"/>
                    </w:rPr>
                    <w:t>. Paraiška, neatitinkanti bent vieno iš Tvarkos aprašo 11 p. nustatytų reikalavimų, atmetama. Ar pareiškėjas atitinka Tvarkos aprašo 11.2.1 papunkčio reikalavimus, Agentūra vertina vadovaudamasi VMI ir SODRA informacinių sistemų duomenimis, 11.2.2 papunkčio reikalavimus – vadovaudamasi Informatikos ir ryšių departamento prie Lietuvos Respublikos vidaus reikalų ministerijos Įtariamųjų, kaltinamųjų ir nuteistųjų registro duomenimis, 11.2.3 papunkčio reikalavimus – vadovaudamasi Audito, apskaitos, turto vertinimo ir nemokumo valdymo tarnybos prie Lietuvos Respublikos finansų ministerijos registro duomenimis.</w:t>
                  </w:r>
                </w:p>
                <w:p>
                  <w:pPr>
                    <w:spacing w:line="276" w:lineRule="auto"/>
                    <w:ind w:firstLine="731"/>
                    <w:jc w:val="both"/>
                    <w:rPr>
                      <w:color w:val="000000"/>
                      <w:szCs w:val="24"/>
                      <w:lang w:eastAsia="en-GB"/>
                    </w:rPr>
                  </w:pPr>
                </w:p>
              </w:sdtContent>
            </w:sdt>
          </w:sdtContent>
        </w:sdt>
        <w:sdt>
          <w:sdtPr>
            <w:alias w:val="skyrius"/>
            <w:tag w:val="part_2b8de7e214b24e2e9910e933be8167a5"/>
            <w:lock w:val="sdtLocked"/>
            <w:richText/>
          </w:sdtPr>
          <w:sdtContent>
            <w:p>
              <w:pPr>
                <w:shd w:val="clear" w:color="auto" w:fill="FFFFFF"/>
                <w:jc w:val="center"/>
                <w:rPr>
                  <w:color w:val="000000"/>
                  <w:szCs w:val="24"/>
                  <w:lang w:eastAsia="en-GB"/>
                </w:rPr>
              </w:pPr>
              <w:sdt>
                <w:sdtPr>
                  <w:alias w:val="Numeris"/>
                  <w:tag w:val="nr_2b8de7e214b24e2e9910e933be8167a5"/>
                  <w:lock w:val="sdtLocked"/>
                  <w:richText/>
                </w:sdtPr>
                <w:sdtContent>
                  <w:r>
                    <w:rPr>
                      <w:b/>
                      <w:bCs/>
                      <w:color w:val="000000"/>
                      <w:szCs w:val="24"/>
                      <w:lang w:eastAsia="en-GB"/>
                    </w:rPr>
                    <w:t>IV</w:t>
                  </w:r>
                </w:sdtContent>
              </w:sdt>
              <w:r>
                <w:rPr>
                  <w:b/>
                  <w:bCs/>
                  <w:color w:val="000000"/>
                  <w:szCs w:val="24"/>
                  <w:lang w:eastAsia="en-GB"/>
                </w:rPr>
                <w:t xml:space="preserve"> SKYRIUS</w:t>
              </w:r>
            </w:p>
            <w:p>
              <w:pPr>
                <w:shd w:val="clear" w:color="auto" w:fill="FFFFFF"/>
                <w:jc w:val="center"/>
                <w:rPr>
                  <w:color w:val="000000"/>
                  <w:szCs w:val="24"/>
                  <w:lang w:eastAsia="en-GB"/>
                </w:rPr>
              </w:pPr>
              <w:sdt>
                <w:sdtPr>
                  <w:alias w:val="Pavadinimas"/>
                  <w:tag w:val="title_2b8de7e214b24e2e9910e933be8167a5"/>
                  <w:lock w:val="sdtLocked"/>
                  <w:richText/>
                </w:sdtPr>
                <w:sdtContent>
                  <w:r>
                    <w:rPr>
                      <w:b/>
                      <w:bCs/>
                      <w:color w:val="000000"/>
                      <w:szCs w:val="24"/>
                      <w:lang w:eastAsia="en-GB"/>
                    </w:rPr>
                    <w:t>PAREIŠKĖJŲ ĮSIPAREIGOJIMAI</w:t>
                  </w:r>
                </w:sdtContent>
              </w:sdt>
            </w:p>
            <w:p>
              <w:pPr>
                <w:shd w:val="clear" w:color="auto" w:fill="FFFFFF"/>
                <w:spacing w:line="276" w:lineRule="auto"/>
                <w:ind w:firstLine="731"/>
                <w:jc w:val="center"/>
                <w:rPr>
                  <w:color w:val="000000"/>
                  <w:szCs w:val="24"/>
                  <w:lang w:eastAsia="en-GB"/>
                </w:rPr>
              </w:pPr>
            </w:p>
            <w:sdt>
              <w:sdtPr>
                <w:alias w:val="13 p."/>
                <w:tag w:val="part_1e4fc5aceedf4245966d8e4a07257796"/>
                <w:lock w:val="sdtLocked"/>
                <w:richText/>
              </w:sdtPr>
              <w:sdtContent>
                <w:p>
                  <w:pPr>
                    <w:shd w:val="clear" w:color="auto" w:fill="FFFFFF"/>
                    <w:spacing w:line="276" w:lineRule="auto"/>
                    <w:ind w:firstLine="709"/>
                    <w:jc w:val="both"/>
                    <w:rPr>
                      <w:color w:val="000000"/>
                      <w:szCs w:val="24"/>
                      <w:lang w:eastAsia="en-GB"/>
                    </w:rPr>
                  </w:pPr>
                  <w:sdt>
                    <w:sdtPr>
                      <w:alias w:val="Numeris"/>
                      <w:tag w:val="nr_1e4fc5aceedf4245966d8e4a07257796"/>
                      <w:lock w:val="sdtLocked"/>
                      <w:richText/>
                    </w:sdtPr>
                    <w:sdtContent>
                      <w:r>
                        <w:rPr>
                          <w:color w:val="000000"/>
                          <w:szCs w:val="24"/>
                          <w:lang w:eastAsia="en-GB"/>
                        </w:rPr>
                        <w:t>13</w:t>
                      </w:r>
                    </w:sdtContent>
                  </w:sdt>
                  <w:r>
                    <w:rPr>
                      <w:color w:val="000000"/>
                      <w:szCs w:val="24"/>
                      <w:lang w:eastAsia="en-GB"/>
                    </w:rPr>
                    <w:t>. Pareiškėjai prisiima šiuos įsipareigojimus:</w:t>
                  </w:r>
                </w:p>
                <w:sdt>
                  <w:sdtPr>
                    <w:alias w:val="13.1 pp."/>
                    <w:tag w:val="part_c8d47dfa7e674e92b03074df42c5dcf5"/>
                    <w:lock w:val="sdtLocked"/>
                    <w:richText/>
                  </w:sdtPr>
                  <w:sdtContent>
                    <w:p>
                      <w:pPr>
                        <w:shd w:val="clear" w:color="auto" w:fill="FFFFFF"/>
                        <w:spacing w:line="276" w:lineRule="auto"/>
                        <w:ind w:firstLine="709"/>
                        <w:jc w:val="both"/>
                        <w:rPr>
                          <w:color w:val="000000"/>
                          <w:szCs w:val="24"/>
                          <w:lang w:eastAsia="en-GB"/>
                        </w:rPr>
                      </w:pPr>
                      <w:sdt>
                        <w:sdtPr>
                          <w:alias w:val="Numeris"/>
                          <w:tag w:val="nr_c8d47dfa7e674e92b03074df42c5dcf5"/>
                          <w:lock w:val="sdtLocked"/>
                          <w:richText/>
                        </w:sdtPr>
                        <w:sdtContent>
                          <w:r>
                            <w:rPr>
                              <w:color w:val="000000"/>
                              <w:szCs w:val="24"/>
                              <w:lang w:eastAsia="en-GB"/>
                            </w:rPr>
                            <w:t>13.1</w:t>
                          </w:r>
                        </w:sdtContent>
                      </w:sdt>
                      <w:r>
                        <w:rPr>
                          <w:color w:val="000000"/>
                          <w:szCs w:val="24"/>
                          <w:lang w:eastAsia="en-GB"/>
                        </w:rPr>
                        <w:t>. nuo paraiškos pateikimo dienos neperleisti žvejybos kvotos arba jos dalies kitiems ūkio subjektams;</w:t>
                      </w:r>
                    </w:p>
                  </w:sdtContent>
                </w:sdt>
                <w:sdt>
                  <w:sdtPr>
                    <w:alias w:val="13.2 pp."/>
                    <w:tag w:val="part_58511345bd384f54a3c7caeae76c3657"/>
                    <w:lock w:val="sdtLocked"/>
                    <w:richText/>
                  </w:sdtPr>
                  <w:sdtContent>
                    <w:p>
                      <w:pPr>
                        <w:spacing w:line="276" w:lineRule="auto"/>
                        <w:ind w:firstLine="709"/>
                        <w:jc w:val="both"/>
                        <w:rPr>
                          <w:color w:val="000000"/>
                          <w:szCs w:val="24"/>
                          <w:lang w:eastAsia="en-GB"/>
                        </w:rPr>
                      </w:pPr>
                      <w:sdt>
                        <w:sdtPr>
                          <w:alias w:val="Numeris"/>
                          <w:tag w:val="nr_58511345bd384f54a3c7caeae76c3657"/>
                          <w:lock w:val="sdtLocked"/>
                          <w:richText/>
                        </w:sdtPr>
                        <w:sdtContent>
                          <w:r>
                            <w:rPr>
                              <w:color w:val="000000"/>
                              <w:szCs w:val="24"/>
                              <w:lang w:eastAsia="lt-LT"/>
                            </w:rPr>
                            <w:t>13.2</w:t>
                          </w:r>
                        </w:sdtContent>
                      </w:sdt>
                      <w:r>
                        <w:rPr>
                          <w:color w:val="000000"/>
                          <w:szCs w:val="24"/>
                          <w:lang w:eastAsia="lt-LT"/>
                        </w:rPr>
                        <w:t>. per 5 darbo dienas nuo informacijos apie sprendimą skirti išmoką gavimo dienos nutraukti verslinę žvejybą visuose vidaus vandenų telkiniuose ir nebeprašyti suteikti teisę į žvejybos kvotą.  Jei po informacijos apie sprendimą skirti išmoką gavimo dienos praėjus daugiau kaip 5 darbo dienoms pareiškėjas vykdo verslinę žvejybą arba prašo suteikti teisę į žvejybos kvotą, išmokos sutartis su juo nesudaroma;</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59b1a9019bf11ef8b14c5bcce136045">
                        <w:r w:rsidRPr="00532B9F">
                          <w:rPr>
                            <w:rFonts w:ascii="Arial" w:eastAsia="MS Mincho" w:hAnsi="Arial"/>
                            <w:sz w:val="20"/>
                            <w:i/>
                            <w:iCs/>
                            <w:color w:val="0000FF" w:themeColor="hyperlink"/>
                            <w:u w:val="single"/>
                          </w:rPr>
                          <w:t>D1-176</w:t>
                        </w:r>
                      </w:fldSimple>
                      <w:r>
                        <w:rPr>
                          <w:rFonts w:ascii="Arial" w:eastAsia="MS Mincho" w:hAnsi="Arial"/>
                          <w:sz w:val="20"/>
                          <w:i/>
                          <w:iCs/>
                        </w:rPr>
                        <w:t>,
2024-05-24,
paskelbta TAR 2024-05-24, i. k. 2024-09373            </w:t>
                      </w:r>
                    </w:p>
                    <w:p/>
                  </w:sdtContent>
                </w:sdt>
                <w:sdt>
                  <w:sdtPr>
                    <w:alias w:val="13.3 pp."/>
                    <w:tag w:val="part_0276eda09ebc45b0b030a23c245ab13a"/>
                    <w:lock w:val="sdtLocked"/>
                    <w:richText/>
                  </w:sdtPr>
                  <w:sdtContent>
                    <w:p>
                      <w:pPr>
                        <w:shd w:val="clear" w:color="auto" w:fill="FFFFFF"/>
                        <w:spacing w:line="276" w:lineRule="auto"/>
                        <w:ind w:firstLine="709"/>
                        <w:jc w:val="both"/>
                        <w:rPr>
                          <w:color w:val="000000"/>
                          <w:szCs w:val="24"/>
                          <w:lang w:eastAsia="en-GB"/>
                        </w:rPr>
                      </w:pPr>
                      <w:sdt>
                        <w:sdtPr>
                          <w:alias w:val="Numeris"/>
                          <w:tag w:val="nr_0276eda09ebc45b0b030a23c245ab13a"/>
                          <w:lock w:val="sdtLocked"/>
                          <w:richText/>
                        </w:sdtPr>
                        <w:sdtContent>
                          <w:r>
                            <w:rPr>
                              <w:color w:val="000000"/>
                              <w:szCs w:val="24"/>
                              <w:lang w:eastAsia="en-GB"/>
                            </w:rPr>
                            <w:t>13.3</w:t>
                          </w:r>
                        </w:sdtContent>
                      </w:sdt>
                      <w:r>
                        <w:rPr>
                          <w:color w:val="000000"/>
                          <w:szCs w:val="24"/>
                          <w:lang w:eastAsia="en-GB"/>
                        </w:rPr>
                        <w:t xml:space="preserve">. sutikti, kad Agentūros atstovai patikrintų pateiktus duomenis (išskyrus asmens duomenis), gautų papildomos informacijos apie išmoką už teisę į žvejybos kvotą nuo paraiškos pateikimo iki </w:t>
                      </w:r>
                      <w:r>
                        <w:rPr>
                          <w:color w:val="000000"/>
                          <w:szCs w:val="24"/>
                          <w:shd w:val="clear" w:color="auto" w:fill="FFFFFF"/>
                          <w:lang w:eastAsia="en-GB"/>
                        </w:rPr>
                        <w:t>lėšų išmokėjimo dienos</w:t>
                      </w:r>
                      <w:r>
                        <w:rPr>
                          <w:color w:val="000000"/>
                          <w:szCs w:val="24"/>
                          <w:lang w:eastAsia="en-GB"/>
                        </w:rPr>
                        <w:t>;</w:t>
                      </w:r>
                    </w:p>
                  </w:sdtContent>
                </w:sdt>
                <w:sdt>
                  <w:sdtPr>
                    <w:alias w:val="13.4 pp."/>
                    <w:tag w:val="part_4fff91952c184e679082b76c3381741c"/>
                    <w:lock w:val="sdtLocked"/>
                    <w:richText/>
                  </w:sdtPr>
                  <w:sdtContent>
                    <w:p>
                      <w:pPr>
                        <w:spacing w:line="276" w:lineRule="auto"/>
                        <w:ind w:firstLine="709"/>
                        <w:jc w:val="both"/>
                        <w:rPr>
                          <w:color w:val="000000"/>
                          <w:szCs w:val="24"/>
                          <w:lang w:eastAsia="en-GB"/>
                        </w:rPr>
                      </w:pPr>
                      <w:sdt>
                        <w:sdtPr>
                          <w:alias w:val="Numeris"/>
                          <w:tag w:val="nr_4fff91952c184e679082b76c3381741c"/>
                          <w:lock w:val="sdtLocked"/>
                          <w:richText/>
                        </w:sdtPr>
                        <w:sdtContent>
                          <w:r>
                            <w:rPr>
                              <w:color w:val="000000"/>
                              <w:szCs w:val="24"/>
                              <w:lang w:eastAsia="en-GB"/>
                            </w:rPr>
                            <w:t>13.4</w:t>
                          </w:r>
                        </w:sdtContent>
                      </w:sdt>
                      <w:r>
                        <w:rPr>
                          <w:color w:val="000000"/>
                          <w:szCs w:val="24"/>
                          <w:lang w:eastAsia="en-GB"/>
                        </w:rPr>
                        <w:t>. sutikti, kad asmenys, įskaitant nepriklausomus ekspertus, turintys teisę audituoti, kontroliuoti, tikrintų, kaip yra laikomasi sąlygų ir prisiimtų įsipareigojimų, už ką buvo skirta išmoka, bei sudaryti tam sąlygas penkerius metus nuo paraiškos pateikimo dienos.</w:t>
                      </w:r>
                    </w:p>
                    <w:p>
                      <w:pPr>
                        <w:shd w:val="clear" w:color="auto" w:fill="FFFFFF"/>
                        <w:spacing w:line="276" w:lineRule="auto"/>
                        <w:ind w:firstLine="709"/>
                        <w:jc w:val="both"/>
                        <w:rPr>
                          <w:color w:val="000000"/>
                          <w:szCs w:val="24"/>
                          <w:lang w:eastAsia="en-GB"/>
                        </w:rPr>
                      </w:pPr>
                    </w:p>
                  </w:sdtContent>
                </w:sdt>
              </w:sdtContent>
            </w:sdt>
          </w:sdtContent>
        </w:sdt>
        <w:sdt>
          <w:sdtPr>
            <w:alias w:val="skyrius"/>
            <w:tag w:val="part_4467fa61f14e464ab76ec304ec331249"/>
            <w:lock w:val="sdtLocked"/>
            <w:richText/>
          </w:sdtPr>
          <w:sdtContent>
            <w:p>
              <w:pPr>
                <w:shd w:val="clear" w:color="auto" w:fill="FFFFFF"/>
                <w:jc w:val="center"/>
                <w:rPr>
                  <w:color w:val="000000"/>
                  <w:szCs w:val="24"/>
                  <w:lang w:val="en-GB" w:eastAsia="en-GB"/>
                </w:rPr>
              </w:pPr>
              <w:sdt>
                <w:sdtPr>
                  <w:alias w:val="Numeris"/>
                  <w:tag w:val="nr_4467fa61f14e464ab76ec304ec331249"/>
                  <w:lock w:val="sdtLocked"/>
                  <w:richText/>
                </w:sdtPr>
                <w:sdtContent>
                  <w:r>
                    <w:rPr>
                      <w:b/>
                      <w:bCs/>
                      <w:color w:val="000000"/>
                      <w:szCs w:val="24"/>
                      <w:lang w:eastAsia="en-GB"/>
                    </w:rPr>
                    <w:t>V</w:t>
                  </w:r>
                </w:sdtContent>
              </w:sdt>
              <w:r>
                <w:rPr>
                  <w:b/>
                  <w:bCs/>
                  <w:color w:val="000000"/>
                  <w:szCs w:val="24"/>
                  <w:lang w:eastAsia="en-GB"/>
                </w:rPr>
                <w:t xml:space="preserve"> SKYRIUS</w:t>
              </w:r>
            </w:p>
            <w:p>
              <w:pPr>
                <w:shd w:val="clear" w:color="auto" w:fill="FFFFFF"/>
                <w:jc w:val="center"/>
                <w:rPr>
                  <w:color w:val="000000"/>
                  <w:szCs w:val="24"/>
                  <w:lang w:val="en-GB" w:eastAsia="en-GB"/>
                </w:rPr>
              </w:pPr>
              <w:sdt>
                <w:sdtPr>
                  <w:alias w:val="Pavadinimas"/>
                  <w:tag w:val="title_4467fa61f14e464ab76ec304ec331249"/>
                  <w:lock w:val="sdtLocked"/>
                  <w:richText/>
                </w:sdtPr>
                <w:sdtContent>
                  <w:r>
                    <w:rPr>
                      <w:b/>
                      <w:bCs/>
                      <w:color w:val="000000"/>
                      <w:szCs w:val="24"/>
                      <w:lang w:eastAsia="en-GB"/>
                    </w:rPr>
                    <w:t>IŠMOKOS DYDIS</w:t>
                  </w:r>
                  <w:r>
                    <w:rPr>
                      <w:b/>
                      <w:bCs/>
                      <w:color w:val="000000"/>
                      <w:szCs w:val="24"/>
                      <w:shd w:val="clear" w:color="auto" w:fill="FFFFFF"/>
                      <w:lang w:eastAsia="en-GB"/>
                    </w:rPr>
                    <w:t xml:space="preserve"> IR APSKAIČIAVIMO METODIKA</w:t>
                  </w:r>
                </w:sdtContent>
              </w:sdt>
            </w:p>
            <w:p>
              <w:pPr>
                <w:shd w:val="clear" w:color="auto" w:fill="FFFFFF"/>
                <w:spacing w:line="276" w:lineRule="auto"/>
                <w:jc w:val="center"/>
                <w:rPr>
                  <w:b/>
                  <w:bCs/>
                  <w:color w:val="000000"/>
                  <w:szCs w:val="24"/>
                  <w:lang w:eastAsia="en-GB"/>
                </w:rPr>
              </w:pPr>
            </w:p>
            <w:sdt>
              <w:sdtPr>
                <w:alias w:val="14 p."/>
                <w:tag w:val="part_3277c51a25aa448a8f159cf29bd8fe23"/>
                <w:lock w:val="sdtLocked"/>
                <w:richText/>
              </w:sdtPr>
              <w:sdtContent>
                <w:p>
                  <w:pPr>
                    <w:shd w:val="clear" w:color="auto" w:fill="FFFFFF"/>
                    <w:spacing w:line="276" w:lineRule="auto"/>
                    <w:ind w:firstLine="709"/>
                    <w:jc w:val="both"/>
                    <w:rPr>
                      <w:szCs w:val="24"/>
                      <w:lang w:eastAsia="en-GB"/>
                    </w:rPr>
                  </w:pPr>
                  <w:sdt>
                    <w:sdtPr>
                      <w:alias w:val="Numeris"/>
                      <w:tag w:val="nr_3277c51a25aa448a8f159cf29bd8fe23"/>
                      <w:lock w:val="sdtLocked"/>
                      <w:richText/>
                    </w:sdtPr>
                    <w:sdtContent>
                      <w:r>
                        <w:rPr>
                          <w:color w:val="000000"/>
                          <w:szCs w:val="24"/>
                          <w:lang w:eastAsia="en-GB"/>
                        </w:rPr>
                        <w:t>14</w:t>
                      </w:r>
                    </w:sdtContent>
                  </w:sdt>
                  <w:r>
                    <w:rPr>
                      <w:color w:val="000000"/>
                      <w:szCs w:val="24"/>
                      <w:lang w:eastAsia="en-GB"/>
                    </w:rPr>
                    <w:t xml:space="preserve">. </w:t>
                  </w:r>
                  <w:r>
                    <w:rPr>
                      <w:color w:val="000000"/>
                      <w:szCs w:val="24"/>
                      <w:lang w:eastAsia="lt-LT"/>
                    </w:rPr>
                    <w:t>Išmoka mokama iš Lietuvos Respublikos aplinkos ministerijai Žuvininkystės įstatymo įgyvendinimui skirtų valstybės biudžeto asignavimų</w:t>
                  </w:r>
                  <w:r>
                    <w:rPr>
                      <w:color w:val="000000"/>
                      <w:szCs w:val="24"/>
                      <w:lang w:eastAsia="en-GB"/>
                    </w:rPr>
                    <w:t xml:space="preserve"> </w:t>
                  </w:r>
                  <w:r>
                    <w:rPr>
                      <w:szCs w:val="24"/>
                      <w:lang w:eastAsia="lt-LT"/>
                    </w:rPr>
                    <w:t>2024</w:t>
                  </w:r>
                  <w:r>
                    <w:rPr>
                      <w:color w:val="000000"/>
                      <w:szCs w:val="24"/>
                      <w:lang w:eastAsia="en-GB"/>
                    </w:rPr>
                    <w:t>–</w:t>
                  </w:r>
                  <w:r>
                    <w:rPr>
                      <w:szCs w:val="24"/>
                      <w:lang w:eastAsia="lt-LT"/>
                    </w:rPr>
                    <w:t>2026 m. Ūkio subjektams, pateikusiems paraiškas 2024</w:t>
                  </w:r>
                  <w:r>
                    <w:rPr>
                      <w:color w:val="000000"/>
                      <w:szCs w:val="24"/>
                      <w:lang w:eastAsia="en-GB"/>
                    </w:rPr>
                    <w:t>–</w:t>
                  </w:r>
                  <w:r>
                    <w:rPr>
                      <w:szCs w:val="24"/>
                      <w:lang w:eastAsia="lt-LT"/>
                    </w:rPr>
                    <w:t>2025 m., išmokama 100 procentų Tvarkos apraše nustatyta tvarka apskaičiuotos išmokos sumos, pateikusiems paraiškas 2026 m. – 80 procentų.</w:t>
                  </w:r>
                </w:p>
              </w:sdtContent>
            </w:sdt>
            <w:sdt>
              <w:sdtPr>
                <w:alias w:val="15 p."/>
                <w:tag w:val="part_93456441cf2442d28962b6facc8ad68f"/>
                <w:lock w:val="sdtLocked"/>
                <w:richText/>
              </w:sdtPr>
              <w:sdtContent>
                <w:p>
                  <w:pPr>
                    <w:spacing w:line="276" w:lineRule="auto"/>
                    <w:ind w:firstLine="709"/>
                    <w:jc w:val="both"/>
                    <w:rPr>
                      <w:color w:val="000000"/>
                      <w:szCs w:val="24"/>
                      <w:lang w:eastAsia="en-GB"/>
                    </w:rPr>
                  </w:pPr>
                  <w:sdt>
                    <w:sdtPr>
                      <w:alias w:val="Numeris"/>
                      <w:tag w:val="nr_93456441cf2442d28962b6facc8ad68f"/>
                      <w:lock w:val="sdtLocked"/>
                      <w:richText/>
                    </w:sdtPr>
                    <w:sdtContent>
                      <w:r>
                        <w:rPr>
                          <w:color w:val="000000"/>
                          <w:szCs w:val="24"/>
                          <w:lang w:eastAsia="en-GB"/>
                        </w:rPr>
                        <w:t>15</w:t>
                      </w:r>
                    </w:sdtContent>
                  </w:sdt>
                  <w:r>
                    <w:rPr>
                      <w:color w:val="000000"/>
                      <w:szCs w:val="24"/>
                      <w:lang w:eastAsia="en-GB"/>
                    </w:rPr>
                    <w:t>. Didžiausia galima išmokos suma (Eur) Tvarkos apraše nurodytiems pareiškėjams apskaičiuojama pagal formulę:</w:t>
                  </w:r>
                </w:p>
                <w:p>
                  <w:pPr>
                    <w:spacing w:line="276" w:lineRule="auto"/>
                    <w:ind w:firstLine="709"/>
                    <w:jc w:val="both"/>
                    <w:rPr>
                      <w:color w:val="000000"/>
                      <w:szCs w:val="24"/>
                      <w:lang w:eastAsia="en-GB"/>
                    </w:rPr>
                  </w:pPr>
                  <w:r>
                    <w:rPr>
                      <w:bCs/>
                      <w:color w:val="000000"/>
                      <w:szCs w:val="24"/>
                      <w:lang w:eastAsia="en-GB"/>
                    </w:rPr>
                    <w:t xml:space="preserve">I = </w:t>
                  </w:r>
                  <w:r>
                    <w:rPr>
                      <w:bCs/>
                      <w:i/>
                      <w:iCs/>
                      <w:color w:val="000000"/>
                      <w:szCs w:val="24"/>
                      <w:lang w:eastAsia="en-GB"/>
                    </w:rPr>
                    <w:t xml:space="preserve">p </w:t>
                  </w:r>
                  <w:r>
                    <w:rPr>
                      <w:bCs/>
                      <w:i/>
                      <w:color w:val="000000"/>
                      <w:szCs w:val="24"/>
                      <w:lang w:eastAsia="en-GB"/>
                    </w:rPr>
                    <w:t>+ t + d+ e</w:t>
                  </w:r>
                  <w:r>
                    <w:rPr>
                      <w:bCs/>
                      <w:color w:val="000000"/>
                      <w:szCs w:val="24"/>
                      <w:lang w:eastAsia="en-GB"/>
                    </w:rPr>
                    <w:t xml:space="preserve">, </w:t>
                  </w:r>
                  <w:r>
                    <w:rPr>
                      <w:color w:val="000000"/>
                      <w:szCs w:val="24"/>
                      <w:lang w:eastAsia="en-GB"/>
                    </w:rPr>
                    <w:t>kur:</w:t>
                  </w:r>
                </w:p>
                <w:p>
                  <w:pPr>
                    <w:spacing w:line="276" w:lineRule="auto"/>
                    <w:ind w:firstLine="709"/>
                    <w:jc w:val="both"/>
                    <w:rPr>
                      <w:color w:val="000000"/>
                      <w:szCs w:val="24"/>
                      <w:lang w:eastAsia="en-GB"/>
                    </w:rPr>
                  </w:pPr>
                  <w:r>
                    <w:rPr>
                      <w:bCs/>
                      <w:color w:val="000000"/>
                      <w:szCs w:val="24"/>
                      <w:lang w:eastAsia="en-GB"/>
                    </w:rPr>
                    <w:t xml:space="preserve">I – </w:t>
                  </w:r>
                  <w:r>
                    <w:rPr>
                      <w:color w:val="000000"/>
                      <w:szCs w:val="24"/>
                      <w:lang w:eastAsia="en-GB"/>
                    </w:rPr>
                    <w:t>išmoka;</w:t>
                  </w:r>
                </w:p>
                <w:p>
                  <w:pPr>
                    <w:spacing w:line="276" w:lineRule="auto"/>
                    <w:ind w:firstLine="709"/>
                    <w:jc w:val="both"/>
                    <w:rPr>
                      <w:color w:val="000000"/>
                      <w:szCs w:val="24"/>
                    </w:rPr>
                  </w:pPr>
                  <w:r>
                    <w:rPr>
                      <w:i/>
                      <w:iCs/>
                      <w:color w:val="000000"/>
                    </w:rPr>
                    <w:t xml:space="preserve">p – </w:t>
                  </w:r>
                  <w:r>
                    <w:rPr>
                      <w:color w:val="000000"/>
                    </w:rPr>
                    <w:t xml:space="preserve">pareiškėjo 2018–2022 m. vidaus vandenų telkinyje (telkiniuose), kuriame (kuriuose) turėjo teisę į žvejybą, iš žvejybos veiklos turėtos pajamos, apskaičiuotos pagal pareiškėjo Duomenų apie žvejybą vidaus vandenyse teikimo tvarkos apraše, patvirtintame Lietuvos Respublikos aplinkos ministro 2009 m. rugsėjo 17 d. įsakymu Nr. D1-550 „Dėl Duomenų apie žvejybą vidaus vandenyse teikimo tvarkos aprašo patvirtinimo“ (toliau – Duomenų teikimo tvarka), nustatyta tvarka deklaruotą sugautų žuvų kiekį pagal žuvų rūšis (kg) dauginant iš to ūkio subjekto deklaruotos vidutinės tų žuvų rūšių pirminio pardavimo kainos (Eur/kg) 2022 m., kai vertinamos pajamos vykdant specializuotą ungurių, seliavų ir upinių nėgių žvejybą, arba vidutinės tų žuvų rūšių pirminio pardavimo kainos (Eur/kg) kalendoriniais metais, esančiais prieš metus, kuriais pateikta paraiška, kai vertinamos pajamos iš verslinės žvejybos Kuršių mariose, polderiuose, ir Nemuno žemupyje (toliau – pajamos). Vidutinė ūkio subjekto atitinkamos  žuvų rūšies pirminio pardavimo kaina (Eur/kg) apskaičiuojama sudedant visas to ūkio subjekto tos žuvų rūšies pirminio pardavimo kainas, deklaruotas vadovaujantis Duomenų teikimo tvarka konkrečiais kalendoriniais metais, ir padalijant iš pagal Duomenų teikimo tvarką pateiktų deklaracijų skaičiaus tais kalendoriniais metais. Vidutinė pirminio pardavimo kaina (Eur/kg) apvalinama vieno euro cento tikslumu. </w:t>
                  </w:r>
                  <w:r>
                    <w:t>Kai pirminio pardavimo kaina nedeklaruota, sugautų žuvų kiekis dauginamas iš kitų ūkio subjektų atitinkamų metų vidutinių pirminio pardavimo kainų vidurkio pagal žuvų rūšis</w:t>
                  </w:r>
                  <w:r>
                    <w:rPr>
                      <w:szCs w:val="24"/>
                    </w:rPr>
                    <w:t>;</w:t>
                  </w:r>
                  <w:r>
                    <w:rPr>
                      <w:color w:val="000000"/>
                      <w:szCs w:val="24"/>
                    </w:rPr>
                    <w:t xml:space="preserve"> </w:t>
                  </w:r>
                </w:p>
                <w:p>
                  <w:pPr>
                    <w:spacing w:line="276" w:lineRule="auto"/>
                    <w:ind w:firstLine="709"/>
                    <w:jc w:val="both"/>
                    <w:rPr>
                      <w:color w:val="000000"/>
                      <w:szCs w:val="24"/>
                      <w:shd w:val="clear" w:color="auto" w:fill="FFFFFF"/>
                    </w:rPr>
                  </w:pPr>
                  <w:r>
                    <w:rPr>
                      <w:bCs/>
                      <w:i/>
                      <w:iCs/>
                      <w:color w:val="000000"/>
                      <w:szCs w:val="24"/>
                      <w:lang w:eastAsia="en-GB"/>
                    </w:rPr>
                    <w:t xml:space="preserve">t – </w:t>
                  </w:r>
                  <w:r>
                    <w:rPr>
                      <w:bCs/>
                      <w:iCs/>
                      <w:color w:val="000000"/>
                      <w:szCs w:val="24"/>
                      <w:lang w:eastAsia="en-GB"/>
                    </w:rPr>
                    <w:t xml:space="preserve">pareiškėjo su žvejybos veikla susijusio </w:t>
                  </w:r>
                  <w:r>
                    <w:rPr>
                      <w:color w:val="000000"/>
                      <w:szCs w:val="24"/>
                      <w:lang w:eastAsia="lt-LT"/>
                    </w:rPr>
                    <w:t>ilgalaikio materialaus turto – žvejybos laivų,</w:t>
                  </w:r>
                  <w:r>
                    <w:rPr>
                      <w:color w:val="000000"/>
                      <w:szCs w:val="24"/>
                      <w:lang w:eastAsia="en-GB"/>
                    </w:rPr>
                    <w:t xml:space="preserve"> </w:t>
                  </w:r>
                  <w:r>
                    <w:rPr>
                      <w:color w:val="000000"/>
                      <w:szCs w:val="24"/>
                      <w:lang w:eastAsia="lt-LT"/>
                    </w:rPr>
                    <w:t>įrašytų į Vidaus vandenų žvejybos laivų sąrašą, patvirtintą Žuvininkystės tarnybos prie Lietuvos Respublikos žemės ūkio ministerijos direktoriaus 2010 m. gegužės 19 d. įsakymu Nr. V1-46 „Dėl Vidaus vandenų žvejybos laivų sąrašo patvirtinimo“ (toliau – Vidaus vandenų žvejybos laivų sąrašas), ir jų dalių, jei pagal taikomą apskaitą jos laikomos ilgalaikiu materialiuoju turtu, ir žvejybos įrankių,</w:t>
                  </w:r>
                  <w:r>
                    <w:rPr>
                      <w:szCs w:val="24"/>
                    </w:rPr>
                    <w:t xml:space="preserve"> </w:t>
                  </w:r>
                  <w:r>
                    <w:rPr>
                      <w:color w:val="000000"/>
                      <w:szCs w:val="24"/>
                      <w:lang w:eastAsia="lt-LT"/>
                    </w:rPr>
                    <w:t>kuriais ūkio subjektas turėjo teisę žvejoti pagal jam skirtas žvejybos kvotas, likutinė vertė (Eur), šio turto transportavimo iki sunaikinimo vietos ir sunaikinimo išlaidos (Eur). Sunaikinimu laikomas ir išmontavimas, ir supjaustymas</w:t>
                  </w:r>
                  <w:r>
                    <w:rPr>
                      <w:color w:val="000000"/>
                      <w:szCs w:val="24"/>
                      <w:lang w:eastAsia="en-GB"/>
                    </w:rPr>
                    <w:t>;</w:t>
                  </w:r>
                </w:p>
                <w:p>
                  <w:pPr>
                    <w:spacing w:line="276" w:lineRule="auto"/>
                    <w:ind w:firstLine="709"/>
                    <w:jc w:val="both"/>
                    <w:rPr>
                      <w:bCs/>
                      <w:i/>
                      <w:iCs/>
                      <w:color w:val="000000"/>
                      <w:szCs w:val="24"/>
                      <w:lang w:eastAsia="en-GB"/>
                    </w:rPr>
                  </w:pPr>
                  <w:r>
                    <w:rPr>
                      <w:bCs/>
                      <w:i/>
                      <w:iCs/>
                      <w:szCs w:val="24"/>
                      <w:lang w:eastAsia="en-GB"/>
                    </w:rPr>
                    <w:t xml:space="preserve">d – </w:t>
                  </w:r>
                  <w:r>
                    <w:rPr>
                      <w:bCs/>
                      <w:szCs w:val="24"/>
                      <w:lang w:eastAsia="en-GB"/>
                    </w:rPr>
                    <w:t>darbuotojų atleidimo išlaidos (Eur), kurios apskaičiuojamos</w:t>
                  </w:r>
                  <w:r>
                    <w:rPr>
                      <w:bCs/>
                      <w:i/>
                      <w:iCs/>
                      <w:szCs w:val="24"/>
                      <w:lang w:eastAsia="en-GB"/>
                    </w:rPr>
                    <w:t xml:space="preserve"> </w:t>
                  </w:r>
                  <w:r>
                    <w:rPr>
                      <w:bCs/>
                      <w:szCs w:val="24"/>
                      <w:lang w:eastAsia="en-GB"/>
                    </w:rPr>
                    <w:t>taip: kiekvienam ūkio subjekto darbuotojui, kuris atleidžiamas dėl verslinės žvejybos nutraukimo, išmokama dviejų jo vidutinio darbo užmokesčių dydžio išeitinė išmoka; jeigu darbo santykiai tęsėsi trumpiau kaip vienus metus, – vieno jo vidutinio darbo užmokesčio dydžio išeitinė išmoka</w:t>
                  </w:r>
                  <w:r>
                    <w:rPr>
                      <w:bCs/>
                      <w:iCs/>
                      <w:color w:val="000000"/>
                      <w:szCs w:val="24"/>
                      <w:lang w:eastAsia="en-GB"/>
                    </w:rPr>
                    <w:t>;</w:t>
                  </w:r>
                </w:p>
                <w:p>
                  <w:pPr>
                    <w:spacing w:line="276" w:lineRule="auto"/>
                    <w:ind w:firstLine="709"/>
                    <w:jc w:val="both"/>
                    <w:rPr>
                      <w:b/>
                      <w:bCs/>
                      <w:color w:val="000000"/>
                      <w:szCs w:val="24"/>
                    </w:rPr>
                  </w:pPr>
                  <w:r>
                    <w:rPr>
                      <w:i/>
                      <w:iCs/>
                      <w:color w:val="000000"/>
                      <w:szCs w:val="24"/>
                      <w:lang w:eastAsia="en-GB"/>
                    </w:rPr>
                    <w:t xml:space="preserve">e – </w:t>
                  </w:r>
                  <w:r>
                    <w:rPr>
                      <w:szCs w:val="24"/>
                      <w:lang w:eastAsia="lt-LT"/>
                    </w:rPr>
                    <w:t xml:space="preserve">nuostoliai (Eur), atsirandantys dėl finansinių įsipareigojimų, </w:t>
                  </w:r>
                  <w:r>
                    <w:rPr>
                      <w:color w:val="000000"/>
                      <w:szCs w:val="24"/>
                      <w:lang w:eastAsia="lt-LT"/>
                    </w:rPr>
                    <w:t>įgyvendinant Lietuvos žuvininkystės sektoriaus 2014</w:t>
                  </w:r>
                  <w:r>
                    <w:rPr>
                      <w:color w:val="000000"/>
                      <w:szCs w:val="24"/>
                      <w:lang w:eastAsia="en-GB"/>
                    </w:rPr>
                    <w:t>–</w:t>
                  </w:r>
                  <w:r>
                    <w:rPr>
                      <w:color w:val="000000"/>
                      <w:szCs w:val="24"/>
                      <w:lang w:eastAsia="lt-LT"/>
                    </w:rPr>
                    <w:t>2020 metų veiksmų programos priemones,</w:t>
                  </w:r>
                  <w:r>
                    <w:rPr>
                      <w:color w:val="000000"/>
                      <w:szCs w:val="24"/>
                      <w:lang w:eastAsia="en-GB"/>
                    </w:rPr>
                    <w:t xml:space="preserve"> nevykdymo priėmus sprendimą skirti išmoką. Nuostolių dydis lygus </w:t>
                  </w:r>
                  <w:r>
                    <w:rPr>
                      <w:color w:val="000000"/>
                      <w:szCs w:val="24"/>
                    </w:rPr>
                    <w:t>Nacionalinės mokėjimo agentūros prie Žemės ūkio ministerijos ūkio subjektui nustatytų sankcijų dydžiui, kuris apskaičiuojamas vadovaujantis Sankcijų už teisės aktų nuostatų pažeidimus įgyvendinant Lietuvos žuvininkystės sektoriaus 2014–2020 metų veiksmų programos priemones taikymo metodika, patvirtinta Lietuvos Respublikos žemės ūkio ministro 2015 m. rugpjūčio 13 d. įsakymu Nr. 3D-639 „Dėl Sankcijų už teisės aktų nuostatų pažeidimus įgyvendinant Lietuvos žuvininkystės sektoriaus 2014</w:t>
                  </w:r>
                  <w:r>
                    <w:rPr>
                      <w:color w:val="000000"/>
                      <w:szCs w:val="24"/>
                      <w:lang w:eastAsia="en-GB"/>
                    </w:rPr>
                    <w:t>–</w:t>
                  </w:r>
                  <w:r>
                    <w:rPr>
                      <w:color w:val="000000"/>
                      <w:szCs w:val="24"/>
                    </w:rPr>
                    <w:t xml:space="preserve">2020 metų veiksmų programos priemones taikymo metodikos patvirtinimo“.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59b1a9019bf11ef8b14c5bcce136045">
                    <w:r w:rsidRPr="00532B9F">
                      <w:rPr>
                        <w:rFonts w:ascii="Arial" w:eastAsia="MS Mincho" w:hAnsi="Arial"/>
                        <w:sz w:val="20"/>
                        <w:i/>
                        <w:iCs/>
                        <w:color w:val="0000FF" w:themeColor="hyperlink"/>
                        <w:u w:val="single"/>
                      </w:rPr>
                      <w:t>D1-176</w:t>
                    </w:r>
                  </w:fldSimple>
                  <w:r>
                    <w:rPr>
                      <w:rFonts w:ascii="Arial" w:eastAsia="MS Mincho" w:hAnsi="Arial"/>
                      <w:sz w:val="20"/>
                      <w:i/>
                      <w:iCs/>
                    </w:rPr>
                    <w:t>,
2024-05-24,
paskelbta TAR 2024-05-24, i. k. 2024-09373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4d57106c0d11efafbb8694c098bac5">
                    <w:r w:rsidRPr="00532B9F">
                      <w:rPr>
                        <w:rFonts w:ascii="Arial" w:eastAsia="MS Mincho" w:hAnsi="Arial"/>
                        <w:sz w:val="20"/>
                        <w:i/>
                        <w:iCs/>
                        <w:color w:val="0000FF" w:themeColor="hyperlink"/>
                        <w:u w:val="single"/>
                      </w:rPr>
                      <w:t>D1-294</w:t>
                    </w:r>
                  </w:fldSimple>
                  <w:r>
                    <w:rPr>
                      <w:rFonts w:ascii="Arial" w:eastAsia="MS Mincho" w:hAnsi="Arial"/>
                      <w:sz w:val="20"/>
                      <w:i/>
                      <w:iCs/>
                    </w:rPr>
                    <w:t>,
2024-09-06,
paskelbta TAR 2024-09-06, i. k. 2024-15724            </w:t>
                  </w:r>
                </w:p>
                <w:p/>
              </w:sdtContent>
            </w:sdt>
            <w:sdt>
              <w:sdtPr>
                <w:alias w:val="16 p."/>
                <w:tag w:val="part_da278c9d651e4329bf93450cbd8aae3a"/>
                <w:lock w:val="sdtLocked"/>
                <w:richText/>
              </w:sdtPr>
              <w:sdtContent>
                <w:p>
                  <w:pPr>
                    <w:spacing w:line="276" w:lineRule="auto"/>
                    <w:ind w:firstLine="709"/>
                    <w:jc w:val="both"/>
                    <w:textAlignment w:val="baseline"/>
                    <w:rPr>
                      <w:color w:val="000000"/>
                      <w:szCs w:val="24"/>
                      <w:lang w:eastAsia="en-GB"/>
                    </w:rPr>
                  </w:pPr>
                  <w:sdt>
                    <w:sdtPr>
                      <w:alias w:val="Numeris"/>
                      <w:tag w:val="nr_da278c9d651e4329bf93450cbd8aae3a"/>
                      <w:lock w:val="sdtLocked"/>
                      <w:richText/>
                    </w:sdtPr>
                    <w:sdtContent>
                      <w:r>
                        <w:rPr>
                          <w:color w:val="000000"/>
                          <w:szCs w:val="24"/>
                          <w:lang w:eastAsia="en-GB"/>
                        </w:rPr>
                        <w:t>16</w:t>
                      </w:r>
                    </w:sdtContent>
                  </w:sdt>
                  <w:r>
                    <w:rPr>
                      <w:color w:val="000000"/>
                      <w:szCs w:val="24"/>
                      <w:lang w:eastAsia="en-GB"/>
                    </w:rPr>
                    <w:t>. Papildomos išmokų apskaičiavimo sąlygos:</w:t>
                  </w:r>
                </w:p>
                <w:sdt>
                  <w:sdtPr>
                    <w:alias w:val="16.1 pp."/>
                    <w:tag w:val="part_e965e0b6db9c4b85bf59535c169db0e6"/>
                    <w:lock w:val="sdtLocked"/>
                    <w:richText/>
                  </w:sdtPr>
                  <w:sdtContent>
                    <w:p>
                      <w:pPr>
                        <w:spacing w:line="276" w:lineRule="auto"/>
                        <w:ind w:firstLine="709"/>
                        <w:jc w:val="both"/>
                        <w:textAlignment w:val="baseline"/>
                        <w:rPr>
                          <w:color w:val="000000"/>
                          <w:szCs w:val="24"/>
                          <w:lang w:eastAsia="en-GB"/>
                        </w:rPr>
                      </w:pPr>
                      <w:sdt>
                        <w:sdtPr>
                          <w:alias w:val="Numeris"/>
                          <w:tag w:val="nr_e965e0b6db9c4b85bf59535c169db0e6"/>
                          <w:lock w:val="sdtLocked"/>
                          <w:richText/>
                        </w:sdtPr>
                        <w:sdtContent>
                          <w:r>
                            <w:rPr>
                              <w:color w:val="000000"/>
                              <w:szCs w:val="24"/>
                              <w:lang w:eastAsia="lt-LT"/>
                            </w:rPr>
                            <w:t>16.1</w:t>
                          </w:r>
                        </w:sdtContent>
                      </w:sdt>
                      <w:r>
                        <w:rPr>
                          <w:color w:val="000000"/>
                          <w:szCs w:val="24"/>
                          <w:lang w:eastAsia="lt-LT"/>
                        </w:rPr>
                        <w:t>. Į pajamas neįtraukiamos ūkio subjekto sužvejotos mažesnės negu nustatyto minimalaus (verslinio) dydžio žuvys, viršijančios nustatytą leidžiamą šalutinį laimikį, ir žuvys, kurių verslinė žvejyba 2018–2022 metais visiškai ar tuo metu</w:t>
                      </w:r>
                      <w:r>
                        <w:rPr>
                          <w:b/>
                          <w:bCs/>
                          <w:color w:val="000000"/>
                          <w:szCs w:val="24"/>
                          <w:lang w:eastAsia="lt-LT"/>
                        </w:rPr>
                        <w:t xml:space="preserve"> </w:t>
                      </w:r>
                      <w:r>
                        <w:rPr>
                          <w:color w:val="000000"/>
                          <w:szCs w:val="24"/>
                          <w:lang w:eastAsia="lt-LT"/>
                        </w:rPr>
                        <w:t>buvo draudžiama, nurodytos Draudžiamų perdirbti, parduoti ar supirkti vidaus vandenų žvejybos produktų panaudojimo tvarkos aprašo, patvirtinto Lietuvos Respublikos aplinkos ministro 2013 m. spalio 30 d. įsakymu Nr. D1-804 „Dėl Draudžiamų perdirbti, parduoti ar supirkti vidaus vandenų žvejybos produktų panaudojimo tvarkos aprašo patvirtinimo“, 4 punkte.</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59b1a9019bf11ef8b14c5bcce136045">
                        <w:r w:rsidRPr="00532B9F">
                          <w:rPr>
                            <w:rFonts w:ascii="Arial" w:eastAsia="MS Mincho" w:hAnsi="Arial"/>
                            <w:sz w:val="20"/>
                            <w:i/>
                            <w:iCs/>
                            <w:color w:val="0000FF" w:themeColor="hyperlink"/>
                            <w:u w:val="single"/>
                          </w:rPr>
                          <w:t>D1-176</w:t>
                        </w:r>
                      </w:fldSimple>
                      <w:r>
                        <w:rPr>
                          <w:rFonts w:ascii="Arial" w:eastAsia="MS Mincho" w:hAnsi="Arial"/>
                          <w:sz w:val="20"/>
                          <w:i/>
                          <w:iCs/>
                        </w:rPr>
                        <w:t>,
2024-05-24,
paskelbta TAR 2024-05-24, i. k. 2024-09373            </w:t>
                      </w:r>
                    </w:p>
                    <w:p/>
                  </w:sdtContent>
                </w:sdt>
                <w:sdt>
                  <w:sdtPr>
                    <w:alias w:val="16.2 pp."/>
                    <w:tag w:val="part_54d3910e414443e4a2395387e99f111e"/>
                    <w:lock w:val="sdtLocked"/>
                    <w:richText/>
                  </w:sdtPr>
                  <w:sdtContent>
                    <w:p>
                      <w:pPr>
                        <w:spacing w:line="276" w:lineRule="auto"/>
                        <w:ind w:firstLine="709"/>
                        <w:jc w:val="both"/>
                        <w:textAlignment w:val="baseline"/>
                        <w:rPr>
                          <w:szCs w:val="24"/>
                        </w:rPr>
                      </w:pPr>
                      <w:sdt>
                        <w:sdtPr>
                          <w:alias w:val="Numeris"/>
                          <w:tag w:val="nr_54d3910e414443e4a2395387e99f111e"/>
                          <w:lock w:val="sdtLocked"/>
                          <w:richText/>
                        </w:sdtPr>
                        <w:sdtContent>
                          <w:r>
                            <w:rPr>
                              <w:color w:val="000000"/>
                              <w:szCs w:val="24"/>
                              <w:lang w:eastAsia="en-GB"/>
                            </w:rPr>
                            <w:t>16.2</w:t>
                          </w:r>
                        </w:sdtContent>
                      </w:sdt>
                      <w:r>
                        <w:rPr>
                          <w:color w:val="000000"/>
                          <w:szCs w:val="24"/>
                          <w:lang w:eastAsia="en-GB"/>
                        </w:rPr>
                        <w:t>. Jei žvejybos l</w:t>
                      </w:r>
                      <w:r>
                        <w:rPr>
                          <w:szCs w:val="24"/>
                        </w:rPr>
                        <w:t xml:space="preserve">aivas, jo dalis ar verslinės žvejybos įrankis įsigytas Europos jūrų reikalų ir žuvininkystės fondo, </w:t>
                      </w:r>
                      <w:r>
                        <w:rPr>
                          <w:color w:val="000000"/>
                          <w:szCs w:val="24"/>
                        </w:rPr>
                        <w:t>Europos jūrų reikalų, žvejybos ir akvakultūros fondo (EJRŽF)</w:t>
                      </w:r>
                      <w:r>
                        <w:rPr>
                          <w:szCs w:val="24"/>
                        </w:rPr>
                        <w:t xml:space="preserve"> ar kitos ES paramos ar valstybės lėšomis, į išmoką įtraukiama tik tokia</w:t>
                      </w:r>
                      <w:r>
                        <w:rPr>
                          <w:color w:val="C0504D"/>
                          <w:szCs w:val="24"/>
                        </w:rPr>
                        <w:t xml:space="preserve"> </w:t>
                      </w:r>
                      <w:r>
                        <w:rPr>
                          <w:szCs w:val="24"/>
                        </w:rPr>
                        <w:t xml:space="preserve">šio turto likutinės vertės dalis, kurią pareiškėjas apmokėjo savo lėšomis ir šio turto sunaikinimo išlaidos. Duomenų apie tokius žvejybos įrankius ir pareiškėjo išlaidas jiems įsigyti Agentūra prašo pateikti Nacionalinę mokėjimo agentūrą prie Žemės ūkio ministerijos. </w:t>
                      </w:r>
                    </w:p>
                  </w:sdtContent>
                </w:sdt>
                <w:sdt>
                  <w:sdtPr>
                    <w:alias w:val="16.3 pp."/>
                    <w:tag w:val="part_ca9da3e6d45e4bd488cff687f24985dc"/>
                    <w:lock w:val="sdtLocked"/>
                    <w:richText/>
                  </w:sdtPr>
                  <w:sdtContent>
                    <w:p>
                      <w:pPr>
                        <w:spacing w:line="276" w:lineRule="auto"/>
                        <w:ind w:firstLine="709"/>
                        <w:jc w:val="both"/>
                        <w:textAlignment w:val="baseline"/>
                        <w:rPr>
                          <w:color w:val="000000"/>
                          <w:szCs w:val="24"/>
                          <w:lang w:val="en-GB" w:eastAsia="en-GB"/>
                        </w:rPr>
                      </w:pPr>
                      <w:sdt>
                        <w:sdtPr>
                          <w:alias w:val="Numeris"/>
                          <w:tag w:val="nr_ca9da3e6d45e4bd488cff687f24985dc"/>
                          <w:lock w:val="sdtLocked"/>
                          <w:richText/>
                        </w:sdtPr>
                        <w:sdtContent>
                          <w:r>
                            <w:rPr>
                              <w:szCs w:val="24"/>
                            </w:rPr>
                            <w:t>16.3</w:t>
                          </w:r>
                        </w:sdtContent>
                      </w:sdt>
                      <w:r>
                        <w:rPr>
                          <w:szCs w:val="24"/>
                        </w:rPr>
                        <w:t>. Žvejybos l</w:t>
                      </w:r>
                      <w:r>
                        <w:rPr>
                          <w:color w:val="000000"/>
                          <w:szCs w:val="24"/>
                          <w:lang w:eastAsia="en-GB"/>
                        </w:rPr>
                        <w:t>aivai ir jų dalys, kurių vertė, transportavimo iki sunaikinimo vietos ir sunaikinimo išlaidos įskaičiuojamos į išmoką, turi būti tinkami naudoti paraiškos pateikimo dieną ir nuo sprendimo skirti išmoką dienos iki prašymo išmokėti išmoką pateikimo dienos perduoti sunaikinti. Agentūrai pateikiama kopija pagrindžiančios pažymos, parengtos vadovaujantis Klaipėdos valstybinio jūrų uosto laivybos taisyklių, patvirtintų Lietuvos Respublikos susisiekimo ministro 2008 m. rugsėjo 10 d. įsakymu Nr. 3-327 „Dėl Klaipėdos valstybinio jūrų uosto laivybos taisyklių patvirtinimo“, 99 punktu, j</w:t>
                      </w:r>
                      <w:r>
                        <w:rPr>
                          <w:color w:val="000000"/>
                          <w:szCs w:val="22"/>
                          <w:lang w:val="en-GB"/>
                        </w:rPr>
                        <w:t>ei sunaikinimas vykdomas Klaipėdos valstybinio jūrų uosto teritorijoje, arba kitas sunaikinimą pagrindžiantis dokumentas, jei sunaikinimas vykdomas ne Klaipėdos valstybinio jūrų uosto teritorijoje.</w:t>
                      </w:r>
                    </w:p>
                  </w:sdtContent>
                </w:sdt>
                <w:sdt>
                  <w:sdtPr>
                    <w:alias w:val="16.4 pp."/>
                    <w:tag w:val="part_39f3aecdbc4a466fb9df295c9f8e98a1"/>
                    <w:lock w:val="sdtLocked"/>
                    <w:richText/>
                  </w:sdtPr>
                  <w:sdtContent>
                    <w:p>
                      <w:pPr>
                        <w:spacing w:line="276" w:lineRule="auto"/>
                        <w:ind w:firstLine="709"/>
                        <w:jc w:val="both"/>
                        <w:textAlignment w:val="baseline"/>
                        <w:rPr>
                          <w:color w:val="000000"/>
                          <w:szCs w:val="24"/>
                          <w:lang w:eastAsia="en-GB"/>
                        </w:rPr>
                      </w:pPr>
                      <w:sdt>
                        <w:sdtPr>
                          <w:alias w:val="Numeris"/>
                          <w:tag w:val="nr_39f3aecdbc4a466fb9df295c9f8e98a1"/>
                          <w:lock w:val="sdtLocked"/>
                          <w:richText/>
                        </w:sdtPr>
                        <w:sdtContent>
                          <w:r>
                            <w:rPr>
                              <w:color w:val="000000"/>
                              <w:szCs w:val="24"/>
                              <w:lang w:eastAsia="en-GB"/>
                            </w:rPr>
                            <w:t>16.4</w:t>
                          </w:r>
                        </w:sdtContent>
                      </w:sdt>
                      <w:r>
                        <w:rPr>
                          <w:color w:val="000000"/>
                          <w:szCs w:val="24"/>
                          <w:lang w:eastAsia="en-GB"/>
                        </w:rPr>
                        <w:t>. Žvejybos įrankiai, kurių vertė ir sunaikinimo išlaidos įskaičiuojamos į išmoką, turi būti Lietuvos Respublikos aplinkos ministro 2005 m. liepos 29 d. įsakymu Nr. D1-383 „Dėl Plombos aprašymo patvirtinimo bei žvejybos įrankių ženklinimo tvarkos nustatymo“ nustatyta tvarka paženklinti plombomis. Į išmoką gali būti įskaičiuojama tokio kiekio žvejybos įrankių (pagal jų rūšis) likutinė vertė, transportavimo iki sunaikinimo vietos ir sunaikinimo išlaidos, kiek ūkio subjektas turėjo teisę naudoti pagal jam skirtas žvejybos kvotas paraiškos pateikimo dieną, taip pat ne daugiau kaip 2 pakaitinių žvejybos įrankių, tenkančių kiekvienam pagrindiniam pagal kvotą naudojamam žvejybos įrankiui ir atitinkančių Tvarkos aprašo 20.2 papunkčio reikalavimus, likutinė vertė ir transportavimo iki sunaikinimo vietos bei sunaikinimo išlaidos.</w:t>
                      </w:r>
                    </w:p>
                  </w:sdtContent>
                </w:sdt>
                <w:sdt>
                  <w:sdtPr>
                    <w:alias w:val="16.5 pp."/>
                    <w:tag w:val="part_feaa28962d084ab4b2f7cb3d11d8d7e4"/>
                    <w:lock w:val="sdtLocked"/>
                    <w:richText/>
                  </w:sdtPr>
                  <w:sdtContent>
                    <w:p>
                      <w:pPr>
                        <w:spacing w:line="276" w:lineRule="auto"/>
                        <w:ind w:firstLine="709"/>
                        <w:jc w:val="both"/>
                        <w:textAlignment w:val="baseline"/>
                        <w:rPr>
                          <w:color w:val="000000"/>
                          <w:szCs w:val="24"/>
                          <w:lang w:eastAsia="en-GB"/>
                        </w:rPr>
                      </w:pPr>
                      <w:sdt>
                        <w:sdtPr>
                          <w:alias w:val="Numeris"/>
                          <w:tag w:val="nr_feaa28962d084ab4b2f7cb3d11d8d7e4"/>
                          <w:lock w:val="sdtLocked"/>
                          <w:richText/>
                        </w:sdtPr>
                        <w:sdtContent>
                          <w:r>
                            <w:rPr>
                              <w:color w:val="000000"/>
                              <w:szCs w:val="24"/>
                            </w:rPr>
                            <w:t>16.5</w:t>
                          </w:r>
                        </w:sdtContent>
                      </w:sdt>
                      <w:r>
                        <w:rPr>
                          <w:color w:val="000000"/>
                          <w:szCs w:val="24"/>
                        </w:rPr>
                        <w:t xml:space="preserve">. Jei žvejybos laivas ar jo dalis sunaikinami kitoje Europos Sąjungos šalyje ir pareiškėjas prašo šias išlaidas įtraukti į išmoką, iki prašymo išmokėti išmoką pateikimo dienos jis privalo pateikti Agentūrai tos šalies teisės aktuose numatytą, į lietuvių kalbą išverstą </w:t>
                      </w:r>
                      <w:r>
                        <w:rPr>
                          <w:color w:val="000000"/>
                          <w:szCs w:val="24"/>
                          <w:shd w:val="clear" w:color="auto" w:fill="FFFFFF"/>
                        </w:rPr>
                        <w:t>dokumentą (ar jo kopiją) apie žvejybos laivo ar jo dalies sunaikinimą</w:t>
                      </w:r>
                      <w:r>
                        <w:rPr>
                          <w:rFonts w:ascii="inherit" w:hAnsi="inherit"/>
                          <w:szCs w:val="24"/>
                          <w:lang w:eastAsia="en-GB"/>
                        </w:rPr>
                        <w:t>.</w:t>
                      </w:r>
                    </w:p>
                  </w:sdtContent>
                </w:sdt>
                <w:sdt>
                  <w:sdtPr>
                    <w:alias w:val="16.6 pp."/>
                    <w:tag w:val="part_73d42633ab474dc7b792649a42f00838"/>
                    <w:lock w:val="sdtLocked"/>
                    <w:richText/>
                  </w:sdtPr>
                  <w:sdtContent>
                    <w:p>
                      <w:pPr>
                        <w:spacing w:line="276" w:lineRule="auto"/>
                        <w:ind w:firstLine="709"/>
                        <w:jc w:val="both"/>
                        <w:textAlignment w:val="baseline"/>
                        <w:rPr>
                          <w:color w:val="000000"/>
                          <w:szCs w:val="24"/>
                          <w:lang w:eastAsia="en-GB"/>
                        </w:rPr>
                      </w:pPr>
                      <w:sdt>
                        <w:sdtPr>
                          <w:alias w:val="Numeris"/>
                          <w:tag w:val="nr_73d42633ab474dc7b792649a42f00838"/>
                          <w:lock w:val="sdtLocked"/>
                          <w:richText/>
                        </w:sdtPr>
                        <w:sdtContent>
                          <w:r>
                            <w:rPr>
                              <w:color w:val="000000"/>
                              <w:szCs w:val="24"/>
                              <w:lang w:eastAsia="en-GB"/>
                            </w:rPr>
                            <w:t>16.6</w:t>
                          </w:r>
                        </w:sdtContent>
                      </w:sdt>
                      <w:r>
                        <w:rPr>
                          <w:color w:val="000000"/>
                          <w:szCs w:val="24"/>
                          <w:lang w:eastAsia="en-GB"/>
                        </w:rPr>
                        <w:t xml:space="preserve">. Norintis gauti išmoką ūkio subjektas neprivalo sunaikinti žvejybos laivų ir įrankių, tačiau nesunaikintų žvejybos laivų ir įrankių vertė į išmoką neįskaičiuojama. Į išmoką taip pat neįskaičiuojama žvejybos laivo dalies vertė ir jos sunaikinimo ar transportavimo iki sunaikinimo vietos išlaidos, jei nesunaikinamas žvejybos laivas, kuriame ta dalis naudota. </w:t>
                      </w:r>
                    </w:p>
                  </w:sdtContent>
                </w:sdt>
                <w:sdt>
                  <w:sdtPr>
                    <w:alias w:val="16.7 pp."/>
                    <w:tag w:val="part_1510b455484a40bc802b688c9a5b4efa"/>
                    <w:lock w:val="sdtLocked"/>
                    <w:richText/>
                  </w:sdtPr>
                  <w:sdtContent>
                    <w:p>
                      <w:pPr>
                        <w:spacing w:line="276" w:lineRule="auto"/>
                        <w:ind w:firstLine="709"/>
                        <w:jc w:val="both"/>
                        <w:rPr>
                          <w:color w:val="000000"/>
                          <w:szCs w:val="24"/>
                          <w:lang w:eastAsia="en-GB"/>
                        </w:rPr>
                      </w:pPr>
                      <w:sdt>
                        <w:sdtPr>
                          <w:alias w:val="Numeris"/>
                          <w:tag w:val="nr_1510b455484a40bc802b688c9a5b4efa"/>
                          <w:lock w:val="sdtLocked"/>
                          <w:richText/>
                        </w:sdtPr>
                        <w:sdtContent>
                          <w:r>
                            <w:rPr>
                              <w:color w:val="000000"/>
                              <w:szCs w:val="24"/>
                              <w:lang w:eastAsia="en-GB"/>
                            </w:rPr>
                            <w:t>16.7</w:t>
                          </w:r>
                        </w:sdtContent>
                      </w:sdt>
                      <w:r>
                        <w:rPr>
                          <w:color w:val="000000"/>
                          <w:szCs w:val="24"/>
                          <w:lang w:eastAsia="en-GB"/>
                        </w:rPr>
                        <w:t>. Į išmoką įskaičiuojamos tik tokios p</w:t>
                      </w:r>
                      <w:r>
                        <w:rPr>
                          <w:bCs/>
                          <w:iCs/>
                          <w:color w:val="000000"/>
                          <w:szCs w:val="24"/>
                          <w:lang w:eastAsia="en-GB"/>
                        </w:rPr>
                        <w:t xml:space="preserve">areiškėjo su žvejybos veikla susijusio </w:t>
                      </w:r>
                      <w:r>
                        <w:rPr>
                          <w:color w:val="000000"/>
                          <w:szCs w:val="24"/>
                          <w:lang w:eastAsia="lt-LT"/>
                        </w:rPr>
                        <w:t>ilgalaikio materialaus turto</w:t>
                      </w:r>
                      <w:r>
                        <w:rPr>
                          <w:color w:val="000000"/>
                          <w:szCs w:val="24"/>
                          <w:lang w:eastAsia="en-GB"/>
                        </w:rPr>
                        <w:t xml:space="preserve"> </w:t>
                      </w:r>
                      <w:r>
                        <w:rPr>
                          <w:color w:val="000000"/>
                          <w:szCs w:val="24"/>
                          <w:lang w:eastAsia="lt-LT"/>
                        </w:rPr>
                        <w:t xml:space="preserve">transportavimo iki sunaikinimo vietos ir sunaikinimo </w:t>
                      </w:r>
                      <w:r>
                        <w:rPr>
                          <w:color w:val="000000"/>
                          <w:szCs w:val="24"/>
                          <w:lang w:eastAsia="en-GB"/>
                        </w:rPr>
                        <w:t>išlaidos ir nuostoliai atsirandantys dėl finansinių įsipareigojimų, įgyvendinant Lietuvos žuvininkystės sektoriaus 2014–2020 metų veiksmų programos priemones, nevykdymo, kurie patirti nuo sprendimo skirti išmoką dienos iki prašymo išmokėti išmoką pateikimo dienos (p</w:t>
                      </w:r>
                      <w:r>
                        <w:rPr>
                          <w:rFonts w:ascii="inherit" w:hAnsi="inherit"/>
                          <w:szCs w:val="24"/>
                          <w:lang w:eastAsia="en-GB"/>
                        </w:rPr>
                        <w:t>ridėtinės vertės mokestis į išmoką neįskaičiuojamas</w:t>
                      </w:r>
                      <w:r>
                        <w:rPr>
                          <w:color w:val="000000"/>
                          <w:szCs w:val="24"/>
                          <w:lang w:eastAsia="en-GB"/>
                        </w:rPr>
                        <w:t>).</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59b1a9019bf11ef8b14c5bcce136045">
                        <w:r w:rsidRPr="00532B9F">
                          <w:rPr>
                            <w:rFonts w:ascii="Arial" w:eastAsia="MS Mincho" w:hAnsi="Arial"/>
                            <w:sz w:val="20"/>
                            <w:i/>
                            <w:iCs/>
                            <w:color w:val="0000FF" w:themeColor="hyperlink"/>
                            <w:u w:val="single"/>
                          </w:rPr>
                          <w:t>D1-176</w:t>
                        </w:r>
                      </w:fldSimple>
                      <w:r>
                        <w:rPr>
                          <w:rFonts w:ascii="Arial" w:eastAsia="MS Mincho" w:hAnsi="Arial"/>
                          <w:sz w:val="20"/>
                          <w:i/>
                          <w:iCs/>
                        </w:rPr>
                        <w:t>,
2024-05-24,
paskelbta TAR 2024-05-24, i. k. 2024-09373            </w:t>
                      </w:r>
                    </w:p>
                    <w:p/>
                  </w:sdtContent>
                </w:sdt>
              </w:sdtContent>
            </w:sdt>
            <w:sdt>
              <w:sdtPr>
                <w:alias w:val="17 p."/>
                <w:tag w:val="part_24f1374abda84b0e83b92f81c1a7e4f2"/>
                <w:lock w:val="sdtLocked"/>
                <w:richText/>
              </w:sdtPr>
              <w:sdtContent>
                <w:p>
                  <w:pPr>
                    <w:spacing w:line="276" w:lineRule="auto"/>
                    <w:ind w:firstLine="709"/>
                    <w:jc w:val="both"/>
                    <w:rPr>
                      <w:color w:val="000000"/>
                      <w:szCs w:val="22"/>
                      <w:lang w:eastAsia="en-GB"/>
                    </w:rPr>
                  </w:pPr>
                  <w:sdt>
                    <w:sdtPr>
                      <w:alias w:val="Numeris"/>
                      <w:tag w:val="nr_24f1374abda84b0e83b92f81c1a7e4f2"/>
                      <w:lock w:val="sdtLocked"/>
                      <w:richText/>
                    </w:sdtPr>
                    <w:sdtContent>
                      <w:r>
                        <w:rPr>
                          <w:color w:val="000000"/>
                          <w:szCs w:val="22"/>
                          <w:lang w:eastAsia="en-GB"/>
                        </w:rPr>
                        <w:t>17</w:t>
                      </w:r>
                    </w:sdtContent>
                  </w:sdt>
                  <w:r>
                    <w:rPr>
                      <w:color w:val="000000"/>
                      <w:szCs w:val="22"/>
                      <w:lang w:eastAsia="en-GB"/>
                    </w:rPr>
                    <w:t xml:space="preserve">. Išmokos sutartyje nurodoma didžiausia galima skirti išmokos suma, jos išmokėjimo tvarka ir sąlygos, išmokos gavėjo įsipareigojimai, išmokos sutarties keitimo ir nutraukimo sąlygos. </w:t>
                  </w:r>
                </w:p>
                <w:p>
                  <w:pPr>
                    <w:spacing w:line="276" w:lineRule="auto"/>
                    <w:ind w:firstLine="709"/>
                    <w:jc w:val="both"/>
                    <w:rPr>
                      <w:b/>
                      <w:bCs/>
                      <w:color w:val="000000"/>
                      <w:szCs w:val="24"/>
                      <w:lang w:eastAsia="en-GB"/>
                    </w:rPr>
                  </w:pPr>
                </w:p>
              </w:sdtContent>
            </w:sdt>
          </w:sdtContent>
        </w:sdt>
        <w:sdt>
          <w:sdtPr>
            <w:alias w:val="skyrius"/>
            <w:tag w:val="part_39feb6f0ad394a038ed092dced75e2d3"/>
            <w:lock w:val="sdtLocked"/>
            <w:richText/>
          </w:sdtPr>
          <w:sdtContent>
            <w:p>
              <w:pPr>
                <w:ind w:firstLine="731"/>
                <w:jc w:val="center"/>
                <w:rPr>
                  <w:color w:val="000000"/>
                  <w:szCs w:val="24"/>
                  <w:lang w:eastAsia="en-GB"/>
                </w:rPr>
              </w:pPr>
              <w:sdt>
                <w:sdtPr>
                  <w:alias w:val="Numeris"/>
                  <w:tag w:val="nr_39feb6f0ad394a038ed092dced75e2d3"/>
                  <w:lock w:val="sdtLocked"/>
                  <w:richText/>
                </w:sdtPr>
                <w:sdtContent>
                  <w:r>
                    <w:rPr>
                      <w:b/>
                      <w:bCs/>
                      <w:color w:val="000000"/>
                      <w:szCs w:val="24"/>
                      <w:lang w:eastAsia="en-GB"/>
                    </w:rPr>
                    <w:t>VI</w:t>
                  </w:r>
                </w:sdtContent>
              </w:sdt>
              <w:r>
                <w:rPr>
                  <w:b/>
                  <w:bCs/>
                  <w:color w:val="000000"/>
                  <w:szCs w:val="24"/>
                  <w:lang w:eastAsia="en-GB"/>
                </w:rPr>
                <w:t xml:space="preserve"> SKYRIUS</w:t>
              </w:r>
            </w:p>
            <w:p>
              <w:pPr>
                <w:ind w:firstLine="731"/>
                <w:jc w:val="center"/>
                <w:rPr>
                  <w:b/>
                  <w:color w:val="000000"/>
                  <w:szCs w:val="24"/>
                  <w:lang w:eastAsia="en-GB"/>
                </w:rPr>
              </w:pPr>
              <w:sdt>
                <w:sdtPr>
                  <w:alias w:val="Pavadinimas"/>
                  <w:tag w:val="title_39feb6f0ad394a038ed092dced75e2d3"/>
                  <w:lock w:val="sdtLocked"/>
                  <w:richText/>
                </w:sdtPr>
                <w:sdtContent>
                  <w:r>
                    <w:rPr>
                      <w:b/>
                      <w:color w:val="000000"/>
                      <w:szCs w:val="24"/>
                      <w:lang w:eastAsia="en-GB"/>
                    </w:rPr>
                    <w:t>PARAIŠKŲ TEIKIMAS</w:t>
                  </w:r>
                </w:sdtContent>
              </w:sdt>
            </w:p>
            <w:p>
              <w:pPr>
                <w:spacing w:line="276" w:lineRule="auto"/>
                <w:ind w:firstLine="731"/>
                <w:jc w:val="center"/>
                <w:rPr>
                  <w:color w:val="000000"/>
                  <w:szCs w:val="24"/>
                  <w:lang w:eastAsia="en-GB"/>
                </w:rPr>
              </w:pPr>
            </w:p>
            <w:sdt>
              <w:sdtPr>
                <w:alias w:val="18 p."/>
                <w:tag w:val="part_1c5131ff34fa4cb2b3ca2b38c3b3cb6d"/>
                <w:lock w:val="sdtLocked"/>
                <w:richText/>
              </w:sdtPr>
              <w:sdtContent>
                <w:p>
                  <w:pPr>
                    <w:spacing w:line="276" w:lineRule="auto"/>
                    <w:ind w:right="-1" w:firstLine="709"/>
                    <w:jc w:val="both"/>
                    <w:rPr>
                      <w:rFonts w:ascii="Segoe UI" w:eastAsia="Segoe UI" w:hAnsi="Segoe UI" w:cs="Segoe UI"/>
                      <w:color w:val="333333"/>
                      <w:szCs w:val="24"/>
                    </w:rPr>
                  </w:pPr>
                  <w:sdt>
                    <w:sdtPr>
                      <w:alias w:val="Numeris"/>
                      <w:tag w:val="nr_1c5131ff34fa4cb2b3ca2b38c3b3cb6d"/>
                      <w:lock w:val="sdtLocked"/>
                      <w:richText/>
                    </w:sdtPr>
                    <w:sdtContent>
                      <w:r>
                        <w:rPr>
                          <w:szCs w:val="24"/>
                        </w:rPr>
                        <w:t>18</w:t>
                      </w:r>
                    </w:sdtContent>
                  </w:sdt>
                  <w:r>
                    <w:rPr>
                      <w:szCs w:val="24"/>
                    </w:rPr>
                    <w:t xml:space="preserve">. Kvietimas teikti paraiškas (toliau – kvietimas), paraiškų teikimo tvarka ir terminai, išmokų apskaičiavimo ir mokėjimo sąlygos skelbiami Agentūros interneto svetainėje www.apva.lt. </w:t>
                  </w:r>
                </w:p>
              </w:sdtContent>
            </w:sdt>
            <w:sdt>
              <w:sdtPr>
                <w:alias w:val="19 p."/>
                <w:tag w:val="part_f9e163e5aea54ad0ad5c13515dea1c2f"/>
                <w:lock w:val="sdtLocked"/>
                <w:richText/>
              </w:sdtPr>
              <w:sdtContent>
                <w:p>
                  <w:pPr>
                    <w:tabs>
                      <w:tab w:val="left" w:pos="993"/>
                    </w:tabs>
                    <w:suppressAutoHyphens/>
                    <w:ind w:firstLine="709"/>
                    <w:jc w:val="both"/>
                    <w:textAlignment w:val="baseline"/>
                    <w:rPr>
                      <w:lang w:eastAsia="lt-LT"/>
                    </w:rPr>
                  </w:pPr>
                  <w:sdt>
                    <w:sdtPr>
                      <w:alias w:val="Numeris"/>
                      <w:tag w:val="nr_f9e163e5aea54ad0ad5c13515dea1c2f"/>
                      <w:lock w:val="sdtLocked"/>
                      <w:richText/>
                    </w:sdtPr>
                    <w:sdtContent>
                      <w:r>
                        <w:rPr>
                          <w:lang w:val="pt-BR" w:eastAsia="lt-LT"/>
                        </w:rPr>
                        <w:t>19</w:t>
                      </w:r>
                    </w:sdtContent>
                  </w:sdt>
                  <w:r>
                    <w:rPr>
                      <w:lang w:val="pt-BR" w:eastAsia="lt-LT"/>
                    </w:rPr>
                    <w:t xml:space="preserve">. </w:t>
                  </w:r>
                  <w:r>
                    <w:rPr>
                      <w:lang w:eastAsia="lt-LT"/>
                    </w:rPr>
                    <w:t xml:space="preserve">Paraiškos registruojamos APVIS eilės tvarka pagal registracijos datą pagrindiniame sąraše. Paraiškos vertinimui priimamos iki kvietime nurodyto termino pabaigos. Agentūros sprendimu paraiškų teikimo terminas gali būti pratęstas. Apie gautą paraišką Agentūra informuoja pareiškėją per APVIS automatine žinute ir el. paštu. Kai registruotose paraiškose prašoma išmokoms suma viršija kvietime nurodytą einamųjų metų lėšų sumą, paraiškos įtraukiamos į rezervinį sąrašą. Rezervinis sąrašas pildomas, kol baigiasi kvietime nurodytas terminas. Rezervinio sąrašo paraiškos vertinamos eilės tvarka pagal jų registracijos datą APVIS ir sprendimas skirti išmoką priimamas, jei priėmus sprendimus skirti išmokas pagrindiniame sąraše esančioms paraiškoms lieka lėšų, jei pagrindiniame sąraše pateiktos paraiškos vertinimui atlikti atmestos,  pareiškėjai atsiėmė paraiškas ar skirta papildomai lėšų priemonei.</w:t>
                  </w:r>
                </w:p>
                <w:p>
                  <w:pPr>
                    <w:tabs>
                      <w:tab w:val="left" w:pos="993"/>
                    </w:tabs>
                    <w:suppressAutoHyphens/>
                    <w:ind w:firstLine="709"/>
                    <w:jc w:val="both"/>
                    <w:textAlignment w:val="baseline"/>
                    <w:rPr>
                      <w:color w:val="000000"/>
                      <w:szCs w:val="24"/>
                    </w:rPr>
                  </w:pPr>
                  <w:r>
                    <w:rPr>
                      <w:szCs w:val="24"/>
                      <w:lang w:eastAsia="lt-LT"/>
                    </w:rPr>
                    <w:t>Pasibaigus kvietime nurodytai lėšų sumai, likusios paraiškos skirti išmoką, dėl kurių nepriimtas sprendimas, nenagrinėjamos, paraiškėjai informuojami apie nenagrinėjimo priežastis. Paskelbus naują kvietimą teikti paraiškas ar skyrus papildomai lėšų priemonei, šios nenagrinėtos paraiškos nagrinėjamos prioriteto tvarka pagal registracijos datą. Agentūra gali paprašyti atnaujinti informaciją paraiškose, įrašytose į rezervinį sąrašą.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59b1a9019bf11ef8b14c5bcce136045">
                    <w:r w:rsidRPr="00532B9F">
                      <w:rPr>
                        <w:rFonts w:ascii="Arial" w:eastAsia="MS Mincho" w:hAnsi="Arial"/>
                        <w:sz w:val="20"/>
                        <w:i/>
                        <w:iCs/>
                        <w:color w:val="0000FF" w:themeColor="hyperlink"/>
                        <w:u w:val="single"/>
                      </w:rPr>
                      <w:t>D1-176</w:t>
                    </w:r>
                  </w:fldSimple>
                  <w:r>
                    <w:rPr>
                      <w:rFonts w:ascii="Arial" w:eastAsia="MS Mincho" w:hAnsi="Arial"/>
                      <w:sz w:val="20"/>
                      <w:i/>
                      <w:iCs/>
                    </w:rPr>
                    <w:t>,
2024-05-24,
paskelbta TAR 2024-05-24, i. k. 2024-09373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4d57106c0d11efafbb8694c098bac5">
                    <w:r w:rsidRPr="00532B9F">
                      <w:rPr>
                        <w:rFonts w:ascii="Arial" w:eastAsia="MS Mincho" w:hAnsi="Arial"/>
                        <w:sz w:val="20"/>
                        <w:i/>
                        <w:iCs/>
                        <w:color w:val="0000FF" w:themeColor="hyperlink"/>
                        <w:u w:val="single"/>
                      </w:rPr>
                      <w:t>D1-294</w:t>
                    </w:r>
                  </w:fldSimple>
                  <w:r>
                    <w:rPr>
                      <w:rFonts w:ascii="Arial" w:eastAsia="MS Mincho" w:hAnsi="Arial"/>
                      <w:sz w:val="20"/>
                      <w:i/>
                      <w:iCs/>
                    </w:rPr>
                    <w:t>,
2024-09-06,
paskelbta TAR 2024-09-06, i. k. 2024-15724            </w:t>
                  </w:r>
                </w:p>
                <w:p/>
              </w:sdtContent>
            </w:sdt>
            <w:sdt>
              <w:sdtPr>
                <w:alias w:val="20 p."/>
                <w:tag w:val="part_183efbbe98ff42d0b8c9de94e21a2c0e"/>
                <w:lock w:val="sdtLocked"/>
                <w:richText/>
              </w:sdtPr>
              <w:sdtContent>
                <w:p>
                  <w:pPr>
                    <w:spacing w:line="276" w:lineRule="auto"/>
                    <w:ind w:firstLine="709"/>
                    <w:jc w:val="both"/>
                    <w:rPr>
                      <w:szCs w:val="24"/>
                    </w:rPr>
                  </w:pPr>
                  <w:sdt>
                    <w:sdtPr>
                      <w:alias w:val="Numeris"/>
                      <w:tag w:val="nr_183efbbe98ff42d0b8c9de94e21a2c0e"/>
                      <w:lock w:val="sdtLocked"/>
                      <w:richText/>
                    </w:sdtPr>
                    <w:sdtContent>
                      <w:r>
                        <w:rPr>
                          <w:szCs w:val="24"/>
                        </w:rPr>
                        <w:t>20</w:t>
                      </w:r>
                    </w:sdtContent>
                  </w:sdt>
                  <w:r>
                    <w:rPr>
                      <w:szCs w:val="24"/>
                    </w:rPr>
                    <w:t>. Pareiškėjai su paraiška Agentūrai pateikia:</w:t>
                  </w:r>
                </w:p>
                <w:sdt>
                  <w:sdtPr>
                    <w:alias w:val="20.1 pp."/>
                    <w:tag w:val="part_6e4bfe1e53284cba8afb9c6090f7366f"/>
                    <w:lock w:val="sdtLocked"/>
                    <w:richText/>
                  </w:sdtPr>
                  <w:sdtContent>
                    <w:p>
                      <w:pPr>
                        <w:spacing w:line="276" w:lineRule="auto"/>
                        <w:ind w:firstLine="709"/>
                        <w:jc w:val="both"/>
                        <w:rPr>
                          <w:szCs w:val="24"/>
                        </w:rPr>
                      </w:pPr>
                      <w:sdt>
                        <w:sdtPr>
                          <w:alias w:val="Numeris"/>
                          <w:tag w:val="nr_6e4bfe1e53284cba8afb9c6090f7366f"/>
                          <w:lock w:val="sdtLocked"/>
                          <w:richText/>
                        </w:sdtPr>
                        <w:sdtContent>
                          <w:r>
                            <w:rPr>
                              <w:szCs w:val="24"/>
                            </w:rPr>
                            <w:t>20.1</w:t>
                          </w:r>
                        </w:sdtContent>
                      </w:sdt>
                      <w:r>
                        <w:rPr>
                          <w:szCs w:val="24"/>
                        </w:rPr>
                        <w:t xml:space="preserve">. numatomų sunaikinti žvejybos laivų, jų dalių ir (ar) verslinės žvejybos įrankių likutinę vertę pagrindžiančius turto apskaitos dokumentus, jei prašoma į išmoką įskaičiuoti numatomų sunaikinti žvejybos laivų ir (ar) verslinės žvejybos įrankių likutinę vertę; </w:t>
                      </w:r>
                    </w:p>
                  </w:sdtContent>
                </w:sdt>
                <w:sdt>
                  <w:sdtPr>
                    <w:alias w:val="20.2 pp."/>
                    <w:tag w:val="part_df0182db50ec4cff86a2e3488df787df"/>
                    <w:lock w:val="sdtLocked"/>
                    <w:richText/>
                  </w:sdtPr>
                  <w:sdtContent>
                    <w:p>
                      <w:pPr>
                        <w:spacing w:line="276" w:lineRule="auto"/>
                        <w:ind w:right="-1" w:firstLine="709"/>
                        <w:jc w:val="both"/>
                        <w:rPr>
                          <w:color w:val="000000"/>
                          <w:szCs w:val="24"/>
                          <w:lang w:eastAsia="en-GB"/>
                        </w:rPr>
                      </w:pPr>
                      <w:sdt>
                        <w:sdtPr>
                          <w:alias w:val="Numeris"/>
                          <w:tag w:val="nr_df0182db50ec4cff86a2e3488df787df"/>
                          <w:lock w:val="sdtLocked"/>
                          <w:richText/>
                        </w:sdtPr>
                        <w:sdtContent>
                          <w:r>
                            <w:rPr>
                              <w:szCs w:val="24"/>
                            </w:rPr>
                            <w:t>20.2</w:t>
                          </w:r>
                        </w:sdtContent>
                      </w:sdt>
                      <w:r>
                        <w:rPr>
                          <w:szCs w:val="24"/>
                        </w:rPr>
                        <w:t xml:space="preserve">. jei prašoma į išmoką įskaičiuoti numatytų sunaikinti verslinės žvejybos įrankių likutinę vertę ir sunaikinimo išlaidas, – </w:t>
                      </w:r>
                      <w:r>
                        <w:rPr>
                          <w:color w:val="000000"/>
                          <w:szCs w:val="24"/>
                          <w:lang w:eastAsia="en-GB"/>
                        </w:rPr>
                        <w:t>žvejybos žurnalo duomenis, kuriame įrašytas įrankio plombos numeris ar kitus įrodymus, kad žvejybos įrankiais, kurių likutinę vertę ir sunaikinimo išlaidas prašoma įskaičiuoti į išmoką, pareiškėjas žvejojo bent kartą per paskutinius trejus metus iki paraiškos pateikimo;</w:t>
                      </w:r>
                    </w:p>
                  </w:sdtContent>
                </w:sdt>
                <w:sdt>
                  <w:sdtPr>
                    <w:alias w:val="20.3 pp."/>
                    <w:tag w:val="part_46e249cdd834435097b38405f7da8223"/>
                    <w:lock w:val="sdtLocked"/>
                    <w:richText/>
                  </w:sdtPr>
                  <w:sdtContent>
                    <w:p>
                      <w:pPr>
                        <w:spacing w:line="276" w:lineRule="auto"/>
                        <w:ind w:right="-1" w:firstLine="709"/>
                        <w:jc w:val="both"/>
                      </w:pPr>
                      <w:sdt>
                        <w:sdtPr>
                          <w:alias w:val="Numeris"/>
                          <w:tag w:val="nr_46e249cdd834435097b38405f7da8223"/>
                          <w:lock w:val="sdtLocked"/>
                          <w:richText/>
                        </w:sdtPr>
                        <w:sdtContent>
                          <w:r>
                            <w:rPr>
                              <w:color w:val="000000"/>
                              <w:szCs w:val="24"/>
                              <w:lang w:eastAsia="en-GB"/>
                            </w:rPr>
                            <w:t>20.3</w:t>
                          </w:r>
                        </w:sdtContent>
                      </w:sdt>
                      <w:r>
                        <w:rPr>
                          <w:color w:val="000000"/>
                          <w:szCs w:val="24"/>
                          <w:lang w:eastAsia="en-GB"/>
                        </w:rPr>
                        <w:t xml:space="preserve">. </w:t>
                      </w:r>
                      <w:r>
                        <w:t>transportavimo ir sunaikinimo išlaidoms pagrįsti pateikiami ne mažiau kaip trys komerciniai pasiūlymai, transportavimo ir sunaikinimo išlaidų dydis apskaičiuojamas pagal mažiausią pasiūlytą kainą;</w:t>
                      </w:r>
                    </w:p>
                  </w:sdtContent>
                </w:sdt>
                <w:sdt>
                  <w:sdtPr>
                    <w:alias w:val="20.4 pp."/>
                    <w:tag w:val="part_5c9bf992721c4c99b1395b3bb059b451"/>
                    <w:lock w:val="sdtLocked"/>
                    <w:richText/>
                  </w:sdtPr>
                  <w:sdtContent>
                    <w:p>
                      <w:pPr>
                        <w:spacing w:line="276" w:lineRule="auto"/>
                        <w:ind w:right="-1" w:firstLine="709"/>
                        <w:jc w:val="both"/>
                      </w:pPr>
                      <w:sdt>
                        <w:sdtPr>
                          <w:alias w:val="Numeris"/>
                          <w:tag w:val="nr_5c9bf992721c4c99b1395b3bb059b451"/>
                          <w:lock w:val="sdtLocked"/>
                          <w:richText/>
                        </w:sdtPr>
                        <w:sdtContent>
                          <w:r>
                            <w:t>20.4</w:t>
                          </w:r>
                        </w:sdtContent>
                      </w:sdt>
                      <w:r>
                        <w:t>. darbuotojų sąrašą, su kuriais planuojama nutraukti darbo sutartis, planuojamas nutraukti darbo sutartis ir jų pakeitimus, kiekvieno darbuotojo vidutinio darbo užmokesčio dydžio apskaičiavimą pagrindžiantį apskaitos dokumentą;</w:t>
                      </w:r>
                    </w:p>
                  </w:sdtContent>
                </w:sdt>
                <w:sdt>
                  <w:sdtPr>
                    <w:alias w:val="20.5 pp."/>
                    <w:tag w:val="part_36b41ffc94c44f29b09d9528617bf6f1"/>
                    <w:lock w:val="sdtLocked"/>
                    <w:richText/>
                  </w:sdtPr>
                  <w:sdtContent>
                    <w:p>
                      <w:pPr>
                        <w:spacing w:line="276" w:lineRule="auto"/>
                        <w:ind w:right="-1" w:firstLine="709"/>
                        <w:jc w:val="both"/>
                      </w:pPr>
                      <w:sdt>
                        <w:sdtPr>
                          <w:alias w:val="Numeris"/>
                          <w:tag w:val="nr_36b41ffc94c44f29b09d9528617bf6f1"/>
                          <w:lock w:val="sdtLocked"/>
                          <w:richText/>
                        </w:sdtPr>
                        <w:sdtContent>
                          <w:r>
                            <w:t>20.5</w:t>
                          </w:r>
                        </w:sdtContent>
                      </w:sdt>
                      <w:r>
                        <w:t>. Nacionalinės mokėjimo agentūros prie Žemės ūkio ministerijos raštą apie ūkio subjektui nustatytiną sankcijos dydį, jei prašoma į išmoką įskaičiuoti Tvarkos aprašo 15 punkte nurodytus nuostolius;</w:t>
                      </w:r>
                    </w:p>
                  </w:sdtContent>
                </w:sdt>
                <w:sdt>
                  <w:sdtPr>
                    <w:alias w:val="20.6 pp."/>
                    <w:tag w:val="part_295ff0ba8bf2478da2a892e60c69949f"/>
                    <w:lock w:val="sdtLocked"/>
                    <w:richText/>
                  </w:sdtPr>
                  <w:sdtContent>
                    <w:p>
                      <w:pPr>
                        <w:spacing w:line="276" w:lineRule="auto"/>
                        <w:ind w:right="-1" w:firstLine="709"/>
                        <w:jc w:val="both"/>
                      </w:pPr>
                      <w:sdt>
                        <w:sdtPr>
                          <w:alias w:val="Numeris"/>
                          <w:tag w:val="nr_295ff0ba8bf2478da2a892e60c69949f"/>
                          <w:lock w:val="sdtLocked"/>
                          <w:richText/>
                        </w:sdtPr>
                        <w:sdtContent>
                          <w:r>
                            <w:t>20.6</w:t>
                          </w:r>
                        </w:sdtContent>
                      </w:sdt>
                      <w:r>
                        <w:t>. Smulkiojo ar vidutinio verslo subjekto statuso deklaraciją, kurios forma patvirtinta Lietuvos Respublikos ūkio ministro 2008 m. kovo 26 d. įsakymu Nr. 4-119 „Dėl Smulkiojo ar vidutinio verslo subjekto statuso deklaravimo tvarkos aprašo ir Smulkiojo ar vidutinio verslo subjekto statuso deklaracijos formos patvirtinimo“;</w:t>
                      </w:r>
                    </w:p>
                  </w:sdtContent>
                </w:sdt>
                <w:sdt>
                  <w:sdtPr>
                    <w:alias w:val="20.7 pp."/>
                    <w:tag w:val="part_0f6947f132a841fd894ed5311eab6fa9"/>
                    <w:lock w:val="sdtLocked"/>
                    <w:richText/>
                  </w:sdtPr>
                  <w:sdtContent>
                    <w:p>
                      <w:pPr>
                        <w:spacing w:line="276" w:lineRule="auto"/>
                        <w:ind w:right="-2" w:firstLine="709"/>
                        <w:jc w:val="both"/>
                      </w:pPr>
                      <w:sdt>
                        <w:sdtPr>
                          <w:alias w:val="Numeris"/>
                          <w:tag w:val="nr_0f6947f132a841fd894ed5311eab6fa9"/>
                          <w:lock w:val="sdtLocked"/>
                          <w:richText/>
                        </w:sdtPr>
                        <w:sdtContent>
                          <w:r>
                            <w:t>20.7</w:t>
                          </w:r>
                        </w:sdtContent>
                      </w:sdt>
                      <w:r>
                        <w:t>. informaciją apie paraiškos pateikimo dieną turėtą verslinės žvejybos vidaus vandenyse kvotą (įrankių skaičių vienetais);</w:t>
                      </w:r>
                    </w:p>
                  </w:sdtContent>
                </w:sdt>
                <w:sdt>
                  <w:sdtPr>
                    <w:alias w:val="20.8 pp."/>
                    <w:tag w:val="part_b5165cda384244289790cbcfcf6cf6ea"/>
                    <w:lock w:val="sdtLocked"/>
                    <w:richText/>
                  </w:sdtPr>
                  <w:sdtContent>
                    <w:p>
                      <w:pPr>
                        <w:spacing w:line="276" w:lineRule="auto"/>
                        <w:ind w:right="567" w:firstLine="709"/>
                        <w:jc w:val="both"/>
                        <w:rPr>
                          <w:szCs w:val="24"/>
                        </w:rPr>
                      </w:pPr>
                      <w:sdt>
                        <w:sdtPr>
                          <w:alias w:val="Numeris"/>
                          <w:tag w:val="nr_b5165cda384244289790cbcfcf6cf6ea"/>
                          <w:lock w:val="sdtLocked"/>
                          <w:richText/>
                        </w:sdtPr>
                        <w:sdtContent>
                          <w:r>
                            <w:rPr>
                              <w:color w:val="000000"/>
                              <w:szCs w:val="24"/>
                            </w:rPr>
                            <w:t>20.8</w:t>
                          </w:r>
                        </w:sdtContent>
                      </w:sdt>
                      <w:r>
                        <w:rPr>
                          <w:color w:val="000000"/>
                          <w:szCs w:val="24"/>
                        </w:rPr>
                        <w:t>. kitus dokumentus, reikalingus apskaičiuoti didžiausią galimą skirti išmoką.</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59b1a9019bf11ef8b14c5bcce136045">
                    <w:r w:rsidRPr="00532B9F">
                      <w:rPr>
                        <w:rFonts w:ascii="Arial" w:eastAsia="MS Mincho" w:hAnsi="Arial"/>
                        <w:sz w:val="20"/>
                        <w:i/>
                        <w:iCs/>
                        <w:color w:val="0000FF" w:themeColor="hyperlink"/>
                        <w:u w:val="single"/>
                      </w:rPr>
                      <w:t>D1-176</w:t>
                    </w:r>
                  </w:fldSimple>
                  <w:r>
                    <w:rPr>
                      <w:rFonts w:ascii="Arial" w:eastAsia="MS Mincho" w:hAnsi="Arial"/>
                      <w:sz w:val="20"/>
                      <w:i/>
                      <w:iCs/>
                    </w:rPr>
                    <w:t>,
2024-05-24,
paskelbta TAR 2024-05-24, i. k. 2024-09373            </w:t>
                  </w:r>
                </w:p>
                <w:p/>
              </w:sdtContent>
            </w:sdt>
            <w:sdt>
              <w:sdtPr>
                <w:alias w:val="21 p."/>
                <w:tag w:val="part_ebd2bd1735944722a7c5b73b0574401f"/>
                <w:lock w:val="sdtLocked"/>
                <w:richText/>
              </w:sdtPr>
              <w:sdtContent>
                <w:p>
                  <w:pPr>
                    <w:spacing w:line="276" w:lineRule="auto"/>
                    <w:ind w:firstLine="709"/>
                    <w:jc w:val="both"/>
                    <w:rPr>
                      <w:szCs w:val="24"/>
                    </w:rPr>
                  </w:pPr>
                  <w:sdt>
                    <w:sdtPr>
                      <w:alias w:val="Numeris"/>
                      <w:tag w:val="nr_ebd2bd1735944722a7c5b73b0574401f"/>
                      <w:lock w:val="sdtLocked"/>
                      <w:richText/>
                    </w:sdtPr>
                    <w:sdtContent>
                      <w:r>
                        <w:rPr>
                          <w:color w:val="000000"/>
                          <w:szCs w:val="24"/>
                        </w:rPr>
                        <w:t>21</w:t>
                      </w:r>
                    </w:sdtContent>
                  </w:sdt>
                  <w:r>
                    <w:rPr>
                      <w:szCs w:val="24"/>
                    </w:rPr>
                    <w:t>. Agentūra turi teisę prašyti papildomų dokumentų ir paaiškinimų, reikalingų vertinant paraišką, apskaičiuojant didžiausios galimos skirti išmokos dydį, patikrinti pareiškėjo pateiktus duomenis, gauti papildomos informacijos, susijusios su išmoka už teisę į žvejybos kvotą nuo paraiškos pateikimo iki išmokos išmokėjimo dienos.</w:t>
                  </w:r>
                </w:p>
                <w:p>
                  <w:pPr>
                    <w:spacing w:line="276" w:lineRule="auto"/>
                    <w:ind w:firstLine="709"/>
                    <w:jc w:val="both"/>
                    <w:rPr>
                      <w:szCs w:val="24"/>
                    </w:rPr>
                  </w:pPr>
                </w:p>
              </w:sdtContent>
            </w:sdt>
          </w:sdtContent>
        </w:sdt>
        <w:sdt>
          <w:sdtPr>
            <w:alias w:val="skyrius"/>
            <w:tag w:val="part_a832301866874e87963f73c9ad4bb000"/>
            <w:lock w:val="sdtLocked"/>
            <w:richText/>
          </w:sdtPr>
          <w:sdtContent>
            <w:p>
              <w:pPr>
                <w:jc w:val="center"/>
                <w:rPr>
                  <w:b/>
                  <w:szCs w:val="24"/>
                </w:rPr>
              </w:pPr>
              <w:sdt>
                <w:sdtPr>
                  <w:alias w:val="Numeris"/>
                  <w:tag w:val="nr_a832301866874e87963f73c9ad4bb000"/>
                  <w:lock w:val="sdtLocked"/>
                  <w:richText/>
                </w:sdtPr>
                <w:sdtContent>
                  <w:r>
                    <w:rPr>
                      <w:b/>
                      <w:szCs w:val="24"/>
                    </w:rPr>
                    <w:t>VII</w:t>
                  </w:r>
                </w:sdtContent>
              </w:sdt>
              <w:r>
                <w:rPr>
                  <w:b/>
                  <w:szCs w:val="24"/>
                </w:rPr>
                <w:t xml:space="preserve"> SKYRIUS</w:t>
              </w:r>
            </w:p>
            <w:p>
              <w:pPr>
                <w:jc w:val="center"/>
                <w:rPr>
                  <w:szCs w:val="24"/>
                </w:rPr>
              </w:pPr>
              <w:sdt>
                <w:sdtPr>
                  <w:alias w:val="Pavadinimas"/>
                  <w:tag w:val="title_a832301866874e87963f73c9ad4bb000"/>
                  <w:lock w:val="sdtLocked"/>
                  <w:richText/>
                </w:sdtPr>
                <w:sdtContent>
                  <w:r>
                    <w:rPr>
                      <w:b/>
                      <w:bCs/>
                      <w:szCs w:val="24"/>
                    </w:rPr>
                    <w:t>PARAIŠKŲ VERTINIMAS IR SPRENDIMŲ DĖL IŠMOKŲ SKYRIMO PRIĖMIMAS</w:t>
                  </w:r>
                </w:sdtContent>
              </w:sdt>
            </w:p>
            <w:p>
              <w:pPr>
                <w:spacing w:line="276" w:lineRule="auto"/>
                <w:ind w:firstLine="709"/>
                <w:jc w:val="center"/>
                <w:rPr>
                  <w:b/>
                  <w:bCs/>
                  <w:szCs w:val="24"/>
                </w:rPr>
              </w:pPr>
            </w:p>
            <w:sdt>
              <w:sdtPr>
                <w:alias w:val="22 p."/>
                <w:tag w:val="part_1cfdaf260ecb4b2e9a876c636b2a3c02"/>
                <w:lock w:val="sdtLocked"/>
                <w:richText/>
              </w:sdtPr>
              <w:sdtContent>
                <w:p>
                  <w:pPr>
                    <w:spacing w:line="276" w:lineRule="auto"/>
                    <w:ind w:firstLine="709"/>
                    <w:jc w:val="both"/>
                    <w:rPr>
                      <w:szCs w:val="24"/>
                    </w:rPr>
                  </w:pPr>
                  <w:sdt>
                    <w:sdtPr>
                      <w:alias w:val="Numeris"/>
                      <w:tag w:val="nr_1cfdaf260ecb4b2e9a876c636b2a3c02"/>
                      <w:lock w:val="sdtLocked"/>
                      <w:richText/>
                    </w:sdtPr>
                    <w:sdtContent>
                      <w:r>
                        <w:rPr>
                          <w:szCs w:val="24"/>
                        </w:rPr>
                        <w:t>22</w:t>
                      </w:r>
                    </w:sdtContent>
                  </w:sdt>
                  <w:r>
                    <w:rPr>
                      <w:szCs w:val="24"/>
                    </w:rPr>
                    <w:t xml:space="preserve">. Agentūra atlieka paraiškų vertinimą, išmokų mokėjimo administravimą ir apskaičiuoja išmokas vadovaudamasi Tvarkos aprašu. Paraiškų atitiktį Tvarkos aprašo reikalavimams Agentūra patikrina naudodamasi informacinėmis sistemomis, registrais, kadastrais, pareiškėjo pateikta informacija ir dokumentais, kitų institucijų pateiktais duomenimis. </w:t>
                  </w:r>
                  <w:r>
                    <w:rPr>
                      <w:color w:val="000000"/>
                      <w:szCs w:val="24"/>
                    </w:rPr>
                    <w:t>Paraiškų tinkamumo finansuoti vertinimą Agentūra atlieka eilės tvarka pagal jų registracijos datą APVIS. Paraiškos</w:t>
                  </w:r>
                  <w:r>
                    <w:rPr>
                      <w:szCs w:val="24"/>
                    </w:rPr>
                    <w:t xml:space="preserve"> tinkamumo finansuoti vertinimas atliekamas per 20 darbo dienų nuo pateiktos (kai užpildyti visi privalomi paraiškos formos laukai ir pateikti visi Tvarkos apraše nurodyti dokumentai) paraiškos užregistravimo APVIS. Dėl objektyvių priežasčių (APVIS techninių trikdžių, papildomos informacijos iš kitų institucijų gavimo) paraiškos vertinimas Agentūros sprendimu gali būti pratęstas 10 darbo dienų.</w:t>
                  </w:r>
                </w:p>
              </w:sdtContent>
            </w:sdt>
            <w:sdt>
              <w:sdtPr>
                <w:alias w:val="23 p."/>
                <w:tag w:val="part_43545039d0dd44c6bebfc1e849501826"/>
                <w:lock w:val="sdtLocked"/>
                <w:richText/>
              </w:sdtPr>
              <w:sdtContent>
                <w:p>
                  <w:pPr>
                    <w:spacing w:line="276" w:lineRule="auto"/>
                    <w:ind w:firstLine="709"/>
                    <w:jc w:val="both"/>
                    <w:rPr>
                      <w:szCs w:val="24"/>
                    </w:rPr>
                  </w:pPr>
                  <w:sdt>
                    <w:sdtPr>
                      <w:alias w:val="Numeris"/>
                      <w:tag w:val="nr_43545039d0dd44c6bebfc1e849501826"/>
                      <w:lock w:val="sdtLocked"/>
                      <w:richText/>
                    </w:sdtPr>
                    <w:sdtContent>
                      <w:r>
                        <w:rPr>
                          <w:szCs w:val="24"/>
                        </w:rPr>
                        <w:t>23</w:t>
                      </w:r>
                    </w:sdtContent>
                  </w:sdt>
                  <w:r>
                    <w:rPr>
                      <w:szCs w:val="24"/>
                    </w:rPr>
                    <w:t>. Agentūra, nustačiusi, kad su paraiška pateikti ne visi reikalaujami dokumentai, pateikta klaidinga informacija arba trūksta informacijos, reikalingos įvertinti paraiškos atitiktį Tvarkos aprašo reikalavimams, pareiškėjui nustato ne ilgesnį kaip 10 darbo dienų terminą trūkumams pašalinti ir apie tai jį informuoja pranešimu per APVIS ir el. paštu. Agentūros sprendimu šis terminas gali būti vieną kartą pratęstas 10 darbo dienų. Jeigu per šį terminą pareiškėjas nepatikslina paraiškos ar nepateikia trūkstamų dokumentų, Agentūros sprendimu, įformintu raštu dėl paraiškos atmetimo, per paraiškos vertinimo terminą paraiška atmetama. Agentūra, priėmusi sprendimą atmesti paraišką, per 5 darbo dienas apie tai per APVIS ir el. paštu informuoja pareiškėją nurodydama atmetimo priežastis</w:t>
                  </w:r>
                  <w:r>
                    <w:rPr>
                      <w:color w:val="000000"/>
                      <w:szCs w:val="24"/>
                    </w:rPr>
                    <w:t>.</w:t>
                  </w:r>
                  <w:r>
                    <w:rPr>
                      <w:szCs w:val="24"/>
                    </w:rPr>
                    <w:t xml:space="preserve"> </w:t>
                  </w:r>
                </w:p>
              </w:sdtContent>
            </w:sdt>
            <w:sdt>
              <w:sdtPr>
                <w:alias w:val="24 p."/>
                <w:tag w:val="part_8ce0c11d1ca14a9797997e8fdc61d780"/>
                <w:lock w:val="sdtLocked"/>
                <w:richText/>
              </w:sdtPr>
              <w:sdtContent>
                <w:p>
                  <w:pPr>
                    <w:spacing w:line="276" w:lineRule="auto"/>
                    <w:ind w:firstLine="709"/>
                    <w:jc w:val="both"/>
                    <w:rPr>
                      <w:szCs w:val="24"/>
                    </w:rPr>
                  </w:pPr>
                  <w:sdt>
                    <w:sdtPr>
                      <w:alias w:val="Numeris"/>
                      <w:tag w:val="nr_8ce0c11d1ca14a9797997e8fdc61d780"/>
                      <w:lock w:val="sdtLocked"/>
                      <w:richText/>
                    </w:sdtPr>
                    <w:sdtContent>
                      <w:r>
                        <w:rPr>
                          <w:szCs w:val="24"/>
                        </w:rPr>
                        <w:t>24</w:t>
                      </w:r>
                    </w:sdtContent>
                  </w:sdt>
                  <w:r>
                    <w:rPr>
                      <w:szCs w:val="24"/>
                    </w:rPr>
                    <w:t xml:space="preserve">. Sprendimą dėl išmokos skyrimo </w:t>
                  </w:r>
                  <w:r>
                    <w:rPr>
                      <w:color w:val="000000"/>
                      <w:szCs w:val="24"/>
                    </w:rPr>
                    <w:t>Agentūra</w:t>
                  </w:r>
                  <w:r>
                    <w:rPr>
                      <w:szCs w:val="24"/>
                    </w:rPr>
                    <w:t xml:space="preserve"> priima vadovaudamasi Tvarkos aprašu per 20 darbo dienų nuo paraiškos registravimo datos (neįskaičiuojant paraiškų trūkumų pašalinimo termino), atsižvelgdama į paraiškų vertinimo rezultatus, ir apie sprendimą informuoja pareiškėją APVIS žinute ir el. paštu ne vėliau kaip per 5 darbo dienas nuo sprendimo priėmimo dienos. Sprendime neskirti išmokos pareiškėjui pateikiama sprendimą pagrindžianti informacija, motyvai ir sprendimo apskundimo tvarka. Sprendime skirti išmoką pareiškėjui nurodoma didžiausia galima skirti išmoka ir išmokos sutarties sudarymo sąlygos. </w:t>
                  </w:r>
                </w:p>
              </w:sdtContent>
            </w:sdt>
            <w:sdt>
              <w:sdtPr>
                <w:alias w:val="25 p."/>
                <w:tag w:val="part_ba65188ddc4444f69b0d7e75007ecc7f"/>
                <w:lock w:val="sdtLocked"/>
                <w:richText/>
              </w:sdtPr>
              <w:sdtContent>
                <w:p>
                  <w:pPr>
                    <w:spacing w:line="276" w:lineRule="auto"/>
                    <w:ind w:firstLine="709"/>
                    <w:jc w:val="both"/>
                    <w:rPr>
                      <w:szCs w:val="24"/>
                    </w:rPr>
                  </w:pPr>
                  <w:sdt>
                    <w:sdtPr>
                      <w:alias w:val="Numeris"/>
                      <w:tag w:val="nr_ba65188ddc4444f69b0d7e75007ecc7f"/>
                      <w:lock w:val="sdtLocked"/>
                      <w:richText/>
                    </w:sdtPr>
                    <w:sdtContent>
                      <w:r>
                        <w:rPr>
                          <w:szCs w:val="24"/>
                        </w:rPr>
                        <w:t>25</w:t>
                      </w:r>
                    </w:sdtContent>
                  </w:sdt>
                  <w:r>
                    <w:rPr>
                      <w:szCs w:val="24"/>
                    </w:rPr>
                    <w:t>. Agentūros prašymu, Žuvininkystės tarnyba per 10 darbo dienų pateikia informaciją apie pareiškėjo turimas, sustabdytas ar panaikintas žvejybos kvotas pateikdama atitinkamo dokumento kopiją.</w:t>
                  </w:r>
                </w:p>
              </w:sdtContent>
            </w:sdt>
            <w:sdt>
              <w:sdtPr>
                <w:alias w:val="26 p."/>
                <w:tag w:val="part_1b338b7137ae4000af0c1347b93ca47f"/>
                <w:lock w:val="sdtLocked"/>
                <w:richText/>
              </w:sdtPr>
              <w:sdtContent>
                <w:p>
                  <w:pPr>
                    <w:spacing w:line="276" w:lineRule="auto"/>
                    <w:ind w:firstLine="709"/>
                    <w:jc w:val="both"/>
                    <w:rPr>
                      <w:szCs w:val="24"/>
                    </w:rPr>
                  </w:pPr>
                  <w:sdt>
                    <w:sdtPr>
                      <w:alias w:val="Numeris"/>
                      <w:tag w:val="nr_1b338b7137ae4000af0c1347b93ca47f"/>
                      <w:lock w:val="sdtLocked"/>
                      <w:richText/>
                    </w:sdtPr>
                    <w:sdtContent>
                      <w:r>
                        <w:rPr>
                          <w:szCs w:val="24"/>
                        </w:rPr>
                        <w:t>26</w:t>
                      </w:r>
                    </w:sdtContent>
                  </w:sdt>
                  <w:r>
                    <w:rPr>
                      <w:szCs w:val="24"/>
                    </w:rPr>
                    <w:t>. Agentūros prašymu, Aplinkos apsaugos departamentas prie Aplinkos ministerijos per 10 darbo dienų pateikia duomenis, reikalingus pajamoms apskaičiuoti.</w:t>
                  </w:r>
                </w:p>
              </w:sdtContent>
            </w:sdt>
            <w:sdt>
              <w:sdtPr>
                <w:alias w:val="27 p."/>
                <w:tag w:val="part_71da9b95f81740a3b5032d20650cd8c7"/>
                <w:lock w:val="sdtLocked"/>
                <w:richText/>
              </w:sdtPr>
              <w:sdtContent>
                <w:p>
                  <w:pPr>
                    <w:spacing w:line="276" w:lineRule="auto"/>
                    <w:ind w:firstLine="709"/>
                    <w:jc w:val="both"/>
                    <w:rPr>
                      <w:szCs w:val="24"/>
                    </w:rPr>
                  </w:pPr>
                  <w:sdt>
                    <w:sdtPr>
                      <w:alias w:val="Numeris"/>
                      <w:tag w:val="nr_71da9b95f81740a3b5032d20650cd8c7"/>
                      <w:lock w:val="sdtLocked"/>
                      <w:richText/>
                    </w:sdtPr>
                    <w:sdtContent>
                      <w:r>
                        <w:rPr>
                          <w:szCs w:val="24"/>
                        </w:rPr>
                        <w:t>27</w:t>
                      </w:r>
                    </w:sdtContent>
                  </w:sdt>
                  <w:r>
                    <w:rPr>
                      <w:szCs w:val="24"/>
                    </w:rPr>
                    <w:t xml:space="preserve">. Agentūros prašymu, Nacionalinė mokėjimo agentūra prie Žemės ūkio ministerijos per 10 darbo dienų pateikia informaciją apie pareiškėjo </w:t>
                  </w:r>
                  <w:r>
                    <w:rPr>
                      <w:color w:val="000000"/>
                      <w:szCs w:val="24"/>
                      <w:lang w:eastAsia="en-GB"/>
                    </w:rPr>
                    <w:t>žvejybos l</w:t>
                  </w:r>
                  <w:r>
                    <w:rPr>
                      <w:szCs w:val="24"/>
                    </w:rPr>
                    <w:t>aivus, jų dalis ir (ar) verslinės žvejybos įrankius, įsigytus Europos jūrų reikalų ir žuvininkystės fondo (EJRŽF), Europos jūrų reikalų, žvejybos ir akvakultūros fondo ar kitos ES paramos arba valstybės lėšomis ir pareiškėjo išlaidas juos įsigyjant.</w:t>
                  </w:r>
                </w:p>
                <w:p>
                  <w:pPr>
                    <w:spacing w:line="276" w:lineRule="auto"/>
                    <w:ind w:firstLine="709"/>
                    <w:jc w:val="both"/>
                    <w:rPr>
                      <w:szCs w:val="24"/>
                    </w:rPr>
                  </w:pPr>
                </w:p>
              </w:sdtContent>
            </w:sdt>
          </w:sdtContent>
        </w:sdt>
        <w:sdt>
          <w:sdtPr>
            <w:alias w:val="skyrius"/>
            <w:tag w:val="part_21231b3eb81d434daa3cf121505c0d16"/>
            <w:lock w:val="sdtLocked"/>
            <w:richText/>
          </w:sdtPr>
          <w:sdtContent>
            <w:p>
              <w:pPr>
                <w:ind w:firstLine="709"/>
                <w:jc w:val="center"/>
                <w:rPr>
                  <w:b/>
                  <w:szCs w:val="24"/>
                  <w:lang w:val="en-GB"/>
                </w:rPr>
              </w:pPr>
              <w:sdt>
                <w:sdtPr>
                  <w:alias w:val="Numeris"/>
                  <w:tag w:val="nr_21231b3eb81d434daa3cf121505c0d16"/>
                  <w:lock w:val="sdtLocked"/>
                  <w:richText/>
                </w:sdtPr>
                <w:sdtContent>
                  <w:r>
                    <w:rPr>
                      <w:b/>
                      <w:szCs w:val="24"/>
                      <w:lang w:val="en-GB"/>
                    </w:rPr>
                    <w:t>VIII</w:t>
                  </w:r>
                </w:sdtContent>
              </w:sdt>
              <w:r>
                <w:rPr>
                  <w:b/>
                  <w:szCs w:val="24"/>
                  <w:lang w:val="en-GB"/>
                </w:rPr>
                <w:t xml:space="preserve"> SKYRIUS</w:t>
              </w:r>
            </w:p>
            <w:p>
              <w:pPr>
                <w:ind w:left="851" w:firstLine="709"/>
                <w:jc w:val="center"/>
                <w:rPr>
                  <w:b/>
                  <w:bCs/>
                  <w:color w:val="000000"/>
                  <w:szCs w:val="24"/>
                  <w:lang w:val="en-GB"/>
                </w:rPr>
              </w:pPr>
              <w:sdt>
                <w:sdtPr>
                  <w:alias w:val="Pavadinimas"/>
                  <w:tag w:val="title_21231b3eb81d434daa3cf121505c0d16"/>
                  <w:lock w:val="sdtLocked"/>
                  <w:richText/>
                </w:sdtPr>
                <w:sdtContent>
                  <w:r>
                    <w:rPr>
                      <w:b/>
                      <w:bCs/>
                      <w:color w:val="000000"/>
                      <w:szCs w:val="24"/>
                      <w:lang w:val="en-GB"/>
                    </w:rPr>
                    <w:t>IŠMOKŲ SUTARČIŲ SUDARYMAS IR IŠMOKŲ MOKĖJIMAS</w:t>
                  </w:r>
                </w:sdtContent>
              </w:sdt>
            </w:p>
            <w:p>
              <w:pPr>
                <w:spacing w:line="276" w:lineRule="auto"/>
                <w:ind w:left="851" w:firstLine="709"/>
                <w:jc w:val="center"/>
                <w:rPr>
                  <w:b/>
                  <w:szCs w:val="24"/>
                  <w:lang w:val="en-GB"/>
                </w:rPr>
              </w:pPr>
            </w:p>
            <w:sdt>
              <w:sdtPr>
                <w:alias w:val="28 p."/>
                <w:tag w:val="part_751d8e8a6d5e4b4e81aaf4541a2487b6"/>
                <w:lock w:val="sdtLocked"/>
                <w:richText/>
              </w:sdtPr>
              <w:sdtContent>
                <w:p>
                  <w:pPr>
                    <w:spacing w:line="276" w:lineRule="auto"/>
                    <w:ind w:firstLine="709"/>
                    <w:jc w:val="both"/>
                    <w:rPr>
                      <w:color w:val="000000"/>
                      <w:szCs w:val="24"/>
                    </w:rPr>
                  </w:pPr>
                  <w:sdt>
                    <w:sdtPr>
                      <w:alias w:val="Numeris"/>
                      <w:tag w:val="nr_751d8e8a6d5e4b4e81aaf4541a2487b6"/>
                      <w:lock w:val="sdtLocked"/>
                      <w:richText/>
                    </w:sdtPr>
                    <w:sdtContent>
                      <w:r>
                        <w:rPr>
                          <w:szCs w:val="24"/>
                        </w:rPr>
                        <w:t>28</w:t>
                      </w:r>
                    </w:sdtContent>
                  </w:sdt>
                  <w:r>
                    <w:rPr>
                      <w:szCs w:val="24"/>
                    </w:rPr>
                    <w:t xml:space="preserve">. </w:t>
                  </w:r>
                  <w:r>
                    <w:rPr>
                      <w:szCs w:val="24"/>
                      <w:lang w:val="en-GB"/>
                    </w:rPr>
                    <w:t>Agentūra per 10 darbo dienų nuo sprendimo skirti išmoką priėmimo dienos  parengia išmokos sutarties projektą ir organizuoja jos pasirašymą su pareiškėju.</w:t>
                  </w:r>
                  <w:r>
                    <w:rPr>
                      <w:color w:val="000000"/>
                      <w:szCs w:val="24"/>
                    </w:rPr>
                    <w:t xml:space="preserve"> </w:t>
                  </w:r>
                </w:p>
              </w:sdtContent>
            </w:sdt>
            <w:sdt>
              <w:sdtPr>
                <w:alias w:val="29 p."/>
                <w:tag w:val="part_0682f0e3dda8414f9990cffdc2c1ac0b"/>
                <w:lock w:val="sdtLocked"/>
                <w:richText/>
              </w:sdtPr>
              <w:sdtContent>
                <w:p>
                  <w:pPr>
                    <w:spacing w:line="276" w:lineRule="auto"/>
                    <w:ind w:firstLine="709"/>
                    <w:jc w:val="both"/>
                    <w:rPr>
                      <w:szCs w:val="24"/>
                    </w:rPr>
                  </w:pPr>
                  <w:sdt>
                    <w:sdtPr>
                      <w:alias w:val="Numeris"/>
                      <w:tag w:val="nr_0682f0e3dda8414f9990cffdc2c1ac0b"/>
                      <w:lock w:val="sdtLocked"/>
                      <w:richText/>
                    </w:sdtPr>
                    <w:sdtContent>
                      <w:r>
                        <w:rPr>
                          <w:szCs w:val="24"/>
                        </w:rPr>
                        <w:t>29</w:t>
                      </w:r>
                    </w:sdtContent>
                  </w:sdt>
                  <w:r>
                    <w:rPr>
                      <w:szCs w:val="24"/>
                    </w:rPr>
                    <w:t xml:space="preserve">. Pareiškėjas nuo išmokos sutarties įsigaliojimo dienos tampa išmokos gavėju. Išmokos sutartyje numatomi išmokos gavėjų įsipareigojimai, taikomi nuo išmokos sutarties įsigaliojimo dienos: </w:t>
                  </w:r>
                </w:p>
                <w:sdt>
                  <w:sdtPr>
                    <w:alias w:val="29.1 pp."/>
                    <w:tag w:val="part_381b2a58571946f3a56789ff33a7335e"/>
                    <w:lock w:val="sdtLocked"/>
                    <w:richText/>
                  </w:sdtPr>
                  <w:sdtContent>
                    <w:p>
                      <w:pPr>
                        <w:spacing w:line="276" w:lineRule="auto"/>
                        <w:ind w:firstLine="709"/>
                        <w:jc w:val="both"/>
                        <w:rPr>
                          <w:szCs w:val="24"/>
                        </w:rPr>
                      </w:pPr>
                      <w:sdt>
                        <w:sdtPr>
                          <w:alias w:val="Numeris"/>
                          <w:tag w:val="nr_381b2a58571946f3a56789ff33a7335e"/>
                          <w:lock w:val="sdtLocked"/>
                          <w:richText/>
                        </w:sdtPr>
                        <w:sdtContent>
                          <w:r>
                            <w:rPr>
                              <w:szCs w:val="24"/>
                            </w:rPr>
                            <w:t>29.1</w:t>
                          </w:r>
                        </w:sdtContent>
                      </w:sdt>
                      <w:r>
                        <w:rPr>
                          <w:szCs w:val="24"/>
                        </w:rPr>
                        <w:t xml:space="preserve"> išmokos gavėjui visam laikui nutraukti verslinę žvejybą </w:t>
                      </w:r>
                      <w:r>
                        <w:rPr>
                          <w:color w:val="000000"/>
                          <w:szCs w:val="24"/>
                          <w:lang w:eastAsia="en-GB"/>
                        </w:rPr>
                        <w:t xml:space="preserve">visuose vidaus vandenų telkiniuose, </w:t>
                      </w:r>
                      <w:r>
                        <w:rPr>
                          <w:szCs w:val="24"/>
                        </w:rPr>
                        <w:t>nebeprašyti skirti naują žvejybos kvotą ir įregistruoti naują žvejybos laivą;</w:t>
                      </w:r>
                    </w:p>
                  </w:sdtContent>
                </w:sdt>
                <w:sdt>
                  <w:sdtPr>
                    <w:alias w:val="29.2 pp."/>
                    <w:tag w:val="part_d6a3fdacd8214c09840fed92207bd025"/>
                    <w:lock w:val="sdtLocked"/>
                    <w:richText/>
                  </w:sdtPr>
                  <w:sdtContent>
                    <w:p>
                      <w:pPr>
                        <w:spacing w:line="276" w:lineRule="auto"/>
                        <w:ind w:firstLine="709"/>
                        <w:jc w:val="both"/>
                        <w:rPr>
                          <w:szCs w:val="24"/>
                          <w:lang w:val="en-US"/>
                        </w:rPr>
                      </w:pPr>
                      <w:sdt>
                        <w:sdtPr>
                          <w:alias w:val="Numeris"/>
                          <w:tag w:val="nr_d6a3fdacd8214c09840fed92207bd025"/>
                          <w:lock w:val="sdtLocked"/>
                          <w:richText/>
                        </w:sdtPr>
                        <w:sdtContent>
                          <w:r>
                            <w:rPr>
                              <w:szCs w:val="24"/>
                            </w:rPr>
                            <w:t>29.2</w:t>
                          </w:r>
                        </w:sdtContent>
                      </w:sdt>
                      <w:r>
                        <w:rPr>
                          <w:szCs w:val="24"/>
                        </w:rPr>
                        <w:t xml:space="preserve">. patvirtinti, kad yra informuotas, jog duomenys apie gaunamą (gautą) išmoką bus viešinami informuojant visuomenę </w:t>
                      </w:r>
                      <w:r>
                        <w:rPr>
                          <w:color w:val="000000"/>
                          <w:szCs w:val="24"/>
                          <w:lang w:eastAsia="en-GB"/>
                        </w:rPr>
                        <w:t xml:space="preserve">vadovaujantis Reglamento (ES) 2016/679 6 str. 1 d. c punktu ir Europos Komisijos komunikato Nr. </w:t>
                      </w:r>
                      <w:r>
                        <w:rPr>
                          <w:szCs w:val="22"/>
                          <w:lang w:val="en-GB"/>
                        </w:rPr>
                        <w:t>C(2023)1598</w:t>
                      </w:r>
                      <w:r>
                        <w:rPr>
                          <w:color w:val="000000"/>
                          <w:szCs w:val="24"/>
                          <w:lang w:eastAsia="en-GB"/>
                        </w:rPr>
                        <w:t xml:space="preserve"> „</w:t>
                      </w:r>
                      <w:r>
                        <w:rPr>
                          <w:szCs w:val="22"/>
                          <w:lang w:val="en-GB"/>
                        </w:rPr>
                        <w:t>Valstybės pagalbos žvejybos ir akvakultūros sektoriuje gairės</w:t>
                      </w:r>
                      <w:r>
                        <w:rPr>
                          <w:szCs w:val="24"/>
                        </w:rPr>
                        <w:t>“</w:t>
                      </w:r>
                      <w:r>
                        <w:rPr>
                          <w:szCs w:val="22"/>
                          <w:lang w:val="en-GB"/>
                        </w:rPr>
                        <w:t xml:space="preserve"> I dalies </w:t>
                      </w:r>
                      <w:r>
                        <w:rPr>
                          <w:color w:val="000000"/>
                          <w:szCs w:val="24"/>
                          <w:lang w:eastAsia="en-GB"/>
                        </w:rPr>
                        <w:t>3 skyriaus 3.2.4 skirsniu,</w:t>
                      </w:r>
                      <w:r>
                        <w:rPr>
                          <w:szCs w:val="24"/>
                        </w:rPr>
                        <w:t xml:space="preserve"> skelbiant Agentūros interneto svetainėje išmokos gavėjo pavadinimą arba vardą, pavardę ir skirtą išmokos sumą;</w:t>
                      </w:r>
                    </w:p>
                  </w:sdtContent>
                </w:sdt>
                <w:sdt>
                  <w:sdtPr>
                    <w:alias w:val="29.3 pp."/>
                    <w:tag w:val="part_4b2fe8a60e9e4418b397ab750bd40db4"/>
                    <w:lock w:val="sdtLocked"/>
                    <w:richText/>
                  </w:sdtPr>
                  <w:sdtContent>
                    <w:p>
                      <w:pPr>
                        <w:shd w:val="clear" w:color="auto" w:fill="FFFFFF"/>
                        <w:spacing w:line="276" w:lineRule="auto"/>
                        <w:ind w:firstLine="709"/>
                        <w:jc w:val="both"/>
                        <w:rPr>
                          <w:color w:val="000000"/>
                          <w:szCs w:val="24"/>
                          <w:lang w:eastAsia="en-GB"/>
                        </w:rPr>
                      </w:pPr>
                      <w:sdt>
                        <w:sdtPr>
                          <w:alias w:val="Numeris"/>
                          <w:tag w:val="nr_4b2fe8a60e9e4418b397ab750bd40db4"/>
                          <w:lock w:val="sdtLocked"/>
                          <w:richText/>
                        </w:sdtPr>
                        <w:sdtContent>
                          <w:r>
                            <w:rPr>
                              <w:color w:val="000000"/>
                              <w:szCs w:val="24"/>
                              <w:lang w:eastAsia="en-GB"/>
                            </w:rPr>
                            <w:t>29.3</w:t>
                          </w:r>
                        </w:sdtContent>
                      </w:sdt>
                      <w:r>
                        <w:rPr>
                          <w:color w:val="000000"/>
                          <w:szCs w:val="24"/>
                          <w:lang w:eastAsia="en-GB"/>
                        </w:rPr>
                        <w:t xml:space="preserve">. patvirtinti, kad yra informuotas, jog Agentūrai pateikti duomenys ir duomenys apie gaunamą (gautą) išmoką, vadovaujantis Reglamento (ES) 2016/679 6 str. 1 d. c punktu ir Europos Komisijos komunikato Nr. </w:t>
                      </w:r>
                      <w:r>
                        <w:rPr>
                          <w:szCs w:val="22"/>
                          <w:lang w:val="en-GB"/>
                        </w:rPr>
                        <w:t>C(2023)1598</w:t>
                      </w:r>
                      <w:r>
                        <w:rPr>
                          <w:color w:val="000000"/>
                          <w:szCs w:val="24"/>
                          <w:lang w:eastAsia="en-GB"/>
                        </w:rPr>
                        <w:t xml:space="preserve"> „</w:t>
                      </w:r>
                      <w:r>
                        <w:rPr>
                          <w:szCs w:val="22"/>
                          <w:lang w:val="en-GB"/>
                        </w:rPr>
                        <w:t>Valstybės pagalbos žvejybos ir akvakultūros sektoriuje gairės</w:t>
                      </w:r>
                      <w:r>
                        <w:rPr>
                          <w:szCs w:val="24"/>
                        </w:rPr>
                        <w:t>“</w:t>
                      </w:r>
                      <w:r>
                        <w:rPr>
                          <w:szCs w:val="22"/>
                          <w:lang w:val="en-GB"/>
                        </w:rPr>
                        <w:t xml:space="preserve"> III dalies 5 skirsniu</w:t>
                      </w:r>
                      <w:r>
                        <w:rPr>
                          <w:color w:val="000000"/>
                          <w:szCs w:val="24"/>
                          <w:lang w:eastAsia="en-GB"/>
                        </w:rPr>
                        <w:t xml:space="preserve">, gali būti perduoti Europos Komisijai, kitoms Lietuvos Respublikos ir Europos Sąjungos  institucijoms, audito ir teisėsaugos institucijoms Europos Sąjungos ir Lietuvos Respublikos teisės aktuose nustatyta tvarka kontrolės tikslais.</w:t>
                      </w:r>
                    </w:p>
                  </w:sdtContent>
                </w:sdt>
                <w:sdt>
                  <w:sdtPr>
                    <w:alias w:val="29.4 pp."/>
                    <w:tag w:val="part_8141c9bd3dd5423e807338248060ecd9"/>
                    <w:lock w:val="sdtLocked"/>
                    <w:richText/>
                  </w:sdtPr>
                  <w:sdtContent>
                    <w:p>
                      <w:pPr>
                        <w:spacing w:line="276" w:lineRule="auto"/>
                        <w:ind w:firstLine="709"/>
                        <w:jc w:val="both"/>
                        <w:rPr>
                          <w:color w:val="000000"/>
                          <w:szCs w:val="24"/>
                          <w:lang w:eastAsia="en-GB"/>
                        </w:rPr>
                      </w:pPr>
                      <w:sdt>
                        <w:sdtPr>
                          <w:alias w:val="Numeris"/>
                          <w:tag w:val="nr_8141c9bd3dd5423e807338248060ecd9"/>
                          <w:lock w:val="sdtLocked"/>
                          <w:richText/>
                        </w:sdtPr>
                        <w:sdtContent>
                          <w:r>
                            <w:rPr>
                              <w:szCs w:val="24"/>
                              <w:lang w:eastAsia="lt-LT"/>
                            </w:rPr>
                            <w:t>29.4</w:t>
                          </w:r>
                        </w:sdtContent>
                      </w:sdt>
                      <w:r>
                        <w:rPr>
                          <w:szCs w:val="24"/>
                          <w:lang w:eastAsia="lt-LT"/>
                        </w:rPr>
                        <w:t>. ne vėliau kaip iki einamųjų metų lapkričio 15 d. Agentūrai pateikti prašymą išmokėti išmoką pateikiant visus dokumentus, reikalingus tiksliam išmokos dydžiui apskaičiuoti:</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4d57106c0d11efafbb8694c098bac5">
                        <w:r w:rsidRPr="00532B9F">
                          <w:rPr>
                            <w:rFonts w:ascii="Arial" w:eastAsia="MS Mincho" w:hAnsi="Arial"/>
                            <w:sz w:val="20"/>
                            <w:i/>
                            <w:iCs/>
                            <w:color w:val="0000FF" w:themeColor="hyperlink"/>
                            <w:u w:val="single"/>
                          </w:rPr>
                          <w:t>D1-294</w:t>
                        </w:r>
                      </w:fldSimple>
                      <w:r>
                        <w:rPr>
                          <w:rFonts w:ascii="Arial" w:eastAsia="MS Mincho" w:hAnsi="Arial"/>
                          <w:sz w:val="20"/>
                          <w:i/>
                          <w:iCs/>
                        </w:rPr>
                        <w:t>,
2024-09-06,
paskelbta TAR 2024-09-06, i. k. 2024-15724            </w:t>
                      </w:r>
                    </w:p>
                    <w:sdt>
                      <w:sdtPr>
                        <w:alias w:val="29.4.1 pp."/>
                        <w:tag w:val="part_3f9602af5295434eab68ce365bd3661c"/>
                        <w:lock w:val="sdtLocked"/>
                        <w:richText/>
                      </w:sdtPr>
                      <w:sdtContent>
                        <w:p>
                          <w:pPr>
                            <w:spacing w:line="276" w:lineRule="auto"/>
                            <w:ind w:firstLine="709"/>
                            <w:jc w:val="both"/>
                            <w:rPr>
                              <w:color w:val="000000"/>
                              <w:szCs w:val="24"/>
                            </w:rPr>
                          </w:pPr>
                          <w:sdt>
                            <w:sdtPr>
                              <w:alias w:val="Numeris"/>
                              <w:tag w:val="nr_3f9602af5295434eab68ce365bd3661c"/>
                              <w:lock w:val="sdtLocked"/>
                              <w:richText/>
                            </w:sdtPr>
                            <w:sdtContent>
                              <w:r>
                                <w:rPr>
                                  <w:color w:val="000000"/>
                                  <w:szCs w:val="24"/>
                                  <w:lang w:val="en-GB"/>
                                </w:rPr>
                                <w:t>29.4.1</w:t>
                              </w:r>
                            </w:sdtContent>
                          </w:sdt>
                          <w:r>
                            <w:rPr>
                              <w:color w:val="000000"/>
                              <w:szCs w:val="24"/>
                              <w:lang w:val="en-GB"/>
                            </w:rPr>
                            <w:t xml:space="preserve">. </w:t>
                          </w:r>
                          <w:r>
                            <w:rPr>
                              <w:color w:val="000000"/>
                              <w:szCs w:val="24"/>
                            </w:rPr>
                            <w:t>žvejybos laivų, jų dalių ir verslinės žvejybos įrankių, kurių sunaikinimo išlaidas prašoma įskaičiuoti į išmoką, likutinę vertę pagrindžiančius dokumentus ir sąskaitas faktūras, pagrindžiančias transportavimo iki sunaikinimo vietos ir sunaikinimo išlaidas;</w:t>
                          </w:r>
                        </w:p>
                      </w:sdtContent>
                    </w:sdt>
                    <w:sdt>
                      <w:sdtPr>
                        <w:alias w:val="29.4.2 pp."/>
                        <w:tag w:val="part_3bfa12a6ca2c45ffae5696af99e807b7"/>
                        <w:lock w:val="sdtLocked"/>
                        <w:richText/>
                      </w:sdtPr>
                      <w:sdtContent>
                        <w:p>
                          <w:pPr>
                            <w:spacing w:line="276" w:lineRule="auto"/>
                            <w:ind w:firstLine="709"/>
                            <w:jc w:val="both"/>
                            <w:rPr>
                              <w:bCs/>
                              <w:iCs/>
                              <w:szCs w:val="24"/>
                            </w:rPr>
                          </w:pPr>
                          <w:sdt>
                            <w:sdtPr>
                              <w:alias w:val="Numeris"/>
                              <w:tag w:val="nr_3bfa12a6ca2c45ffae5696af99e807b7"/>
                              <w:lock w:val="sdtLocked"/>
                              <w:richText/>
                            </w:sdtPr>
                            <w:sdtContent>
                              <w:r>
                                <w:rPr>
                                  <w:color w:val="000000"/>
                                  <w:szCs w:val="24"/>
                                </w:rPr>
                                <w:t>29.4.2</w:t>
                              </w:r>
                            </w:sdtContent>
                          </w:sdt>
                          <w:r>
                            <w:rPr>
                              <w:color w:val="000000"/>
                              <w:szCs w:val="24"/>
                            </w:rPr>
                            <w:t xml:space="preserve">. </w:t>
                          </w:r>
                          <w:r>
                            <w:rPr>
                              <w:szCs w:val="24"/>
                            </w:rPr>
                            <w:t xml:space="preserve">dokumentus, pagrindžiančius </w:t>
                          </w:r>
                          <w:r>
                            <w:rPr>
                              <w:bCs/>
                              <w:iCs/>
                              <w:szCs w:val="24"/>
                            </w:rPr>
                            <w:t>išlaidas, susijusias su darbuotojų atleidimu;</w:t>
                          </w:r>
                        </w:p>
                      </w:sdtContent>
                    </w:sdt>
                    <w:sdt>
                      <w:sdtPr>
                        <w:alias w:val="29.4.3 pp."/>
                        <w:tag w:val="part_1ab01906ab7e499ab92ba99fd3209037"/>
                        <w:lock w:val="sdtLocked"/>
                        <w:richText/>
                      </w:sdtPr>
                      <w:sdtContent>
                        <w:p>
                          <w:pPr>
                            <w:spacing w:line="276" w:lineRule="auto"/>
                            <w:ind w:firstLine="709"/>
                            <w:jc w:val="both"/>
                            <w:rPr>
                              <w:szCs w:val="24"/>
                            </w:rPr>
                          </w:pPr>
                          <w:sdt>
                            <w:sdtPr>
                              <w:alias w:val="Numeris"/>
                              <w:tag w:val="nr_1ab01906ab7e499ab92ba99fd3209037"/>
                              <w:lock w:val="sdtLocked"/>
                              <w:richText/>
                            </w:sdtPr>
                            <w:sdtContent>
                              <w:r>
                                <w:rPr>
                                  <w:szCs w:val="24"/>
                                </w:rPr>
                                <w:t>29.4.3</w:t>
                              </w:r>
                            </w:sdtContent>
                          </w:sdt>
                          <w:r>
                            <w:rPr>
                              <w:szCs w:val="24"/>
                            </w:rPr>
                            <w:t>. dokumentus, pagrindžiančius nuostolius, atsiradusius po sprendimo skirti išmoką priėmimo dėl finansinių įsipareigojimų įgyvendinant Lietuvos žuvininkystės sektoriaus 2014–2020 metų veiksmų programos priemones, nevykdymo.</w:t>
                          </w:r>
                        </w:p>
                      </w:sdtContent>
                    </w:sdt>
                  </w:sdtContent>
                </w:sdt>
                <w:sdt>
                  <w:sdtPr>
                    <w:alias w:val="29.5 pp."/>
                    <w:tag w:val="part_d50314eed2a24ffeb8726560366e7580"/>
                    <w:lock w:val="sdtLocked"/>
                    <w:richText/>
                  </w:sdtPr>
                  <w:sdtContent>
                    <w:p>
                      <w:pPr>
                        <w:tabs>
                          <w:tab w:val="left" w:pos="993"/>
                        </w:tabs>
                        <w:suppressAutoHyphens/>
                        <w:ind w:firstLine="709"/>
                        <w:jc w:val="both"/>
                        <w:textAlignment w:val="baseline"/>
                        <w:rPr>
                          <w:color w:val="000000"/>
                          <w:szCs w:val="24"/>
                        </w:rPr>
                      </w:pPr>
                      <w:sdt>
                        <w:sdtPr>
                          <w:alias w:val="Numeris"/>
                          <w:tag w:val="nr_d50314eed2a24ffeb8726560366e7580"/>
                          <w:lock w:val="sdtLocked"/>
                          <w:richText/>
                        </w:sdtPr>
                        <w:sdtContent>
                          <w:r>
                            <w:rPr>
                              <w:szCs w:val="24"/>
                              <w:lang w:eastAsia="lt-LT"/>
                            </w:rPr>
                            <w:t>29.5</w:t>
                          </w:r>
                        </w:sdtContent>
                      </w:sdt>
                      <w:r>
                        <w:rPr>
                          <w:szCs w:val="24"/>
                          <w:lang w:eastAsia="lt-LT"/>
                        </w:rPr>
                        <w:t>. iki einamųjų metų lapkričio 1 d. pateikti Žuvininkystės tarnybai prašymus panaikinti jam skirtą teisę į žvejybos kvotą, kaip numatyta Žuvininkystės įstatymo 14</w:t>
                      </w:r>
                      <w:r>
                        <w:rPr>
                          <w:szCs w:val="24"/>
                          <w:vertAlign w:val="superscript"/>
                          <w:lang w:eastAsia="lt-LT"/>
                        </w:rPr>
                        <w:t>3</w:t>
                      </w:r>
                      <w:r>
                        <w:rPr>
                          <w:szCs w:val="24"/>
                          <w:lang w:eastAsia="lt-LT"/>
                        </w:rPr>
                        <w:t xml:space="preserve"> straipsnio 3 dalies 1 punkte, ir išregistruoti visus jo žvejybos laivus iš Vidaus vandenų žvejybos laivų sąrašo.</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4d57106c0d11efafbb8694c098bac5">
                        <w:r w:rsidRPr="00532B9F">
                          <w:rPr>
                            <w:rFonts w:ascii="Arial" w:eastAsia="MS Mincho" w:hAnsi="Arial"/>
                            <w:sz w:val="20"/>
                            <w:i/>
                            <w:iCs/>
                            <w:color w:val="0000FF" w:themeColor="hyperlink"/>
                            <w:u w:val="single"/>
                          </w:rPr>
                          <w:t>D1-294</w:t>
                        </w:r>
                      </w:fldSimple>
                      <w:r>
                        <w:rPr>
                          <w:rFonts w:ascii="Arial" w:eastAsia="MS Mincho" w:hAnsi="Arial"/>
                          <w:sz w:val="20"/>
                          <w:i/>
                          <w:iCs/>
                        </w:rPr>
                        <w:t>,
2024-09-06,
paskelbta TAR 2024-09-06, i. k. 2024-15724            </w:t>
                      </w:r>
                    </w:p>
                    <w:p/>
                  </w:sdtContent>
                </w:sdt>
              </w:sdtContent>
            </w:sdt>
            <w:sdt>
              <w:sdtPr>
                <w:alias w:val="30 p."/>
                <w:tag w:val="part_8b329b21177e4637bc56e87a64d6e6f7"/>
                <w:lock w:val="sdtLocked"/>
                <w:richText/>
              </w:sdtPr>
              <w:sdtContent>
                <w:p>
                  <w:pPr>
                    <w:shd w:val="clear" w:color="auto" w:fill="FFFFFF"/>
                    <w:spacing w:line="276" w:lineRule="auto"/>
                    <w:ind w:firstLine="709"/>
                    <w:jc w:val="both"/>
                    <w:rPr>
                      <w:color w:val="000000"/>
                      <w:szCs w:val="24"/>
                      <w:lang w:eastAsia="en-GB"/>
                    </w:rPr>
                  </w:pPr>
                  <w:sdt>
                    <w:sdtPr>
                      <w:alias w:val="Numeris"/>
                      <w:tag w:val="nr_8b329b21177e4637bc56e87a64d6e6f7"/>
                      <w:lock w:val="sdtLocked"/>
                      <w:richText/>
                    </w:sdtPr>
                    <w:sdtContent>
                      <w:r>
                        <w:rPr>
                          <w:szCs w:val="24"/>
                        </w:rPr>
                        <w:t>30</w:t>
                      </w:r>
                    </w:sdtContent>
                  </w:sdt>
                  <w:r>
                    <w:rPr>
                      <w:szCs w:val="24"/>
                    </w:rPr>
                    <w:t>. Jei pareiškėjas neprašo į išmoką įtraukti Tvarkos aprašo 29.4 papunktyje nurodytų išlaidų ir nuostolių, Tvarkos aprašo 29.4 papunktyje nurodytų dokumentų pateikti neprivaloma.</w:t>
                  </w:r>
                </w:p>
              </w:sdtContent>
            </w:sdt>
            <w:sdt>
              <w:sdtPr>
                <w:alias w:val="31 p."/>
                <w:tag w:val="part_2ea4f0a9faad4815911ca6adfd80074f"/>
                <w:lock w:val="sdtLocked"/>
                <w:richText/>
              </w:sdtPr>
              <w:sdtContent>
                <w:p>
                  <w:pPr>
                    <w:spacing w:line="276" w:lineRule="auto"/>
                    <w:ind w:firstLine="709"/>
                    <w:jc w:val="both"/>
                    <w:rPr>
                      <w:color w:val="000000"/>
                      <w:szCs w:val="24"/>
                      <w:lang w:eastAsia="en-GB"/>
                    </w:rPr>
                  </w:pPr>
                  <w:sdt>
                    <w:sdtPr>
                      <w:alias w:val="Numeris"/>
                      <w:tag w:val="nr_2ea4f0a9faad4815911ca6adfd80074f"/>
                      <w:lock w:val="sdtLocked"/>
                      <w:richText/>
                    </w:sdtPr>
                    <w:sdtContent>
                      <w:r>
                        <w:rPr>
                          <w:color w:val="000000"/>
                          <w:szCs w:val="24"/>
                        </w:rPr>
                        <w:t>31</w:t>
                      </w:r>
                    </w:sdtContent>
                  </w:sdt>
                  <w:r>
                    <w:rPr>
                      <w:color w:val="000000"/>
                      <w:szCs w:val="24"/>
                    </w:rPr>
                    <w:t xml:space="preserve">. </w:t>
                  </w:r>
                  <w:r>
                    <w:rPr>
                      <w:color w:val="000000"/>
                      <w:szCs w:val="24"/>
                      <w:lang w:eastAsia="en-GB"/>
                    </w:rPr>
                    <w:t xml:space="preserve">Žuvininkystės tarnyba, gavusi Tvarkos aprašo 29.5 papunktyje nurodytus prašymus, ne vėliau kaip per 20 darbo dienų panaikina išmokos gavėjo teisę į žvejybos kvotą, išregistruoja pareiškėjo žvejybos laivus iš </w:t>
                  </w:r>
                  <w:r>
                    <w:rPr>
                      <w:color w:val="000000"/>
                      <w:szCs w:val="24"/>
                    </w:rPr>
                    <w:t>Vidaus vandenų žvejybos laivų sąrašo ir</w:t>
                  </w:r>
                  <w:r>
                    <w:rPr>
                      <w:color w:val="000000"/>
                      <w:szCs w:val="24"/>
                      <w:lang w:eastAsia="en-GB"/>
                    </w:rPr>
                    <w:t xml:space="preserve"> apie tai raštu informuoja pareiškėją ir Agentūrą.</w:t>
                  </w:r>
                </w:p>
              </w:sdtContent>
            </w:sdt>
            <w:sdt>
              <w:sdtPr>
                <w:alias w:val="32 p."/>
                <w:tag w:val="part_64d409ada1664aa0bc933ac9c54ce913"/>
                <w:lock w:val="sdtLocked"/>
                <w:richText/>
              </w:sdtPr>
              <w:sdtContent>
                <w:p>
                  <w:pPr>
                    <w:spacing w:line="276" w:lineRule="auto"/>
                    <w:ind w:firstLine="709"/>
                    <w:jc w:val="both"/>
                    <w:rPr>
                      <w:szCs w:val="24"/>
                      <w:lang w:eastAsia="lt-LT"/>
                    </w:rPr>
                  </w:pPr>
                  <w:sdt>
                    <w:sdtPr>
                      <w:alias w:val="Numeris"/>
                      <w:tag w:val="nr_64d409ada1664aa0bc933ac9c54ce913"/>
                      <w:lock w:val="sdtLocked"/>
                      <w:richText/>
                    </w:sdtPr>
                    <w:sdtContent>
                      <w:r>
                        <w:rPr>
                          <w:color w:val="000000"/>
                          <w:szCs w:val="24"/>
                          <w:lang w:val="en-GB" w:eastAsia="lt-LT"/>
                        </w:rPr>
                        <w:t>32</w:t>
                      </w:r>
                    </w:sdtContent>
                  </w:sdt>
                  <w:r>
                    <w:rPr>
                      <w:color w:val="000000"/>
                      <w:szCs w:val="24"/>
                      <w:lang w:val="en-GB" w:eastAsia="lt-LT"/>
                    </w:rPr>
                    <w:t xml:space="preserve">. </w:t>
                  </w:r>
                  <w:r>
                    <w:rPr>
                      <w:color w:val="000000"/>
                      <w:szCs w:val="24"/>
                      <w:lang w:eastAsia="lt-LT"/>
                    </w:rPr>
                    <w:t xml:space="preserve">Tikslų išmokos dydį Agentūra apskaičiuoja vadovaudamasi Tvarkos aprašu, atsižvelgdama į išmokos gavėjo kartu su prašymu išmokėti išmoką pateiktus dokumentus ir išmoką perveda išmokos gavėjui, kurio teisė į žvejybos kvotą panaikinta ir žvejybos laivai išregistruoti iš Vidaus vandenų žvejybos laivų sąrašo, į jo sąskaitą, nurodytą išmokos sutartyje, ne vėliau kaip per 20 darbo dienų nuo prašymo išmokėti išmoką gavimo dienos. </w:t>
                  </w:r>
                </w:p>
                <w:p>
                  <w:pPr>
                    <w:spacing w:line="276" w:lineRule="auto"/>
                    <w:ind w:firstLine="709"/>
                    <w:jc w:val="center"/>
                    <w:rPr>
                      <w:b/>
                      <w:bCs/>
                      <w:color w:val="000000"/>
                      <w:szCs w:val="24"/>
                      <w:lang w:eastAsia="en-GB"/>
                    </w:rPr>
                  </w:pPr>
                </w:p>
              </w:sdtContent>
            </w:sdt>
          </w:sdtContent>
        </w:sdt>
        <w:sdt>
          <w:sdtPr>
            <w:alias w:val="skyrius"/>
            <w:tag w:val="part_d24737abb76a4d2b9508761c9718454a"/>
            <w:lock w:val="sdtLocked"/>
            <w:richText/>
          </w:sdtPr>
          <w:sdtContent>
            <w:p>
              <w:pPr>
                <w:ind w:firstLine="709"/>
                <w:jc w:val="center"/>
                <w:rPr>
                  <w:color w:val="000000"/>
                  <w:szCs w:val="24"/>
                  <w:lang w:eastAsia="en-GB"/>
                </w:rPr>
              </w:pPr>
              <w:sdt>
                <w:sdtPr>
                  <w:alias w:val="Numeris"/>
                  <w:tag w:val="nr_d24737abb76a4d2b9508761c9718454a"/>
                  <w:lock w:val="sdtLocked"/>
                  <w:richText/>
                </w:sdtPr>
                <w:sdtContent>
                  <w:r>
                    <w:rPr>
                      <w:b/>
                      <w:bCs/>
                      <w:color w:val="000000"/>
                      <w:szCs w:val="24"/>
                      <w:lang w:eastAsia="en-GB"/>
                    </w:rPr>
                    <w:t>IX</w:t>
                  </w:r>
                </w:sdtContent>
              </w:sdt>
              <w:r>
                <w:rPr>
                  <w:b/>
                  <w:bCs/>
                  <w:color w:val="000000"/>
                  <w:szCs w:val="24"/>
                  <w:lang w:eastAsia="en-GB"/>
                </w:rPr>
                <w:t xml:space="preserve"> SKYRIUS</w:t>
              </w:r>
            </w:p>
            <w:p>
              <w:pPr>
                <w:ind w:firstLine="709"/>
                <w:jc w:val="center"/>
                <w:rPr>
                  <w:color w:val="000000"/>
                  <w:szCs w:val="24"/>
                  <w:lang w:eastAsia="en-GB"/>
                </w:rPr>
              </w:pPr>
              <w:sdt>
                <w:sdtPr>
                  <w:alias w:val="Pavadinimas"/>
                  <w:tag w:val="title_d24737abb76a4d2b9508761c9718454a"/>
                  <w:lock w:val="sdtLocked"/>
                  <w:richText/>
                </w:sdtPr>
                <w:sdtContent>
                  <w:r>
                    <w:rPr>
                      <w:b/>
                      <w:bCs/>
                      <w:color w:val="000000"/>
                      <w:szCs w:val="24"/>
                      <w:lang w:eastAsia="en-GB"/>
                    </w:rPr>
                    <w:t>BAIGIAMOSIOS NUOSTATOS</w:t>
                  </w:r>
                </w:sdtContent>
              </w:sdt>
            </w:p>
            <w:p>
              <w:pPr>
                <w:spacing w:line="276" w:lineRule="auto"/>
                <w:ind w:firstLine="709"/>
                <w:rPr>
                  <w:color w:val="000000"/>
                  <w:szCs w:val="24"/>
                  <w:lang w:eastAsia="en-GB"/>
                </w:rPr>
              </w:pPr>
            </w:p>
            <w:sdt>
              <w:sdtPr>
                <w:alias w:val="33 p."/>
                <w:tag w:val="part_3c9cb92e97ff4184936af0ff6701e3cd"/>
                <w:lock w:val="sdtLocked"/>
                <w:richText/>
              </w:sdtPr>
              <w:sdtContent>
                <w:p>
                  <w:pPr>
                    <w:widowControl w:val="0"/>
                    <w:suppressAutoHyphens/>
                    <w:spacing w:line="276" w:lineRule="auto"/>
                    <w:ind w:firstLine="709"/>
                    <w:jc w:val="both"/>
                  </w:pPr>
                  <w:sdt>
                    <w:sdtPr>
                      <w:alias w:val="Numeris"/>
                      <w:tag w:val="nr_3c9cb92e97ff4184936af0ff6701e3cd"/>
                      <w:lock w:val="sdtLocked"/>
                      <w:richText/>
                    </w:sdtPr>
                    <w:sdtContent>
                      <w:r>
                        <w:rPr>
                          <w:color w:val="000000"/>
                          <w:lang w:eastAsia="lt-LT"/>
                        </w:rPr>
                        <w:t>33</w:t>
                      </w:r>
                    </w:sdtContent>
                  </w:sdt>
                  <w:r>
                    <w:rPr>
                      <w:color w:val="000000"/>
                      <w:lang w:eastAsia="lt-LT"/>
                    </w:rPr>
                    <w:t>. Priėmus sprendimą finansuoti projektą, Agentūra įregistruoja suteiktos valstybės pagalbos sumą Suteiktos valstybės pagalbos ir nereikšmingos (</w:t>
                  </w:r>
                  <w:r>
                    <w:rPr>
                      <w:i/>
                      <w:iCs/>
                      <w:color w:val="000000"/>
                      <w:lang w:eastAsia="lt-LT"/>
                    </w:rPr>
                    <w:t>de minimis</w:t>
                  </w:r>
                  <w:r>
                    <w:rPr>
                      <w:color w:val="000000"/>
                      <w:lang w:eastAsia="lt-LT"/>
                    </w:rPr>
                    <w:t>) pagalbos registro nuostatuose, patvirtintuose Lietuvos Respublikos Vyriausybės 2005 m. sausio 19 d. nutarimu Nr. 35 „Dėl Suteiktos valstybės pagalbos ir nereikšmingos (</w:t>
                  </w:r>
                  <w:r>
                    <w:rPr>
                      <w:i/>
                      <w:iCs/>
                      <w:color w:val="000000"/>
                      <w:lang w:eastAsia="lt-LT"/>
                    </w:rPr>
                    <w:t>de minimis</w:t>
                  </w:r>
                  <w:r>
                    <w:rPr>
                      <w:color w:val="000000"/>
                      <w:lang w:eastAsia="lt-LT"/>
                    </w:rPr>
                    <w:t>) pagalbos registro nuostatų patvirtinimo“, nustatyta tvarka.</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59b1a9019bf11ef8b14c5bcce136045">
                    <w:r w:rsidRPr="00532B9F">
                      <w:rPr>
                        <w:rFonts w:ascii="Arial" w:eastAsia="MS Mincho" w:hAnsi="Arial"/>
                        <w:sz w:val="20"/>
                        <w:i/>
                        <w:iCs/>
                        <w:color w:val="0000FF" w:themeColor="hyperlink"/>
                        <w:u w:val="single"/>
                      </w:rPr>
                      <w:t>D1-176</w:t>
                    </w:r>
                  </w:fldSimple>
                  <w:r>
                    <w:rPr>
                      <w:rFonts w:ascii="Arial" w:eastAsia="MS Mincho" w:hAnsi="Arial"/>
                      <w:sz w:val="20"/>
                      <w:i/>
                      <w:iCs/>
                    </w:rPr>
                    <w:t>,
2024-05-24,
paskelbta TAR 2024-05-24, i. k. 2024-09373        </w:t>
                  </w:r>
                </w:p>
                <w:p/>
              </w:sdtContent>
            </w:sdt>
            <w:sdt>
              <w:sdtPr>
                <w:alias w:val="34 p."/>
                <w:tag w:val="part_8caa638c9d2147718e3123d310e4ef66"/>
                <w:lock w:val="sdtLocked"/>
                <w:richText/>
              </w:sdtPr>
              <w:sdtContent>
                <w:p>
                  <w:pPr>
                    <w:spacing w:line="276" w:lineRule="auto"/>
                    <w:ind w:firstLine="709"/>
                    <w:jc w:val="both"/>
                    <w:rPr>
                      <w:color w:val="000000"/>
                      <w:szCs w:val="24"/>
                      <w:lang w:eastAsia="en-GB"/>
                    </w:rPr>
                  </w:pPr>
                  <w:sdt>
                    <w:sdtPr>
                      <w:alias w:val="Numeris"/>
                      <w:tag w:val="nr_8caa638c9d2147718e3123d310e4ef66"/>
                      <w:lock w:val="sdtLocked"/>
                      <w:richText/>
                    </w:sdtPr>
                    <w:sdtContent>
                      <w:r>
                        <w:rPr>
                          <w:color w:val="000000"/>
                          <w:szCs w:val="24"/>
                          <w:lang w:eastAsia="en-GB"/>
                        </w:rPr>
                        <w:t>34</w:t>
                      </w:r>
                    </w:sdtContent>
                  </w:sdt>
                  <w:r>
                    <w:rPr>
                      <w:color w:val="000000"/>
                      <w:szCs w:val="24"/>
                      <w:lang w:eastAsia="en-GB"/>
                    </w:rPr>
                    <w:t xml:space="preserve">. Pareiškėjas (išmokos gavėjas) turi teisę Lietuvos Respublikos viešojo administravimo įstatyme nustatyta tvarka skųsti Agentūros veiksmus ar neveikimą, susijusius su paraiškos vertinimu, sprendimu dėl išmokos skyrimo, išmokos mokėjimu. </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59b1a9019bf11ef8b14c5bcce136045">
                    <w:r w:rsidRPr="00532B9F">
                      <w:rPr>
                        <w:rFonts w:ascii="Arial" w:eastAsia="MS Mincho" w:hAnsi="Arial"/>
                        <w:sz w:val="20"/>
                        <w:i/>
                        <w:iCs/>
                        <w:color w:val="0000FF" w:themeColor="hyperlink"/>
                        <w:u w:val="single"/>
                      </w:rPr>
                      <w:t>D1-176</w:t>
                    </w:r>
                  </w:fldSimple>
                  <w:r>
                    <w:rPr>
                      <w:rFonts w:ascii="Arial" w:eastAsia="MS Mincho" w:hAnsi="Arial"/>
                      <w:sz w:val="20"/>
                      <w:i/>
                      <w:iCs/>
                    </w:rPr>
                    <w:t>,
2024-05-24,
paskelbta TAR 2024-05-24, i. k. 2024-09373        </w:t>
                  </w:r>
                </w:p>
                <w:p/>
              </w:sdtContent>
            </w:sdt>
            <w:sdt>
              <w:sdtPr>
                <w:alias w:val="35 p."/>
                <w:tag w:val="part_9a6bcdc350194b1e978cc56c15431323"/>
                <w:lock w:val="sdtLocked"/>
                <w:richText/>
              </w:sdtPr>
              <w:sdtContent>
                <w:p>
                  <w:pPr>
                    <w:spacing w:line="276" w:lineRule="auto"/>
                    <w:ind w:firstLine="709"/>
                    <w:jc w:val="both"/>
                    <w:rPr>
                      <w:color w:val="000000"/>
                      <w:szCs w:val="24"/>
                    </w:rPr>
                  </w:pPr>
                  <w:sdt>
                    <w:sdtPr>
                      <w:alias w:val="Numeris"/>
                      <w:tag w:val="nr_9a6bcdc350194b1e978cc56c15431323"/>
                      <w:lock w:val="sdtLocked"/>
                      <w:richText/>
                    </w:sdtPr>
                    <w:sdtContent>
                      <w:r>
                        <w:rPr>
                          <w:color w:val="000000"/>
                          <w:szCs w:val="24"/>
                          <w:lang w:eastAsia="en-GB"/>
                        </w:rPr>
                        <w:t>35</w:t>
                      </w:r>
                    </w:sdtContent>
                  </w:sdt>
                  <w:r>
                    <w:rPr>
                      <w:color w:val="000000"/>
                      <w:szCs w:val="24"/>
                      <w:lang w:eastAsia="en-GB"/>
                    </w:rPr>
                    <w:t xml:space="preserve">. </w:t>
                  </w:r>
                  <w:r>
                    <w:rPr>
                      <w:color w:val="000000"/>
                      <w:szCs w:val="24"/>
                    </w:rPr>
                    <w:t xml:space="preserve">Paaiškėjus, kad išmokos gavėjas teisei į išmoką ir (ar) jos dydžiui nustatyti pateikė klaidingus duomenis, penkerių metų laikotarpiu nuo išmokos skyrimo nesilaikė išmokos sutarties įsipareigojimų arba yra aplinkybių, dėl kurių išmokėta per didelė išmoka arba ji negalėjo būti skirta, Agentūra priima sprendimą dėl išmokėtų ir (ar) permokėtų lėšų sugrąžinimo, ir ne vėliau kaip per 5 darbo dienas nuo minėto sprendimo priėmimo raštu informuoja išmokos gavėją. Išmokos gavėjas privalo ne vėliau kaip per 15 darbo dienų nuo minėto sprendimo priėmimo pervesti Agentūros sprendime dėl išmokėtų ir (ar) permokėtų lėšų sugrąžinimo nurodytą sumą į Agentūros pranešime nurodytą sąskaitą. Per nustatytą laiką negrąžinta suma iš išmokos gavėjo išieškoma teisės aktuose, reguliuojančiuose valstybės biudžeto lėšų grąžinimą, nustatyta tvarka.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59b1a9019bf11ef8b14c5bcce136045">
                    <w:r w:rsidRPr="00532B9F">
                      <w:rPr>
                        <w:rFonts w:ascii="Arial" w:eastAsia="MS Mincho" w:hAnsi="Arial"/>
                        <w:sz w:val="20"/>
                        <w:i/>
                        <w:iCs/>
                        <w:color w:val="0000FF" w:themeColor="hyperlink"/>
                        <w:u w:val="single"/>
                      </w:rPr>
                      <w:t>D1-176</w:t>
                    </w:r>
                  </w:fldSimple>
                  <w:r>
                    <w:rPr>
                      <w:rFonts w:ascii="Arial" w:eastAsia="MS Mincho" w:hAnsi="Arial"/>
                      <w:sz w:val="20"/>
                      <w:i/>
                      <w:iCs/>
                    </w:rPr>
                    <w:t>,
2024-05-24,
paskelbta TAR 2024-05-24, i. k. 2024-09373            </w:t>
                  </w:r>
                </w:p>
                <w:p/>
              </w:sdtContent>
            </w:sdt>
            <w:sdt>
              <w:sdtPr>
                <w:alias w:val="36 p."/>
                <w:tag w:val="part_8b247e0a77734b69943c18c33385c572"/>
                <w:lock w:val="sdtLocked"/>
                <w:richText/>
              </w:sdtPr>
              <w:sdtContent>
                <w:p>
                  <w:pPr>
                    <w:spacing w:line="276" w:lineRule="auto"/>
                    <w:ind w:firstLine="709"/>
                    <w:jc w:val="both"/>
                    <w:rPr>
                      <w:color w:val="000000"/>
                      <w:szCs w:val="24"/>
                      <w:lang w:eastAsia="en-GB"/>
                    </w:rPr>
                  </w:pPr>
                  <w:sdt>
                    <w:sdtPr>
                      <w:alias w:val="Numeris"/>
                      <w:tag w:val="nr_8b247e0a77734b69943c18c33385c572"/>
                      <w:lock w:val="sdtLocked"/>
                      <w:richText/>
                    </w:sdtPr>
                    <w:sdtContent>
                      <w:r>
                        <w:rPr>
                          <w:color w:val="000000"/>
                          <w:szCs w:val="24"/>
                        </w:rPr>
                        <w:t>36</w:t>
                      </w:r>
                    </w:sdtContent>
                  </w:sdt>
                  <w:r>
                    <w:rPr>
                      <w:color w:val="000000"/>
                      <w:szCs w:val="24"/>
                    </w:rPr>
                    <w:t>. Išmokos gavėjui grąžinus visą ar dalį įmokos Tvarkos apraše nustatytais atvejais ir tvarka, perleista teisė į žvejybos kvotą jam negrąžinama, išskyrus teismo sprendimo vykdymą.</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59b1a9019bf11ef8b14c5bcce136045">
                    <w:r w:rsidRPr="00532B9F">
                      <w:rPr>
                        <w:rFonts w:ascii="Arial" w:eastAsia="MS Mincho" w:hAnsi="Arial"/>
                        <w:sz w:val="20"/>
                        <w:i/>
                        <w:iCs/>
                        <w:color w:val="0000FF" w:themeColor="hyperlink"/>
                        <w:u w:val="single"/>
                      </w:rPr>
                      <w:t>D1-176</w:t>
                    </w:r>
                  </w:fldSimple>
                  <w:r>
                    <w:rPr>
                      <w:rFonts w:ascii="Arial" w:eastAsia="MS Mincho" w:hAnsi="Arial"/>
                      <w:sz w:val="20"/>
                      <w:i/>
                      <w:iCs/>
                    </w:rPr>
                    <w:t>,
2024-05-24,
paskelbta TAR 2024-05-24, i. k. 2024-09373        </w:t>
                  </w:r>
                </w:p>
                <w:p/>
              </w:sdtContent>
            </w:sdt>
          </w:sdtContent>
        </w:sdt>
        <w:sdt>
          <w:sdtPr>
            <w:alias w:val="pabaiga"/>
            <w:tag w:val="part_ad50f73e0d7e41e2b3dfa6e82774ceca"/>
            <w:lock w:val="sdtLocked"/>
            <w:richText/>
          </w:sdtPr>
          <w:sdtContent>
            <w:p>
              <w:pPr>
                <w:spacing w:line="276" w:lineRule="auto"/>
                <w:jc w:val="center"/>
                <w:rPr>
                  <w:szCs w:val="24"/>
                </w:rPr>
              </w:pPr>
              <w:r>
                <w:rPr>
                  <w:szCs w:val="24"/>
                </w:rPr>
                <w:t>________________________</w:t>
              </w:r>
            </w:p>
          </w:sdtContent>
        </w:sdt>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aplinkos ministerija, Įsakymas
                </w:t>
          </w:r>
        </w:p>
        <w:p>
          <w:pPr>
            <w:jc w:val="both"/>
            <w:rPr>
              <w:rFonts w:ascii="Arial" w:hAnsi="Arial"/>
            </w:rPr>
          </w:pPr>
          <w:r>
            <w:rPr>
              <w:rFonts w:ascii="Arial" w:hAnsi="Arial"/>
              <w:sz w:val="20"/>
            </w:rPr>
            <w:t xml:space="preserve">Nr. </w:t>
          </w:r>
          <w:fldSimple w:instr="HYPERLINK https://www.e-tar.lt/portal/legalAct.html?documentId=e59b1a9019bf11ef8b14c5bcce136045">
            <w:r w:rsidRPr="00532B9F">
              <w:rPr>
                <w:rFonts w:ascii="Arial" w:eastAsia="MS Mincho" w:hAnsi="Arial"/>
                <w:sz w:val="20"/>
                <w:iCs/>
                <w:color w:val="0000FF" w:themeColor="hyperlink"/>
                <w:u w:val="single"/>
              </w:rPr>
              <w:t>D1-176</w:t>
            </w:r>
          </w:fldSimple>
          <w:r>
            <w:rPr>
              <w:rFonts w:ascii="Arial" w:eastAsia="MS Mincho" w:hAnsi="Arial"/>
              <w:sz w:val="20"/>
              <w:iCs/>
            </w:rPr>
            <w:t>,
2024-05-24,
paskelbta TAR 2024-05-24, i. k. 2024-09373                </w:t>
          </w:r>
        </w:p>
        <w:p>
          <w:pPr>
            <w:jc w:val="both"/>
            <w:rPr>
              <w:rFonts w:ascii="Arial" w:hAnsi="Arial"/>
            </w:rPr>
          </w:pPr>
          <w:r>
            <w:rPr>
              <w:rFonts w:ascii="Arial" w:hAnsi="Arial"/>
              <w:sz w:val="20"/>
            </w:rPr>
            <w:t>Dėl Lietuvos Respublikos aplinkos ministro 2023 m. spalio 26 d. įsakymo Nr. D1-356 „Dėl Išmokų ūkio subjektams už perleidžiamas teises į žvejybos kvotą apskaičiavimo ir mokėjimo tvarkos aprašo patvirtinimo“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aplinkos ministerija, Įsakymas
                </w:t>
          </w:r>
        </w:p>
        <w:p>
          <w:pPr>
            <w:jc w:val="both"/>
            <w:rPr>
              <w:rFonts w:ascii="Arial" w:hAnsi="Arial"/>
            </w:rPr>
          </w:pPr>
          <w:r>
            <w:rPr>
              <w:rFonts w:ascii="Arial" w:hAnsi="Arial"/>
              <w:sz w:val="20"/>
            </w:rPr>
            <w:t xml:space="preserve">Nr. </w:t>
          </w:r>
          <w:fldSimple w:instr="HYPERLINK https://www.e-tar.lt/portal/legalAct.html?documentId=cc4d57106c0d11efafbb8694c098bac5">
            <w:r w:rsidRPr="00532B9F">
              <w:rPr>
                <w:rFonts w:ascii="Arial" w:eastAsia="MS Mincho" w:hAnsi="Arial"/>
                <w:sz w:val="20"/>
                <w:iCs/>
                <w:color w:val="0000FF" w:themeColor="hyperlink"/>
                <w:u w:val="single"/>
              </w:rPr>
              <w:t>D1-294</w:t>
            </w:r>
          </w:fldSimple>
          <w:r>
            <w:rPr>
              <w:rFonts w:ascii="Arial" w:eastAsia="MS Mincho" w:hAnsi="Arial"/>
              <w:sz w:val="20"/>
              <w:iCs/>
            </w:rPr>
            <w:t>,
2024-09-06,
paskelbta TAR 2024-09-06, i. k. 2024-15724                </w:t>
          </w:r>
        </w:p>
        <w:p>
          <w:pPr>
            <w:jc w:val="both"/>
            <w:rPr>
              <w:rFonts w:ascii="Arial" w:hAnsi="Arial"/>
            </w:rPr>
          </w:pPr>
          <w:r>
            <w:rPr>
              <w:rFonts w:ascii="Arial" w:hAnsi="Arial"/>
              <w:sz w:val="20"/>
            </w:rPr>
            <w:t>Dėl Lietuvos Respublikos aplinkos ministro 2023 m. spalio 26 d. įsakymo Nr. d1-356 „Dėl išmokų ūkio subjektams už perleidžiamas teises į žvejybos kvotą apskaičiavimo ir mokėjimo tvarkos aprašo patvirtinimo“ pakeitimo</w:t>
          </w:r>
        </w:p>
        <w:p>
          <w:pPr>
            <w:jc w:val="both"/>
            <w:rPr>
              <w:rFonts w:ascii="Arial" w:hAnsi="Arial"/>
              <w:sz w:val="20"/>
            </w:rPr>
          </w:pPr>
        </w:p>
        <w:p>
          <w:pPr>
            <w:widowControl w:val="0"/>
            <w:rPr>
              <w:rFonts w:ascii="Arial" w:hAnsi="Arial"/>
              <w:snapToGrid w:val="0"/>
            </w:rPr>
          </w:pPr>
        </w:p>
      </w:sdtContent>
    </w:sdt>
    <w:sectPr>
      <w:pgSz w:w="11906" w:h="16838"/>
      <w:pgMar w:top="1134" w:right="567" w:bottom="1134" w:left="1701" w:header="709" w:footer="709" w:gutter="0"/>
      <w:pgNumType w:start="1"/>
      <w:cols w:space="708"/>
      <w:titlePg/>
      <w:docGrid w:linePitch="360"/>
    </w:sectPr>
  </w:body>
</w:document>
</file>

<file path=word/commentsIds.xml><?xml version="1.0" encoding="utf-8"?>
<w16cid:commentsIds xmlns:w16cid="http://schemas.microsoft.com/office/word/2016/wordml/cid" xmlns:mc="http://schemas.openxmlformats.org/markup-compatibility/2006" xmlns:w14="http://schemas.microsoft.com/office/word/2010/wordml" xmlns:w15="http://schemas.microsoft.com/office/word/2012/wordml" xmlns:w16="http://schemas.microsoft.com/office/word/2018/wordml" xmlns:w16cex="http://schemas.microsoft.com/office/word/2018/wordml/cex" xmlns:w16sdtdh="http://schemas.microsoft.com/office/word/2020/wordml/sdtdatahash" xmlns:w16se="http://schemas.microsoft.com/office/word/2015/wordml/symex" xmlns:wp14="http://schemas.microsoft.com/office/word/2010/wordprocessingDrawing" mc:Ignorable="w14 w15 w16se w16cid w16 w16cex w16sdtdh wp14">
  <w16cid:commentId w16cid:paraId="28F0C57D" w16cid:durableId="4E5EFA73"/>
</w16cid:commentsIds>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2"/>
          <w:lang w:val="en-GB"/>
        </w:rPr>
      </w:pPr>
      <w:r>
        <w:rPr>
          <w:szCs w:val="22"/>
          <w:lang w:val="en-GB"/>
        </w:rPr>
        <w:separator/>
      </w:r>
    </w:p>
  </w:endnote>
  <w:endnote w:type="continuationSeparator" w:id="0">
    <w:p>
      <w:pPr>
        <w:rPr>
          <w:szCs w:val="22"/>
          <w:lang w:val="en-GB"/>
        </w:rPr>
      </w:pPr>
      <w:r>
        <w:rPr>
          <w:szCs w:val="22"/>
          <w:lang w:val="en-GB"/>
        </w:rPr>
        <w:continuationSeparator/>
      </w:r>
    </w:p>
  </w:endnote>
  <w:endnote w:type="continuationNotice" w:id="1">
    <w:p>
      <w:pPr>
        <w:rPr>
          <w:szCs w:val="22"/>
          <w:lang w:val="en-GB"/>
        </w:rPr>
      </w:pP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ndale Sans UI">
    <w:altName w:val="Calibri"/>
    <w:charset w:val="BA"/>
    <w:family w:val="swiss"/>
    <w:pitch w:val="variable"/>
    <w:sig w:usb0="00000007" w:usb1="00000000" w:usb2="00000000" w:usb3="00000000" w:csb0="00000081" w:csb1="00000000"/>
  </w:font>
  <w:font w:name="Tahoma">
    <w:panose1 w:val="020B0604030504040204"/>
    <w:charset w:val="BA"/>
    <w:family w:val="swiss"/>
    <w:pitch w:val="variable"/>
    <w:sig w:usb0="E1002EFF" w:usb1="C000605B" w:usb2="00000029" w:usb3="00000000" w:csb0="000101FF" w:csb1="00000000"/>
  </w:font>
  <w:font w:name="Thorndale">
    <w:altName w:val="Times New Roman"/>
    <w:charset w:val="BA"/>
    <w:family w:val="roman"/>
    <w:pitch w:val="variable"/>
  </w:font>
  <w:font w:name="Lucida Sans Unicode">
    <w:panose1 w:val="020B0602030504020204"/>
    <w:charset w:val="BA"/>
    <w:family w:val="swiss"/>
    <w:pitch w:val="variable"/>
    <w:sig w:usb0="80000AFF" w:usb1="0000396B" w:usb2="00000000" w:usb3="00000000" w:csb0="000000BF" w:csb1="00000000"/>
  </w:font>
  <w:font w:name="inherit">
    <w:altName w:val="Times New Roman"/>
    <w:panose1 w:val="00000000000000000000"/>
    <w:charset w:val="00"/>
    <w:family w:val="roman"/>
    <w:notTrueType/>
    <w:pitch w:val="default"/>
  </w:font>
  <w:font w:name="Segoe UI">
    <w:panose1 w:val="020B0502040204020203"/>
    <w:charset w:val="BA"/>
    <w:family w:val="swiss"/>
    <w:pitch w:val="variable"/>
    <w:sig w:usb0="E4002EFF" w:usb1="C000E47F"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lang w:val="en-GB"/>
      </w:rPr>
    </w:pPr>
  </w:p>
  <w:p>
    <w:pPr>
      <w:tabs>
        <w:tab w:val="center" w:pos="4819"/>
        <w:tab w:val="right" w:pos="9638"/>
      </w:tabs>
      <w:rPr>
        <w:szCs w:val="22"/>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lang w:val="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lang w:val="en-GB"/>
      </w:rPr>
    </w:pPr>
  </w:p>
  <w:p>
    <w:pPr>
      <w:tabs>
        <w:tab w:val="center" w:pos="4819"/>
        <w:tab w:val="right" w:pos="9638"/>
      </w:tabs>
      <w:rPr>
        <w:szCs w:val="22"/>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lang w:val="en-GB"/>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lang w:val="en-GB"/>
      </w:rPr>
    </w:pPr>
  </w:p>
  <w:p>
    <w:pPr>
      <w:tabs>
        <w:tab w:val="center" w:pos="4819"/>
        <w:tab w:val="right" w:pos="9638"/>
      </w:tabs>
      <w:rPr>
        <w:szCs w:val="22"/>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2"/>
          <w:lang w:val="en-GB"/>
        </w:rPr>
      </w:pPr>
      <w:r>
        <w:rPr>
          <w:szCs w:val="22"/>
          <w:lang w:val="en-GB"/>
        </w:rPr>
        <w:separator/>
      </w:r>
    </w:p>
  </w:footnote>
  <w:footnote w:type="continuationSeparator" w:id="0">
    <w:p>
      <w:pPr>
        <w:rPr>
          <w:szCs w:val="22"/>
          <w:lang w:val="en-GB"/>
        </w:rPr>
      </w:pPr>
      <w:r>
        <w:rPr>
          <w:szCs w:val="22"/>
          <w:lang w:val="en-GB"/>
        </w:rPr>
        <w:continuationSeparator/>
      </w:r>
    </w:p>
  </w:footnote>
  <w:footnote w:type="continuationNotice" w:id="1">
    <w:p>
      <w:pPr>
        <w:rPr>
          <w:szCs w:val="22"/>
          <w:lang w:val="en-GB"/>
        </w:rPr>
      </w:pP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rPr>
    </w:pPr>
    <w:r>
      <w:rPr>
        <w:szCs w:val="22"/>
      </w:rPr>
      <w:t>2</w:t>
    </w: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2"/>
        <w:lang w:val="en-GB"/>
      </w:rPr>
    </w:pPr>
    <w:r>
      <w:rPr>
        <w:szCs w:val="22"/>
        <w:lang w:val="en-GB"/>
      </w:rPr>
      <w:fldChar w:fldCharType="begin"/>
    </w:r>
    <w:r>
      <w:rPr>
        <w:szCs w:val="22"/>
        <w:lang w:val="en-GB"/>
      </w:rPr>
      <w:instrText xml:space="preserve"> PAGE   \* MERGEFORMAT </w:instrText>
    </w:r>
    <w:r>
      <w:rPr>
        <w:szCs w:val="22"/>
        <w:lang w:val="en-GB"/>
      </w:rPr>
      <w:fldChar w:fldCharType="separate"/>
    </w:r>
    <w:r>
      <w:rPr>
        <w:szCs w:val="22"/>
        <w:lang w:val="en-GB"/>
      </w:rPr>
      <w:t>9</w:t>
    </w:r>
    <w:r>
      <w:rPr>
        <w:szCs w:val="22"/>
        <w:lang w:val="en-GB"/>
      </w:rPr>
      <w:fldChar w:fldCharType="end"/>
    </w:r>
  </w:p>
  <w:p>
    <w:pPr>
      <w:tabs>
        <w:tab w:val="center" w:pos="4819"/>
        <w:tab w:val="right" w:pos="9638"/>
      </w:tabs>
      <w:rPr>
        <w:szCs w:val="22"/>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rPr>
    </w:pPr>
    <w:r>
      <w:rPr>
        <w:szCs w:val="22"/>
      </w:rPr>
      <w:t>2</w:t>
    </w: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2"/>
        <w:lang w:val="en-GB"/>
      </w:rPr>
    </w:pPr>
    <w:r>
      <w:rPr>
        <w:szCs w:val="22"/>
        <w:lang w:val="en-GB"/>
      </w:rPr>
      <w:fldChar w:fldCharType="begin"/>
    </w:r>
    <w:r>
      <w:rPr>
        <w:szCs w:val="22"/>
        <w:lang w:val="en-GB"/>
      </w:rPr>
      <w:instrText xml:space="preserve"> PAGE   \* MERGEFORMAT </w:instrText>
    </w:r>
    <w:r>
      <w:rPr>
        <w:szCs w:val="22"/>
        <w:lang w:val="en-GB"/>
      </w:rPr>
      <w:fldChar w:fldCharType="separate"/>
    </w:r>
    <w:r>
      <w:rPr>
        <w:szCs w:val="22"/>
        <w:lang w:val="en-GB"/>
      </w:rPr>
      <w:t>13</w:t>
    </w:r>
    <w:r>
      <w:rPr>
        <w:szCs w:val="22"/>
        <w:lang w:val="en-GB"/>
      </w:rPr>
      <w:fldChar w:fldCharType="end"/>
    </w:r>
  </w:p>
  <w:p>
    <w:pPr>
      <w:tabs>
        <w:tab w:val="center" w:pos="4819"/>
        <w:tab w:val="right" w:pos="9638"/>
      </w:tabs>
      <w:rPr>
        <w:szCs w:val="22"/>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rPr>
    </w:pPr>
    <w:r>
      <w:rPr>
        <w:szCs w:val="22"/>
      </w:rPr>
      <w:t>2</w:t>
    </w: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2"/>
        <w:lang w:val="en-GB"/>
      </w:rPr>
    </w:pPr>
    <w:r>
      <w:rPr>
        <w:szCs w:val="22"/>
        <w:lang w:val="en-GB"/>
      </w:rPr>
      <w:fldChar w:fldCharType="begin"/>
    </w:r>
    <w:r>
      <w:rPr>
        <w:szCs w:val="22"/>
        <w:lang w:val="en-GB"/>
      </w:rPr>
      <w:instrText xml:space="preserve"> PAGE   \* MERGEFORMAT </w:instrText>
    </w:r>
    <w:r>
      <w:rPr>
        <w:szCs w:val="22"/>
        <w:lang w:val="en-GB"/>
      </w:rPr>
      <w:fldChar w:fldCharType="separate"/>
    </w:r>
    <w:r>
      <w:rPr>
        <w:szCs w:val="22"/>
        <w:lang w:val="en-GB"/>
      </w:rPr>
      <w:t>11</w:t>
    </w:r>
    <w:r>
      <w:rPr>
        <w:szCs w:val="22"/>
        <w:lang w:val="en-GB"/>
      </w:rPr>
      <w:fldChar w:fldCharType="end"/>
    </w:r>
  </w:p>
  <w:p>
    <w:pPr>
      <w:tabs>
        <w:tab w:val="center" w:pos="4819"/>
        <w:tab w:val="right" w:pos="9638"/>
      </w:tabs>
      <w:rPr>
        <w:szCs w:val="22"/>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lang w:val="en-GB"/>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JUOSPONIENĖ Karolina">
    <w15:presenceInfo w15:providerId="AD" w15:userId="S-1-5-21-4015230268-3135662936-2741650420-457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2"/>
  <w:proofState w:spelling="clean" w:grammar="clean"/>
  <w:defaultTabStop w:val="720"/>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575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017645"/>
  <w15:docId w15:val="{D602622B-52BF-4A05-8DEF-DA657BF4DF8D}"/>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3046634">
      <w:bodyDiv w:val="1"/>
      <w:marLeft w:val="0"/>
      <w:marRight w:val="0"/>
      <w:marTop w:val="0"/>
      <w:marBottom w:val="0"/>
      <w:divBdr>
        <w:top w:val="none" w:sz="0" w:space="0" w:color="auto"/>
        <w:left w:val="none" w:sz="0" w:space="0" w:color="auto"/>
        <w:bottom w:val="none" w:sz="0" w:space="0" w:color="auto"/>
        <w:right w:val="none" w:sz="0" w:space="0" w:color="auto"/>
      </w:divBdr>
    </w:div>
    <w:div w:id="136577766">
      <w:bodyDiv w:val="1"/>
      <w:marLeft w:val="0"/>
      <w:marRight w:val="0"/>
      <w:marTop w:val="0"/>
      <w:marBottom w:val="0"/>
      <w:divBdr>
        <w:top w:val="none" w:sz="0" w:space="0" w:color="auto"/>
        <w:left w:val="none" w:sz="0" w:space="0" w:color="auto"/>
        <w:bottom w:val="none" w:sz="0" w:space="0" w:color="auto"/>
        <w:right w:val="none" w:sz="0" w:space="0" w:color="auto"/>
      </w:divBdr>
      <w:divsChild>
        <w:div w:id="104735056">
          <w:marLeft w:val="0"/>
          <w:marRight w:val="0"/>
          <w:marTop w:val="0"/>
          <w:marBottom w:val="0"/>
          <w:divBdr>
            <w:top w:val="none" w:sz="0" w:space="0" w:color="auto"/>
            <w:left w:val="none" w:sz="0" w:space="0" w:color="auto"/>
            <w:bottom w:val="none" w:sz="0" w:space="0" w:color="auto"/>
            <w:right w:val="none" w:sz="0" w:space="0" w:color="auto"/>
          </w:divBdr>
        </w:div>
        <w:div w:id="235171880">
          <w:marLeft w:val="0"/>
          <w:marRight w:val="0"/>
          <w:marTop w:val="0"/>
          <w:marBottom w:val="0"/>
          <w:divBdr>
            <w:top w:val="none" w:sz="0" w:space="0" w:color="auto"/>
            <w:left w:val="none" w:sz="0" w:space="0" w:color="auto"/>
            <w:bottom w:val="none" w:sz="0" w:space="0" w:color="auto"/>
            <w:right w:val="none" w:sz="0" w:space="0" w:color="auto"/>
          </w:divBdr>
        </w:div>
        <w:div w:id="586618408">
          <w:marLeft w:val="0"/>
          <w:marRight w:val="0"/>
          <w:marTop w:val="0"/>
          <w:marBottom w:val="0"/>
          <w:divBdr>
            <w:top w:val="none" w:sz="0" w:space="0" w:color="auto"/>
            <w:left w:val="none" w:sz="0" w:space="0" w:color="auto"/>
            <w:bottom w:val="none" w:sz="0" w:space="0" w:color="auto"/>
            <w:right w:val="none" w:sz="0" w:space="0" w:color="auto"/>
          </w:divBdr>
        </w:div>
        <w:div w:id="716314479">
          <w:marLeft w:val="0"/>
          <w:marRight w:val="0"/>
          <w:marTop w:val="0"/>
          <w:marBottom w:val="0"/>
          <w:divBdr>
            <w:top w:val="none" w:sz="0" w:space="0" w:color="auto"/>
            <w:left w:val="none" w:sz="0" w:space="0" w:color="auto"/>
            <w:bottom w:val="none" w:sz="0" w:space="0" w:color="auto"/>
            <w:right w:val="none" w:sz="0" w:space="0" w:color="auto"/>
          </w:divBdr>
        </w:div>
        <w:div w:id="1589920611">
          <w:marLeft w:val="0"/>
          <w:marRight w:val="0"/>
          <w:marTop w:val="0"/>
          <w:marBottom w:val="0"/>
          <w:divBdr>
            <w:top w:val="none" w:sz="0" w:space="0" w:color="auto"/>
            <w:left w:val="none" w:sz="0" w:space="0" w:color="auto"/>
            <w:bottom w:val="none" w:sz="0" w:space="0" w:color="auto"/>
            <w:right w:val="none" w:sz="0" w:space="0" w:color="auto"/>
          </w:divBdr>
        </w:div>
        <w:div w:id="1634285405">
          <w:marLeft w:val="0"/>
          <w:marRight w:val="0"/>
          <w:marTop w:val="0"/>
          <w:marBottom w:val="0"/>
          <w:divBdr>
            <w:top w:val="none" w:sz="0" w:space="0" w:color="auto"/>
            <w:left w:val="none" w:sz="0" w:space="0" w:color="auto"/>
            <w:bottom w:val="none" w:sz="0" w:space="0" w:color="auto"/>
            <w:right w:val="none" w:sz="0" w:space="0" w:color="auto"/>
          </w:divBdr>
          <w:divsChild>
            <w:div w:id="513768973">
              <w:marLeft w:val="0"/>
              <w:marRight w:val="0"/>
              <w:marTop w:val="0"/>
              <w:marBottom w:val="0"/>
              <w:divBdr>
                <w:top w:val="none" w:sz="0" w:space="0" w:color="auto"/>
                <w:left w:val="none" w:sz="0" w:space="0" w:color="auto"/>
                <w:bottom w:val="none" w:sz="0" w:space="0" w:color="auto"/>
                <w:right w:val="none" w:sz="0" w:space="0" w:color="auto"/>
              </w:divBdr>
            </w:div>
            <w:div w:id="1343243910">
              <w:marLeft w:val="0"/>
              <w:marRight w:val="0"/>
              <w:marTop w:val="0"/>
              <w:marBottom w:val="0"/>
              <w:divBdr>
                <w:top w:val="none" w:sz="0" w:space="0" w:color="auto"/>
                <w:left w:val="none" w:sz="0" w:space="0" w:color="auto"/>
                <w:bottom w:val="none" w:sz="0" w:space="0" w:color="auto"/>
                <w:right w:val="none" w:sz="0" w:space="0" w:color="auto"/>
              </w:divBdr>
            </w:div>
          </w:divsChild>
        </w:div>
        <w:div w:id="1895236889">
          <w:marLeft w:val="0"/>
          <w:marRight w:val="0"/>
          <w:marTop w:val="0"/>
          <w:marBottom w:val="0"/>
          <w:divBdr>
            <w:top w:val="none" w:sz="0" w:space="0" w:color="auto"/>
            <w:left w:val="none" w:sz="0" w:space="0" w:color="auto"/>
            <w:bottom w:val="none" w:sz="0" w:space="0" w:color="auto"/>
            <w:right w:val="none" w:sz="0" w:space="0" w:color="auto"/>
          </w:divBdr>
        </w:div>
        <w:div w:id="2136021158">
          <w:marLeft w:val="0"/>
          <w:marRight w:val="0"/>
          <w:marTop w:val="0"/>
          <w:marBottom w:val="0"/>
          <w:divBdr>
            <w:top w:val="none" w:sz="0" w:space="0" w:color="auto"/>
            <w:left w:val="none" w:sz="0" w:space="0" w:color="auto"/>
            <w:bottom w:val="none" w:sz="0" w:space="0" w:color="auto"/>
            <w:right w:val="none" w:sz="0" w:space="0" w:color="auto"/>
          </w:divBdr>
        </w:div>
      </w:divsChild>
    </w:div>
    <w:div w:id="465584168">
      <w:bodyDiv w:val="1"/>
      <w:marLeft w:val="0"/>
      <w:marRight w:val="0"/>
      <w:marTop w:val="0"/>
      <w:marBottom w:val="0"/>
      <w:divBdr>
        <w:top w:val="none" w:sz="0" w:space="0" w:color="auto"/>
        <w:left w:val="none" w:sz="0" w:space="0" w:color="auto"/>
        <w:bottom w:val="none" w:sz="0" w:space="0" w:color="auto"/>
        <w:right w:val="none" w:sz="0" w:space="0" w:color="auto"/>
      </w:divBdr>
    </w:div>
    <w:div w:id="836192925">
      <w:bodyDiv w:val="1"/>
      <w:marLeft w:val="0"/>
      <w:marRight w:val="0"/>
      <w:marTop w:val="0"/>
      <w:marBottom w:val="0"/>
      <w:divBdr>
        <w:top w:val="none" w:sz="0" w:space="0" w:color="auto"/>
        <w:left w:val="none" w:sz="0" w:space="0" w:color="auto"/>
        <w:bottom w:val="none" w:sz="0" w:space="0" w:color="auto"/>
        <w:right w:val="none" w:sz="0" w:space="0" w:color="auto"/>
      </w:divBdr>
    </w:div>
    <w:div w:id="902645084">
      <w:bodyDiv w:val="1"/>
      <w:marLeft w:val="0"/>
      <w:marRight w:val="0"/>
      <w:marTop w:val="0"/>
      <w:marBottom w:val="0"/>
      <w:divBdr>
        <w:top w:val="none" w:sz="0" w:space="0" w:color="auto"/>
        <w:left w:val="none" w:sz="0" w:space="0" w:color="auto"/>
        <w:bottom w:val="none" w:sz="0" w:space="0" w:color="auto"/>
        <w:right w:val="none" w:sz="0" w:space="0" w:color="auto"/>
      </w:divBdr>
    </w:div>
    <w:div w:id="1256091837">
      <w:bodyDiv w:val="1"/>
      <w:marLeft w:val="0"/>
      <w:marRight w:val="0"/>
      <w:marTop w:val="0"/>
      <w:marBottom w:val="0"/>
      <w:divBdr>
        <w:top w:val="none" w:sz="0" w:space="0" w:color="auto"/>
        <w:left w:val="none" w:sz="0" w:space="0" w:color="auto"/>
        <w:bottom w:val="none" w:sz="0" w:space="0" w:color="auto"/>
        <w:right w:val="none" w:sz="0" w:space="0" w:color="auto"/>
      </w:divBdr>
      <w:divsChild>
        <w:div w:id="91242116">
          <w:marLeft w:val="0"/>
          <w:marRight w:val="0"/>
          <w:marTop w:val="0"/>
          <w:marBottom w:val="0"/>
          <w:divBdr>
            <w:top w:val="none" w:sz="0" w:space="0" w:color="auto"/>
            <w:left w:val="none" w:sz="0" w:space="0" w:color="auto"/>
            <w:bottom w:val="none" w:sz="0" w:space="0" w:color="auto"/>
            <w:right w:val="none" w:sz="0" w:space="0" w:color="auto"/>
          </w:divBdr>
          <w:divsChild>
            <w:div w:id="129136658">
              <w:marLeft w:val="0"/>
              <w:marRight w:val="0"/>
              <w:marTop w:val="0"/>
              <w:marBottom w:val="0"/>
              <w:divBdr>
                <w:top w:val="none" w:sz="0" w:space="0" w:color="auto"/>
                <w:left w:val="none" w:sz="0" w:space="0" w:color="auto"/>
                <w:bottom w:val="none" w:sz="0" w:space="0" w:color="auto"/>
                <w:right w:val="none" w:sz="0" w:space="0" w:color="auto"/>
              </w:divBdr>
            </w:div>
            <w:div w:id="778381171">
              <w:marLeft w:val="0"/>
              <w:marRight w:val="0"/>
              <w:marTop w:val="0"/>
              <w:marBottom w:val="0"/>
              <w:divBdr>
                <w:top w:val="none" w:sz="0" w:space="0" w:color="auto"/>
                <w:left w:val="none" w:sz="0" w:space="0" w:color="auto"/>
                <w:bottom w:val="none" w:sz="0" w:space="0" w:color="auto"/>
                <w:right w:val="none" w:sz="0" w:space="0" w:color="auto"/>
              </w:divBdr>
            </w:div>
            <w:div w:id="1857032947">
              <w:marLeft w:val="0"/>
              <w:marRight w:val="0"/>
              <w:marTop w:val="0"/>
              <w:marBottom w:val="0"/>
              <w:divBdr>
                <w:top w:val="none" w:sz="0" w:space="0" w:color="auto"/>
                <w:left w:val="none" w:sz="0" w:space="0" w:color="auto"/>
                <w:bottom w:val="none" w:sz="0" w:space="0" w:color="auto"/>
                <w:right w:val="none" w:sz="0" w:space="0" w:color="auto"/>
              </w:divBdr>
            </w:div>
          </w:divsChild>
        </w:div>
        <w:div w:id="1692805625">
          <w:marLeft w:val="0"/>
          <w:marRight w:val="0"/>
          <w:marTop w:val="0"/>
          <w:marBottom w:val="0"/>
          <w:divBdr>
            <w:top w:val="none" w:sz="0" w:space="0" w:color="auto"/>
            <w:left w:val="none" w:sz="0" w:space="0" w:color="auto"/>
            <w:bottom w:val="none" w:sz="0" w:space="0" w:color="auto"/>
            <w:right w:val="none" w:sz="0" w:space="0" w:color="auto"/>
          </w:divBdr>
        </w:div>
      </w:divsChild>
    </w:div>
    <w:div w:id="1595091806">
      <w:bodyDiv w:val="1"/>
      <w:marLeft w:val="0"/>
      <w:marRight w:val="0"/>
      <w:marTop w:val="0"/>
      <w:marBottom w:val="0"/>
      <w:divBdr>
        <w:top w:val="none" w:sz="0" w:space="0" w:color="auto"/>
        <w:left w:val="none" w:sz="0" w:space="0" w:color="auto"/>
        <w:bottom w:val="none" w:sz="0" w:space="0" w:color="auto"/>
        <w:right w:val="none" w:sz="0" w:space="0" w:color="auto"/>
      </w:divBdr>
      <w:divsChild>
        <w:div w:id="1306011440">
          <w:marLeft w:val="0"/>
          <w:marRight w:val="0"/>
          <w:marTop w:val="0"/>
          <w:marBottom w:val="0"/>
          <w:divBdr>
            <w:top w:val="none" w:sz="0" w:space="0" w:color="auto"/>
            <w:left w:val="none" w:sz="0" w:space="0" w:color="auto"/>
            <w:bottom w:val="none" w:sz="0" w:space="0" w:color="auto"/>
            <w:right w:val="none" w:sz="0" w:space="0" w:color="auto"/>
          </w:divBdr>
        </w:div>
        <w:div w:id="1534227660">
          <w:marLeft w:val="0"/>
          <w:marRight w:val="0"/>
          <w:marTop w:val="0"/>
          <w:marBottom w:val="0"/>
          <w:divBdr>
            <w:top w:val="none" w:sz="0" w:space="0" w:color="auto"/>
            <w:left w:val="none" w:sz="0" w:space="0" w:color="auto"/>
            <w:bottom w:val="none" w:sz="0" w:space="0" w:color="auto"/>
            <w:right w:val="none" w:sz="0" w:space="0" w:color="auto"/>
          </w:divBdr>
        </w:div>
      </w:divsChild>
    </w:div>
    <w:div w:id="1691293255">
      <w:bodyDiv w:val="1"/>
      <w:marLeft w:val="0"/>
      <w:marRight w:val="0"/>
      <w:marTop w:val="0"/>
      <w:marBottom w:val="0"/>
      <w:divBdr>
        <w:top w:val="none" w:sz="0" w:space="0" w:color="auto"/>
        <w:left w:val="none" w:sz="0" w:space="0" w:color="auto"/>
        <w:bottom w:val="none" w:sz="0" w:space="0" w:color="auto"/>
        <w:right w:val="none" w:sz="0" w:space="0" w:color="auto"/>
      </w:divBdr>
      <w:divsChild>
        <w:div w:id="442655159">
          <w:marLeft w:val="0"/>
          <w:marRight w:val="0"/>
          <w:marTop w:val="0"/>
          <w:marBottom w:val="0"/>
          <w:divBdr>
            <w:top w:val="none" w:sz="0" w:space="0" w:color="auto"/>
            <w:left w:val="none" w:sz="0" w:space="0" w:color="auto"/>
            <w:bottom w:val="none" w:sz="0" w:space="0" w:color="auto"/>
            <w:right w:val="none" w:sz="0" w:space="0" w:color="auto"/>
          </w:divBdr>
          <w:divsChild>
            <w:div w:id="121653419">
              <w:marLeft w:val="0"/>
              <w:marRight w:val="0"/>
              <w:marTop w:val="0"/>
              <w:marBottom w:val="0"/>
              <w:divBdr>
                <w:top w:val="none" w:sz="0" w:space="0" w:color="auto"/>
                <w:left w:val="none" w:sz="0" w:space="0" w:color="auto"/>
                <w:bottom w:val="none" w:sz="0" w:space="0" w:color="auto"/>
                <w:right w:val="none" w:sz="0" w:space="0" w:color="auto"/>
              </w:divBdr>
            </w:div>
            <w:div w:id="1482848855">
              <w:marLeft w:val="0"/>
              <w:marRight w:val="0"/>
              <w:marTop w:val="0"/>
              <w:marBottom w:val="0"/>
              <w:divBdr>
                <w:top w:val="none" w:sz="0" w:space="0" w:color="auto"/>
                <w:left w:val="none" w:sz="0" w:space="0" w:color="auto"/>
                <w:bottom w:val="none" w:sz="0" w:space="0" w:color="auto"/>
                <w:right w:val="none" w:sz="0" w:space="0" w:color="auto"/>
              </w:divBdr>
            </w:div>
          </w:divsChild>
        </w:div>
        <w:div w:id="662512622">
          <w:marLeft w:val="0"/>
          <w:marRight w:val="0"/>
          <w:marTop w:val="0"/>
          <w:marBottom w:val="0"/>
          <w:divBdr>
            <w:top w:val="none" w:sz="0" w:space="0" w:color="auto"/>
            <w:left w:val="none" w:sz="0" w:space="0" w:color="auto"/>
            <w:bottom w:val="none" w:sz="0" w:space="0" w:color="auto"/>
            <w:right w:val="none" w:sz="0" w:space="0" w:color="auto"/>
          </w:divBdr>
          <w:divsChild>
            <w:div w:id="41295548">
              <w:marLeft w:val="0"/>
              <w:marRight w:val="0"/>
              <w:marTop w:val="0"/>
              <w:marBottom w:val="0"/>
              <w:divBdr>
                <w:top w:val="none" w:sz="0" w:space="0" w:color="auto"/>
                <w:left w:val="none" w:sz="0" w:space="0" w:color="auto"/>
                <w:bottom w:val="none" w:sz="0" w:space="0" w:color="auto"/>
                <w:right w:val="none" w:sz="0" w:space="0" w:color="auto"/>
              </w:divBdr>
            </w:div>
            <w:div w:id="711686787">
              <w:marLeft w:val="0"/>
              <w:marRight w:val="0"/>
              <w:marTop w:val="0"/>
              <w:marBottom w:val="0"/>
              <w:divBdr>
                <w:top w:val="none" w:sz="0" w:space="0" w:color="auto"/>
                <w:left w:val="none" w:sz="0" w:space="0" w:color="auto"/>
                <w:bottom w:val="none" w:sz="0" w:space="0" w:color="auto"/>
                <w:right w:val="none" w:sz="0" w:space="0" w:color="auto"/>
              </w:divBdr>
            </w:div>
            <w:div w:id="752822327">
              <w:marLeft w:val="0"/>
              <w:marRight w:val="0"/>
              <w:marTop w:val="0"/>
              <w:marBottom w:val="0"/>
              <w:divBdr>
                <w:top w:val="none" w:sz="0" w:space="0" w:color="auto"/>
                <w:left w:val="none" w:sz="0" w:space="0" w:color="auto"/>
                <w:bottom w:val="none" w:sz="0" w:space="0" w:color="auto"/>
                <w:right w:val="none" w:sz="0" w:space="0" w:color="auto"/>
              </w:divBdr>
            </w:div>
            <w:div w:id="1650667927">
              <w:marLeft w:val="0"/>
              <w:marRight w:val="0"/>
              <w:marTop w:val="0"/>
              <w:marBottom w:val="0"/>
              <w:divBdr>
                <w:top w:val="none" w:sz="0" w:space="0" w:color="auto"/>
                <w:left w:val="none" w:sz="0" w:space="0" w:color="auto"/>
                <w:bottom w:val="none" w:sz="0" w:space="0" w:color="auto"/>
                <w:right w:val="none" w:sz="0" w:space="0" w:color="auto"/>
              </w:divBdr>
            </w:div>
          </w:divsChild>
        </w:div>
        <w:div w:id="1254165419">
          <w:marLeft w:val="0"/>
          <w:marRight w:val="0"/>
          <w:marTop w:val="0"/>
          <w:marBottom w:val="0"/>
          <w:divBdr>
            <w:top w:val="none" w:sz="0" w:space="0" w:color="auto"/>
            <w:left w:val="none" w:sz="0" w:space="0" w:color="auto"/>
            <w:bottom w:val="none" w:sz="0" w:space="0" w:color="auto"/>
            <w:right w:val="none" w:sz="0" w:space="0" w:color="auto"/>
          </w:divBdr>
          <w:divsChild>
            <w:div w:id="480970984">
              <w:marLeft w:val="0"/>
              <w:marRight w:val="0"/>
              <w:marTop w:val="0"/>
              <w:marBottom w:val="0"/>
              <w:divBdr>
                <w:top w:val="none" w:sz="0" w:space="0" w:color="auto"/>
                <w:left w:val="none" w:sz="0" w:space="0" w:color="auto"/>
                <w:bottom w:val="none" w:sz="0" w:space="0" w:color="auto"/>
                <w:right w:val="none" w:sz="0" w:space="0" w:color="auto"/>
              </w:divBdr>
            </w:div>
            <w:div w:id="581186391">
              <w:marLeft w:val="0"/>
              <w:marRight w:val="0"/>
              <w:marTop w:val="0"/>
              <w:marBottom w:val="0"/>
              <w:divBdr>
                <w:top w:val="none" w:sz="0" w:space="0" w:color="auto"/>
                <w:left w:val="none" w:sz="0" w:space="0" w:color="auto"/>
                <w:bottom w:val="none" w:sz="0" w:space="0" w:color="auto"/>
                <w:right w:val="none" w:sz="0" w:space="0" w:color="auto"/>
              </w:divBdr>
              <w:divsChild>
                <w:div w:id="12995356">
                  <w:marLeft w:val="0"/>
                  <w:marRight w:val="0"/>
                  <w:marTop w:val="0"/>
                  <w:marBottom w:val="0"/>
                  <w:divBdr>
                    <w:top w:val="none" w:sz="0" w:space="0" w:color="auto"/>
                    <w:left w:val="none" w:sz="0" w:space="0" w:color="auto"/>
                    <w:bottom w:val="none" w:sz="0" w:space="0" w:color="auto"/>
                    <w:right w:val="none" w:sz="0" w:space="0" w:color="auto"/>
                  </w:divBdr>
                  <w:divsChild>
                    <w:div w:id="250551994">
                      <w:marLeft w:val="0"/>
                      <w:marRight w:val="0"/>
                      <w:marTop w:val="0"/>
                      <w:marBottom w:val="0"/>
                      <w:divBdr>
                        <w:top w:val="none" w:sz="0" w:space="0" w:color="auto"/>
                        <w:left w:val="none" w:sz="0" w:space="0" w:color="auto"/>
                        <w:bottom w:val="none" w:sz="0" w:space="0" w:color="auto"/>
                        <w:right w:val="none" w:sz="0" w:space="0" w:color="auto"/>
                      </w:divBdr>
                    </w:div>
                    <w:div w:id="1385791337">
                      <w:marLeft w:val="0"/>
                      <w:marRight w:val="0"/>
                      <w:marTop w:val="0"/>
                      <w:marBottom w:val="0"/>
                      <w:divBdr>
                        <w:top w:val="none" w:sz="0" w:space="0" w:color="auto"/>
                        <w:left w:val="none" w:sz="0" w:space="0" w:color="auto"/>
                        <w:bottom w:val="none" w:sz="0" w:space="0" w:color="auto"/>
                        <w:right w:val="none" w:sz="0" w:space="0" w:color="auto"/>
                      </w:divBdr>
                    </w:div>
                  </w:divsChild>
                </w:div>
                <w:div w:id="109328148">
                  <w:marLeft w:val="0"/>
                  <w:marRight w:val="0"/>
                  <w:marTop w:val="0"/>
                  <w:marBottom w:val="0"/>
                  <w:divBdr>
                    <w:top w:val="none" w:sz="0" w:space="0" w:color="auto"/>
                    <w:left w:val="none" w:sz="0" w:space="0" w:color="auto"/>
                    <w:bottom w:val="none" w:sz="0" w:space="0" w:color="auto"/>
                    <w:right w:val="none" w:sz="0" w:space="0" w:color="auto"/>
                  </w:divBdr>
                </w:div>
                <w:div w:id="195973016">
                  <w:marLeft w:val="0"/>
                  <w:marRight w:val="0"/>
                  <w:marTop w:val="0"/>
                  <w:marBottom w:val="0"/>
                  <w:divBdr>
                    <w:top w:val="none" w:sz="0" w:space="0" w:color="auto"/>
                    <w:left w:val="none" w:sz="0" w:space="0" w:color="auto"/>
                    <w:bottom w:val="none" w:sz="0" w:space="0" w:color="auto"/>
                    <w:right w:val="none" w:sz="0" w:space="0" w:color="auto"/>
                  </w:divBdr>
                </w:div>
                <w:div w:id="1207837078">
                  <w:marLeft w:val="0"/>
                  <w:marRight w:val="0"/>
                  <w:marTop w:val="0"/>
                  <w:marBottom w:val="0"/>
                  <w:divBdr>
                    <w:top w:val="none" w:sz="0" w:space="0" w:color="auto"/>
                    <w:left w:val="none" w:sz="0" w:space="0" w:color="auto"/>
                    <w:bottom w:val="none" w:sz="0" w:space="0" w:color="auto"/>
                    <w:right w:val="none" w:sz="0" w:space="0" w:color="auto"/>
                  </w:divBdr>
                </w:div>
                <w:div w:id="1576863664">
                  <w:marLeft w:val="0"/>
                  <w:marRight w:val="0"/>
                  <w:marTop w:val="0"/>
                  <w:marBottom w:val="0"/>
                  <w:divBdr>
                    <w:top w:val="none" w:sz="0" w:space="0" w:color="auto"/>
                    <w:left w:val="none" w:sz="0" w:space="0" w:color="auto"/>
                    <w:bottom w:val="none" w:sz="0" w:space="0" w:color="auto"/>
                    <w:right w:val="none" w:sz="0" w:space="0" w:color="auto"/>
                  </w:divBdr>
                </w:div>
              </w:divsChild>
            </w:div>
            <w:div w:id="867990369">
              <w:marLeft w:val="0"/>
              <w:marRight w:val="0"/>
              <w:marTop w:val="0"/>
              <w:marBottom w:val="0"/>
              <w:divBdr>
                <w:top w:val="none" w:sz="0" w:space="0" w:color="auto"/>
                <w:left w:val="none" w:sz="0" w:space="0" w:color="auto"/>
                <w:bottom w:val="none" w:sz="0" w:space="0" w:color="auto"/>
                <w:right w:val="none" w:sz="0" w:space="0" w:color="auto"/>
              </w:divBdr>
            </w:div>
            <w:div w:id="1658151965">
              <w:marLeft w:val="0"/>
              <w:marRight w:val="0"/>
              <w:marTop w:val="0"/>
              <w:marBottom w:val="0"/>
              <w:divBdr>
                <w:top w:val="none" w:sz="0" w:space="0" w:color="auto"/>
                <w:left w:val="none" w:sz="0" w:space="0" w:color="auto"/>
                <w:bottom w:val="none" w:sz="0" w:space="0" w:color="auto"/>
                <w:right w:val="none" w:sz="0" w:space="0" w:color="auto"/>
              </w:divBdr>
            </w:div>
            <w:div w:id="1988974427">
              <w:marLeft w:val="0"/>
              <w:marRight w:val="0"/>
              <w:marTop w:val="0"/>
              <w:marBottom w:val="0"/>
              <w:divBdr>
                <w:top w:val="none" w:sz="0" w:space="0" w:color="auto"/>
                <w:left w:val="none" w:sz="0" w:space="0" w:color="auto"/>
                <w:bottom w:val="none" w:sz="0" w:space="0" w:color="auto"/>
                <w:right w:val="none" w:sz="0" w:space="0" w:color="auto"/>
              </w:divBdr>
              <w:divsChild>
                <w:div w:id="14965038">
                  <w:marLeft w:val="0"/>
                  <w:marRight w:val="0"/>
                  <w:marTop w:val="0"/>
                  <w:marBottom w:val="0"/>
                  <w:divBdr>
                    <w:top w:val="none" w:sz="0" w:space="0" w:color="auto"/>
                    <w:left w:val="none" w:sz="0" w:space="0" w:color="auto"/>
                    <w:bottom w:val="none" w:sz="0" w:space="0" w:color="auto"/>
                    <w:right w:val="none" w:sz="0" w:space="0" w:color="auto"/>
                  </w:divBdr>
                </w:div>
                <w:div w:id="314575422">
                  <w:marLeft w:val="0"/>
                  <w:marRight w:val="0"/>
                  <w:marTop w:val="0"/>
                  <w:marBottom w:val="0"/>
                  <w:divBdr>
                    <w:top w:val="none" w:sz="0" w:space="0" w:color="auto"/>
                    <w:left w:val="none" w:sz="0" w:space="0" w:color="auto"/>
                    <w:bottom w:val="none" w:sz="0" w:space="0" w:color="auto"/>
                    <w:right w:val="none" w:sz="0" w:space="0" w:color="auto"/>
                  </w:divBdr>
                </w:div>
                <w:div w:id="413472655">
                  <w:marLeft w:val="0"/>
                  <w:marRight w:val="0"/>
                  <w:marTop w:val="0"/>
                  <w:marBottom w:val="0"/>
                  <w:divBdr>
                    <w:top w:val="none" w:sz="0" w:space="0" w:color="auto"/>
                    <w:left w:val="none" w:sz="0" w:space="0" w:color="auto"/>
                    <w:bottom w:val="none" w:sz="0" w:space="0" w:color="auto"/>
                    <w:right w:val="none" w:sz="0" w:space="0" w:color="auto"/>
                  </w:divBdr>
                </w:div>
                <w:div w:id="1284652410">
                  <w:marLeft w:val="0"/>
                  <w:marRight w:val="0"/>
                  <w:marTop w:val="0"/>
                  <w:marBottom w:val="0"/>
                  <w:divBdr>
                    <w:top w:val="none" w:sz="0" w:space="0" w:color="auto"/>
                    <w:left w:val="none" w:sz="0" w:space="0" w:color="auto"/>
                    <w:bottom w:val="none" w:sz="0" w:space="0" w:color="auto"/>
                    <w:right w:val="none" w:sz="0" w:space="0" w:color="auto"/>
                  </w:divBdr>
                </w:div>
                <w:div w:id="1495029109">
                  <w:marLeft w:val="0"/>
                  <w:marRight w:val="0"/>
                  <w:marTop w:val="0"/>
                  <w:marBottom w:val="0"/>
                  <w:divBdr>
                    <w:top w:val="none" w:sz="0" w:space="0" w:color="auto"/>
                    <w:left w:val="none" w:sz="0" w:space="0" w:color="auto"/>
                    <w:bottom w:val="none" w:sz="0" w:space="0" w:color="auto"/>
                    <w:right w:val="none" w:sz="0" w:space="0" w:color="auto"/>
                  </w:divBdr>
                </w:div>
                <w:div w:id="17082165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3794758">
          <w:marLeft w:val="0"/>
          <w:marRight w:val="0"/>
          <w:marTop w:val="0"/>
          <w:marBottom w:val="0"/>
          <w:divBdr>
            <w:top w:val="none" w:sz="0" w:space="0" w:color="auto"/>
            <w:left w:val="none" w:sz="0" w:space="0" w:color="auto"/>
            <w:bottom w:val="none" w:sz="0" w:space="0" w:color="auto"/>
            <w:right w:val="none" w:sz="0" w:space="0" w:color="auto"/>
          </w:divBdr>
          <w:divsChild>
            <w:div w:id="79647150">
              <w:marLeft w:val="0"/>
              <w:marRight w:val="0"/>
              <w:marTop w:val="0"/>
              <w:marBottom w:val="0"/>
              <w:divBdr>
                <w:top w:val="none" w:sz="0" w:space="0" w:color="auto"/>
                <w:left w:val="none" w:sz="0" w:space="0" w:color="auto"/>
                <w:bottom w:val="none" w:sz="0" w:space="0" w:color="auto"/>
                <w:right w:val="none" w:sz="0" w:space="0" w:color="auto"/>
              </w:divBdr>
            </w:div>
            <w:div w:id="106317980">
              <w:marLeft w:val="0"/>
              <w:marRight w:val="0"/>
              <w:marTop w:val="0"/>
              <w:marBottom w:val="0"/>
              <w:divBdr>
                <w:top w:val="none" w:sz="0" w:space="0" w:color="auto"/>
                <w:left w:val="none" w:sz="0" w:space="0" w:color="auto"/>
                <w:bottom w:val="none" w:sz="0" w:space="0" w:color="auto"/>
                <w:right w:val="none" w:sz="0" w:space="0" w:color="auto"/>
              </w:divBdr>
            </w:div>
            <w:div w:id="493569562">
              <w:marLeft w:val="0"/>
              <w:marRight w:val="0"/>
              <w:marTop w:val="0"/>
              <w:marBottom w:val="0"/>
              <w:divBdr>
                <w:top w:val="none" w:sz="0" w:space="0" w:color="auto"/>
                <w:left w:val="none" w:sz="0" w:space="0" w:color="auto"/>
                <w:bottom w:val="none" w:sz="0" w:space="0" w:color="auto"/>
                <w:right w:val="none" w:sz="0" w:space="0" w:color="auto"/>
              </w:divBdr>
            </w:div>
            <w:div w:id="684018962">
              <w:marLeft w:val="0"/>
              <w:marRight w:val="0"/>
              <w:marTop w:val="0"/>
              <w:marBottom w:val="0"/>
              <w:divBdr>
                <w:top w:val="none" w:sz="0" w:space="0" w:color="auto"/>
                <w:left w:val="none" w:sz="0" w:space="0" w:color="auto"/>
                <w:bottom w:val="none" w:sz="0" w:space="0" w:color="auto"/>
                <w:right w:val="none" w:sz="0" w:space="0" w:color="auto"/>
              </w:divBdr>
            </w:div>
            <w:div w:id="888883509">
              <w:marLeft w:val="0"/>
              <w:marRight w:val="0"/>
              <w:marTop w:val="0"/>
              <w:marBottom w:val="0"/>
              <w:divBdr>
                <w:top w:val="none" w:sz="0" w:space="0" w:color="auto"/>
                <w:left w:val="none" w:sz="0" w:space="0" w:color="auto"/>
                <w:bottom w:val="none" w:sz="0" w:space="0" w:color="auto"/>
                <w:right w:val="none" w:sz="0" w:space="0" w:color="auto"/>
              </w:divBdr>
            </w:div>
            <w:div w:id="1619218142">
              <w:marLeft w:val="0"/>
              <w:marRight w:val="0"/>
              <w:marTop w:val="0"/>
              <w:marBottom w:val="0"/>
              <w:divBdr>
                <w:top w:val="none" w:sz="0" w:space="0" w:color="auto"/>
                <w:left w:val="none" w:sz="0" w:space="0" w:color="auto"/>
                <w:bottom w:val="none" w:sz="0" w:space="0" w:color="auto"/>
                <w:right w:val="none" w:sz="0" w:space="0" w:color="auto"/>
              </w:divBdr>
            </w:div>
            <w:div w:id="2045052737">
              <w:marLeft w:val="0"/>
              <w:marRight w:val="0"/>
              <w:marTop w:val="0"/>
              <w:marBottom w:val="0"/>
              <w:divBdr>
                <w:top w:val="none" w:sz="0" w:space="0" w:color="auto"/>
                <w:left w:val="none" w:sz="0" w:space="0" w:color="auto"/>
                <w:bottom w:val="none" w:sz="0" w:space="0" w:color="auto"/>
                <w:right w:val="none" w:sz="0" w:space="0" w:color="auto"/>
              </w:divBdr>
            </w:div>
            <w:div w:id="2086339234">
              <w:marLeft w:val="0"/>
              <w:marRight w:val="0"/>
              <w:marTop w:val="0"/>
              <w:marBottom w:val="0"/>
              <w:divBdr>
                <w:top w:val="none" w:sz="0" w:space="0" w:color="auto"/>
                <w:left w:val="none" w:sz="0" w:space="0" w:color="auto"/>
                <w:bottom w:val="none" w:sz="0" w:space="0" w:color="auto"/>
                <w:right w:val="none" w:sz="0" w:space="0" w:color="auto"/>
              </w:divBdr>
            </w:div>
          </w:divsChild>
        </w:div>
        <w:div w:id="2061245835">
          <w:marLeft w:val="0"/>
          <w:marRight w:val="0"/>
          <w:marTop w:val="0"/>
          <w:marBottom w:val="0"/>
          <w:divBdr>
            <w:top w:val="none" w:sz="0" w:space="0" w:color="auto"/>
            <w:left w:val="none" w:sz="0" w:space="0" w:color="auto"/>
            <w:bottom w:val="none" w:sz="0" w:space="0" w:color="auto"/>
            <w:right w:val="none" w:sz="0" w:space="0" w:color="auto"/>
          </w:divBdr>
          <w:divsChild>
            <w:div w:id="237255401">
              <w:marLeft w:val="0"/>
              <w:marRight w:val="0"/>
              <w:marTop w:val="0"/>
              <w:marBottom w:val="0"/>
              <w:divBdr>
                <w:top w:val="none" w:sz="0" w:space="0" w:color="auto"/>
                <w:left w:val="none" w:sz="0" w:space="0" w:color="auto"/>
                <w:bottom w:val="none" w:sz="0" w:space="0" w:color="auto"/>
                <w:right w:val="none" w:sz="0" w:space="0" w:color="auto"/>
              </w:divBdr>
            </w:div>
            <w:div w:id="413669123">
              <w:marLeft w:val="0"/>
              <w:marRight w:val="0"/>
              <w:marTop w:val="0"/>
              <w:marBottom w:val="0"/>
              <w:divBdr>
                <w:top w:val="none" w:sz="0" w:space="0" w:color="auto"/>
                <w:left w:val="none" w:sz="0" w:space="0" w:color="auto"/>
                <w:bottom w:val="none" w:sz="0" w:space="0" w:color="auto"/>
                <w:right w:val="none" w:sz="0" w:space="0" w:color="auto"/>
              </w:divBdr>
            </w:div>
            <w:div w:id="1386027901">
              <w:marLeft w:val="0"/>
              <w:marRight w:val="0"/>
              <w:marTop w:val="0"/>
              <w:marBottom w:val="0"/>
              <w:divBdr>
                <w:top w:val="none" w:sz="0" w:space="0" w:color="auto"/>
                <w:left w:val="none" w:sz="0" w:space="0" w:color="auto"/>
                <w:bottom w:val="none" w:sz="0" w:space="0" w:color="auto"/>
                <w:right w:val="none" w:sz="0" w:space="0" w:color="auto"/>
              </w:divBdr>
            </w:div>
            <w:div w:id="15138395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8704909">
      <w:bodyDiv w:val="1"/>
      <w:marLeft w:val="0"/>
      <w:marRight w:val="0"/>
      <w:marTop w:val="0"/>
      <w:marBottom w:val="0"/>
      <w:divBdr>
        <w:top w:val="none" w:sz="0" w:space="0" w:color="auto"/>
        <w:left w:val="none" w:sz="0" w:space="0" w:color="auto"/>
        <w:bottom w:val="none" w:sz="0" w:space="0" w:color="auto"/>
        <w:right w:val="none" w:sz="0" w:space="0" w:color="auto"/>
      </w:divBdr>
      <w:divsChild>
        <w:div w:id="385028236">
          <w:marLeft w:val="0"/>
          <w:marRight w:val="0"/>
          <w:marTop w:val="0"/>
          <w:marBottom w:val="0"/>
          <w:divBdr>
            <w:top w:val="none" w:sz="0" w:space="0" w:color="auto"/>
            <w:left w:val="none" w:sz="0" w:space="0" w:color="auto"/>
            <w:bottom w:val="none" w:sz="0" w:space="0" w:color="auto"/>
            <w:right w:val="none" w:sz="0" w:space="0" w:color="auto"/>
          </w:divBdr>
          <w:divsChild>
            <w:div w:id="398291009">
              <w:marLeft w:val="0"/>
              <w:marRight w:val="0"/>
              <w:marTop w:val="0"/>
              <w:marBottom w:val="0"/>
              <w:divBdr>
                <w:top w:val="none" w:sz="0" w:space="0" w:color="auto"/>
                <w:left w:val="none" w:sz="0" w:space="0" w:color="auto"/>
                <w:bottom w:val="none" w:sz="0" w:space="0" w:color="auto"/>
                <w:right w:val="none" w:sz="0" w:space="0" w:color="auto"/>
              </w:divBdr>
            </w:div>
            <w:div w:id="745759809">
              <w:marLeft w:val="0"/>
              <w:marRight w:val="0"/>
              <w:marTop w:val="0"/>
              <w:marBottom w:val="0"/>
              <w:divBdr>
                <w:top w:val="none" w:sz="0" w:space="0" w:color="auto"/>
                <w:left w:val="none" w:sz="0" w:space="0" w:color="auto"/>
                <w:bottom w:val="none" w:sz="0" w:space="0" w:color="auto"/>
                <w:right w:val="none" w:sz="0" w:space="0" w:color="auto"/>
              </w:divBdr>
            </w:div>
            <w:div w:id="880674318">
              <w:marLeft w:val="0"/>
              <w:marRight w:val="0"/>
              <w:marTop w:val="0"/>
              <w:marBottom w:val="0"/>
              <w:divBdr>
                <w:top w:val="none" w:sz="0" w:space="0" w:color="auto"/>
                <w:left w:val="none" w:sz="0" w:space="0" w:color="auto"/>
                <w:bottom w:val="none" w:sz="0" w:space="0" w:color="auto"/>
                <w:right w:val="none" w:sz="0" w:space="0" w:color="auto"/>
              </w:divBdr>
            </w:div>
            <w:div w:id="1352489711">
              <w:marLeft w:val="0"/>
              <w:marRight w:val="0"/>
              <w:marTop w:val="0"/>
              <w:marBottom w:val="0"/>
              <w:divBdr>
                <w:top w:val="none" w:sz="0" w:space="0" w:color="auto"/>
                <w:left w:val="none" w:sz="0" w:space="0" w:color="auto"/>
                <w:bottom w:val="none" w:sz="0" w:space="0" w:color="auto"/>
                <w:right w:val="none" w:sz="0" w:space="0" w:color="auto"/>
              </w:divBdr>
            </w:div>
          </w:divsChild>
        </w:div>
        <w:div w:id="449906661">
          <w:marLeft w:val="0"/>
          <w:marRight w:val="0"/>
          <w:marTop w:val="0"/>
          <w:marBottom w:val="0"/>
          <w:divBdr>
            <w:top w:val="none" w:sz="0" w:space="0" w:color="auto"/>
            <w:left w:val="none" w:sz="0" w:space="0" w:color="auto"/>
            <w:bottom w:val="none" w:sz="0" w:space="0" w:color="auto"/>
            <w:right w:val="none" w:sz="0" w:space="0" w:color="auto"/>
          </w:divBdr>
          <w:divsChild>
            <w:div w:id="28723092">
              <w:marLeft w:val="0"/>
              <w:marRight w:val="0"/>
              <w:marTop w:val="0"/>
              <w:marBottom w:val="0"/>
              <w:divBdr>
                <w:top w:val="none" w:sz="0" w:space="0" w:color="auto"/>
                <w:left w:val="none" w:sz="0" w:space="0" w:color="auto"/>
                <w:bottom w:val="none" w:sz="0" w:space="0" w:color="auto"/>
                <w:right w:val="none" w:sz="0" w:space="0" w:color="auto"/>
              </w:divBdr>
            </w:div>
            <w:div w:id="77989089">
              <w:marLeft w:val="0"/>
              <w:marRight w:val="0"/>
              <w:marTop w:val="0"/>
              <w:marBottom w:val="0"/>
              <w:divBdr>
                <w:top w:val="none" w:sz="0" w:space="0" w:color="auto"/>
                <w:left w:val="none" w:sz="0" w:space="0" w:color="auto"/>
                <w:bottom w:val="none" w:sz="0" w:space="0" w:color="auto"/>
                <w:right w:val="none" w:sz="0" w:space="0" w:color="auto"/>
              </w:divBdr>
            </w:div>
            <w:div w:id="180703215">
              <w:marLeft w:val="0"/>
              <w:marRight w:val="0"/>
              <w:marTop w:val="0"/>
              <w:marBottom w:val="0"/>
              <w:divBdr>
                <w:top w:val="none" w:sz="0" w:space="0" w:color="auto"/>
                <w:left w:val="none" w:sz="0" w:space="0" w:color="auto"/>
                <w:bottom w:val="none" w:sz="0" w:space="0" w:color="auto"/>
                <w:right w:val="none" w:sz="0" w:space="0" w:color="auto"/>
              </w:divBdr>
            </w:div>
            <w:div w:id="764957823">
              <w:marLeft w:val="0"/>
              <w:marRight w:val="0"/>
              <w:marTop w:val="0"/>
              <w:marBottom w:val="0"/>
              <w:divBdr>
                <w:top w:val="none" w:sz="0" w:space="0" w:color="auto"/>
                <w:left w:val="none" w:sz="0" w:space="0" w:color="auto"/>
                <w:bottom w:val="none" w:sz="0" w:space="0" w:color="auto"/>
                <w:right w:val="none" w:sz="0" w:space="0" w:color="auto"/>
              </w:divBdr>
            </w:div>
            <w:div w:id="933051446">
              <w:marLeft w:val="0"/>
              <w:marRight w:val="0"/>
              <w:marTop w:val="0"/>
              <w:marBottom w:val="0"/>
              <w:divBdr>
                <w:top w:val="none" w:sz="0" w:space="0" w:color="auto"/>
                <w:left w:val="none" w:sz="0" w:space="0" w:color="auto"/>
                <w:bottom w:val="none" w:sz="0" w:space="0" w:color="auto"/>
                <w:right w:val="none" w:sz="0" w:space="0" w:color="auto"/>
              </w:divBdr>
            </w:div>
            <w:div w:id="1082990821">
              <w:marLeft w:val="0"/>
              <w:marRight w:val="0"/>
              <w:marTop w:val="0"/>
              <w:marBottom w:val="0"/>
              <w:divBdr>
                <w:top w:val="none" w:sz="0" w:space="0" w:color="auto"/>
                <w:left w:val="none" w:sz="0" w:space="0" w:color="auto"/>
                <w:bottom w:val="none" w:sz="0" w:space="0" w:color="auto"/>
                <w:right w:val="none" w:sz="0" w:space="0" w:color="auto"/>
              </w:divBdr>
            </w:div>
          </w:divsChild>
        </w:div>
        <w:div w:id="774180066">
          <w:marLeft w:val="0"/>
          <w:marRight w:val="0"/>
          <w:marTop w:val="0"/>
          <w:marBottom w:val="0"/>
          <w:divBdr>
            <w:top w:val="none" w:sz="0" w:space="0" w:color="auto"/>
            <w:left w:val="none" w:sz="0" w:space="0" w:color="auto"/>
            <w:bottom w:val="none" w:sz="0" w:space="0" w:color="auto"/>
            <w:right w:val="none" w:sz="0" w:space="0" w:color="auto"/>
          </w:divBdr>
          <w:divsChild>
            <w:div w:id="443496997">
              <w:marLeft w:val="0"/>
              <w:marRight w:val="0"/>
              <w:marTop w:val="0"/>
              <w:marBottom w:val="0"/>
              <w:divBdr>
                <w:top w:val="none" w:sz="0" w:space="0" w:color="auto"/>
                <w:left w:val="none" w:sz="0" w:space="0" w:color="auto"/>
                <w:bottom w:val="none" w:sz="0" w:space="0" w:color="auto"/>
                <w:right w:val="none" w:sz="0" w:space="0" w:color="auto"/>
              </w:divBdr>
            </w:div>
            <w:div w:id="755833079">
              <w:marLeft w:val="0"/>
              <w:marRight w:val="0"/>
              <w:marTop w:val="0"/>
              <w:marBottom w:val="0"/>
              <w:divBdr>
                <w:top w:val="none" w:sz="0" w:space="0" w:color="auto"/>
                <w:left w:val="none" w:sz="0" w:space="0" w:color="auto"/>
                <w:bottom w:val="none" w:sz="0" w:space="0" w:color="auto"/>
                <w:right w:val="none" w:sz="0" w:space="0" w:color="auto"/>
              </w:divBdr>
            </w:div>
            <w:div w:id="1565262189">
              <w:marLeft w:val="0"/>
              <w:marRight w:val="0"/>
              <w:marTop w:val="0"/>
              <w:marBottom w:val="0"/>
              <w:divBdr>
                <w:top w:val="none" w:sz="0" w:space="0" w:color="auto"/>
                <w:left w:val="none" w:sz="0" w:space="0" w:color="auto"/>
                <w:bottom w:val="none" w:sz="0" w:space="0" w:color="auto"/>
                <w:right w:val="none" w:sz="0" w:space="0" w:color="auto"/>
              </w:divBdr>
            </w:div>
            <w:div w:id="1583297680">
              <w:marLeft w:val="0"/>
              <w:marRight w:val="0"/>
              <w:marTop w:val="0"/>
              <w:marBottom w:val="0"/>
              <w:divBdr>
                <w:top w:val="none" w:sz="0" w:space="0" w:color="auto"/>
                <w:left w:val="none" w:sz="0" w:space="0" w:color="auto"/>
                <w:bottom w:val="none" w:sz="0" w:space="0" w:color="auto"/>
                <w:right w:val="none" w:sz="0" w:space="0" w:color="auto"/>
              </w:divBdr>
            </w:div>
          </w:divsChild>
        </w:div>
        <w:div w:id="892473199">
          <w:marLeft w:val="0"/>
          <w:marRight w:val="0"/>
          <w:marTop w:val="0"/>
          <w:marBottom w:val="0"/>
          <w:divBdr>
            <w:top w:val="none" w:sz="0" w:space="0" w:color="auto"/>
            <w:left w:val="none" w:sz="0" w:space="0" w:color="auto"/>
            <w:bottom w:val="none" w:sz="0" w:space="0" w:color="auto"/>
            <w:right w:val="none" w:sz="0" w:space="0" w:color="auto"/>
          </w:divBdr>
          <w:divsChild>
            <w:div w:id="215093711">
              <w:marLeft w:val="0"/>
              <w:marRight w:val="0"/>
              <w:marTop w:val="0"/>
              <w:marBottom w:val="0"/>
              <w:divBdr>
                <w:top w:val="none" w:sz="0" w:space="0" w:color="auto"/>
                <w:left w:val="none" w:sz="0" w:space="0" w:color="auto"/>
                <w:bottom w:val="none" w:sz="0" w:space="0" w:color="auto"/>
                <w:right w:val="none" w:sz="0" w:space="0" w:color="auto"/>
              </w:divBdr>
              <w:divsChild>
                <w:div w:id="1144540482">
                  <w:marLeft w:val="0"/>
                  <w:marRight w:val="0"/>
                  <w:marTop w:val="0"/>
                  <w:marBottom w:val="0"/>
                  <w:divBdr>
                    <w:top w:val="none" w:sz="0" w:space="0" w:color="auto"/>
                    <w:left w:val="none" w:sz="0" w:space="0" w:color="auto"/>
                    <w:bottom w:val="none" w:sz="0" w:space="0" w:color="auto"/>
                    <w:right w:val="none" w:sz="0" w:space="0" w:color="auto"/>
                  </w:divBdr>
                </w:div>
                <w:div w:id="1319457516">
                  <w:marLeft w:val="0"/>
                  <w:marRight w:val="0"/>
                  <w:marTop w:val="0"/>
                  <w:marBottom w:val="0"/>
                  <w:divBdr>
                    <w:top w:val="none" w:sz="0" w:space="0" w:color="auto"/>
                    <w:left w:val="none" w:sz="0" w:space="0" w:color="auto"/>
                    <w:bottom w:val="none" w:sz="0" w:space="0" w:color="auto"/>
                    <w:right w:val="none" w:sz="0" w:space="0" w:color="auto"/>
                  </w:divBdr>
                </w:div>
                <w:div w:id="1939017663">
                  <w:marLeft w:val="0"/>
                  <w:marRight w:val="0"/>
                  <w:marTop w:val="0"/>
                  <w:marBottom w:val="0"/>
                  <w:divBdr>
                    <w:top w:val="none" w:sz="0" w:space="0" w:color="auto"/>
                    <w:left w:val="none" w:sz="0" w:space="0" w:color="auto"/>
                    <w:bottom w:val="none" w:sz="0" w:space="0" w:color="auto"/>
                    <w:right w:val="none" w:sz="0" w:space="0" w:color="auto"/>
                  </w:divBdr>
                </w:div>
              </w:divsChild>
            </w:div>
            <w:div w:id="1047145414">
              <w:marLeft w:val="0"/>
              <w:marRight w:val="0"/>
              <w:marTop w:val="0"/>
              <w:marBottom w:val="0"/>
              <w:divBdr>
                <w:top w:val="none" w:sz="0" w:space="0" w:color="auto"/>
                <w:left w:val="none" w:sz="0" w:space="0" w:color="auto"/>
                <w:bottom w:val="none" w:sz="0" w:space="0" w:color="auto"/>
                <w:right w:val="none" w:sz="0" w:space="0" w:color="auto"/>
              </w:divBdr>
            </w:div>
            <w:div w:id="1129519798">
              <w:marLeft w:val="0"/>
              <w:marRight w:val="0"/>
              <w:marTop w:val="0"/>
              <w:marBottom w:val="0"/>
              <w:divBdr>
                <w:top w:val="none" w:sz="0" w:space="0" w:color="auto"/>
                <w:left w:val="none" w:sz="0" w:space="0" w:color="auto"/>
                <w:bottom w:val="none" w:sz="0" w:space="0" w:color="auto"/>
                <w:right w:val="none" w:sz="0" w:space="0" w:color="auto"/>
              </w:divBdr>
            </w:div>
          </w:divsChild>
        </w:div>
        <w:div w:id="1659115958">
          <w:marLeft w:val="0"/>
          <w:marRight w:val="0"/>
          <w:marTop w:val="0"/>
          <w:marBottom w:val="0"/>
          <w:divBdr>
            <w:top w:val="none" w:sz="0" w:space="0" w:color="auto"/>
            <w:left w:val="none" w:sz="0" w:space="0" w:color="auto"/>
            <w:bottom w:val="none" w:sz="0" w:space="0" w:color="auto"/>
            <w:right w:val="none" w:sz="0" w:space="0" w:color="auto"/>
          </w:divBdr>
        </w:div>
        <w:div w:id="1678187094">
          <w:marLeft w:val="0"/>
          <w:marRight w:val="0"/>
          <w:marTop w:val="0"/>
          <w:marBottom w:val="0"/>
          <w:divBdr>
            <w:top w:val="none" w:sz="0" w:space="0" w:color="auto"/>
            <w:left w:val="none" w:sz="0" w:space="0" w:color="auto"/>
            <w:bottom w:val="none" w:sz="0" w:space="0" w:color="auto"/>
            <w:right w:val="none" w:sz="0" w:space="0" w:color="auto"/>
          </w:divBdr>
        </w:div>
      </w:divsChild>
    </w:div>
    <w:div w:id="1956868696">
      <w:bodyDiv w:val="1"/>
      <w:marLeft w:val="0"/>
      <w:marRight w:val="0"/>
      <w:marTop w:val="0"/>
      <w:marBottom w:val="0"/>
      <w:divBdr>
        <w:top w:val="none" w:sz="0" w:space="0" w:color="auto"/>
        <w:left w:val="none" w:sz="0" w:space="0" w:color="auto"/>
        <w:bottom w:val="none" w:sz="0" w:space="0" w:color="auto"/>
        <w:right w:val="none" w:sz="0" w:space="0" w:color="auto"/>
      </w:divBdr>
    </w:div>
    <w:div w:id="19678098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1.png"/>
  <Relationship Id="rId15" Type="http://schemas.openxmlformats.org/officeDocument/2006/relationships/header" Target="header7.xml"/>
  <Relationship Id="rId16" Type="http://schemas.openxmlformats.org/officeDocument/2006/relationships/header" Target="header8.xml"/>
  <Relationship Id="rId17" Type="http://schemas.openxmlformats.org/officeDocument/2006/relationships/footer" Target="footer7.xml"/>
  <Relationship Id="rId18" Type="http://schemas.openxmlformats.org/officeDocument/2006/relationships/footer" Target="footer8.xml"/>
  <Relationship Id="rId19" Type="http://schemas.openxmlformats.org/officeDocument/2006/relationships/header" Target="header9.xml"/>
  <Relationship Id="rId2" Type="http://schemas.openxmlformats.org/officeDocument/2006/relationships/customXml" Target="../customXml/item2.xml"/>
  <Relationship Id="rId20" Type="http://schemas.openxmlformats.org/officeDocument/2006/relationships/footer" Target="footer9.xml"/>
  <Relationship Id="rId21" Type="http://schemas.openxmlformats.org/officeDocument/2006/relationships/customXml" Target="../customXml/item4.xml"/>
  <Relationship Id="rId3" Type="http://schemas.openxmlformats.org/officeDocument/2006/relationships/customXml" Target="../customXml/item3.xml"/>
  <Relationship Id="rId4" Type="http://schemas.openxmlformats.org/officeDocument/2006/relationships/customXml" Target="../customXml/item6.xml"/>
  <Relationship Id="rId5" Type="http://schemas.microsoft.com/office/2016/09/relationships/commentsIds" Target="commentsIds.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footnotes" Target="footnotes.xml"/>
  <Relationship Id="rId9" Type="http://schemas.microsoft.com/office/2011/relationships/people" Target="people.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94729667-F7DC-4034-BC66-DAA908DB8DB1}"/>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ndale Sans UI">
    <w:altName w:val="Calibri"/>
    <w:charset w:val="BA"/>
    <w:family w:val="swiss"/>
    <w:pitch w:val="variable"/>
    <w:sig w:usb0="00000007" w:usb1="00000000" w:usb2="00000000" w:usb3="00000000" w:csb0="00000081" w:csb1="00000000"/>
  </w:font>
  <w:font w:name="Tahoma">
    <w:panose1 w:val="020B0604030504040204"/>
    <w:charset w:val="BA"/>
    <w:family w:val="swiss"/>
    <w:pitch w:val="variable"/>
    <w:sig w:usb0="E1002EFF" w:usb1="C000605B" w:usb2="00000029" w:usb3="00000000" w:csb0="000101FF" w:csb1="00000000"/>
  </w:font>
  <w:font w:name="Thorndale">
    <w:altName w:val="Times New Roman"/>
    <w:charset w:val="BA"/>
    <w:family w:val="roman"/>
    <w:pitch w:val="variable"/>
  </w:font>
  <w:font w:name="Lucida Sans Unicode">
    <w:panose1 w:val="020B0602030504020204"/>
    <w:charset w:val="BA"/>
    <w:family w:val="swiss"/>
    <w:pitch w:val="variable"/>
    <w:sig w:usb0="80000AFF" w:usb1="0000396B" w:usb2="00000000" w:usb3="00000000" w:csb0="000000BF" w:csb1="00000000"/>
  </w:font>
  <w:font w:name="Arial">
    <w:panose1 w:val="020B0604020202020204"/>
    <w:charset w:val="BA"/>
    <w:family w:val="swiss"/>
    <w:pitch w:val="variable"/>
    <w:sig w:usb0="E0002EFF" w:usb1="C000785B" w:usb2="00000009" w:usb3="00000000" w:csb0="000001FF" w:csb1="00000000"/>
  </w:font>
  <w:font w:name="inherit">
    <w:altName w:val="Times New Roman"/>
    <w:panose1 w:val="00000000000000000000"/>
    <w:charset w:val="00"/>
    <w:family w:val="roman"/>
    <w:notTrueType/>
    <w:pitch w:val="default"/>
  </w:font>
  <w:font w:name="Segoe UI">
    <w:panose1 w:val="020B0502040204020203"/>
    <w:charset w:val="BA"/>
    <w:family w:val="swiss"/>
    <w:pitch w:val="variable"/>
    <w:sig w:usb0="E4002EFF" w:usb1="C000E47F"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94E44"/>
    <w:rsid w:val="00394E44"/>
    <w:rsid w:val="00AC21D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94E44"/>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SharedWithUsers xmlns="19cf09c5-daa1-4028-a0ff-74a0be4ec5cc">
      <UserInfo>
        <DisplayName>Jolanta Urbelionytė</DisplayName>
        <AccountId>149</AccountId>
        <AccountType/>
      </UserInfo>
      <UserInfo>
        <DisplayName>Povilas Paukštė</DisplayName>
        <AccountId>153</AccountId>
        <AccountType/>
      </UserInfo>
    </SharedWithUsers>
    <LikesCount xmlns="http://schemas.microsoft.com/sharepoint/v3" xmlns:xsi="http://www.w3.org/2001/XMLSchema-instance" xsi:nil="true"/>
    <Ratings xmlns="http://schemas.microsoft.com/sharepoint/v3" xmlns:xsi="http://www.w3.org/2001/XMLSchema-instance" xsi:nil="true"/>
    <LikedBy xmlns="http://schemas.microsoft.com/sharepoint/v3">
      <UserInfo>
        <DisplayName/>
        <AccountId xmlns:xsi="http://www.w3.org/2001/XMLSchema-instance" xsi:nil="true"/>
        <AccountType/>
      </UserInfo>
    </LikedBy>
    <RatedBy xmlns="http://schemas.microsoft.com/sharepoint/v3">
      <UserInfo>
        <DisplayName/>
        <AccountId xmlns:xsi="http://www.w3.org/2001/XMLSchema-instance" xsi:nil="true"/>
        <AccountType/>
      </UserInfo>
    </RatedBy>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AA351E0ECF89C14A900DE8C04996CFDF" ma:contentTypeVersion="18" ma:contentTypeDescription="Kurkite naują dokumentą." ma:contentTypeScope="" ma:versionID="683f92fd3caf647d88e81fe6a076604b">
  <xsd:schema xmlns:xsd="http://www.w3.org/2001/XMLSchema" xmlns:ns1="http://schemas.microsoft.com/sharepoint/v3" xmlns:ns2="f5aad5d0-9c26-490e-8743-a6c7ceabd501" xmlns:ns3="19cf09c5-daa1-4028-a0ff-74a0be4ec5cc" targetNamespace="http://schemas.microsoft.com/office/2006/metadata/properties" ma:root="true" ma:fieldsID="9626a6d253d2442f70feac03650f5f6a" ns1:_="" ns2:_="" ns3:_="">
    <xsd:import namespace="http://schemas.microsoft.com/sharepoint/v3"/>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GenerationTime" minOccurs="0"/>
                <xsd:element ref="ns2:MediaServiceEventHashCode" minOccurs="0"/>
                <xsd:element ref="ns1:AverageRating" minOccurs="0"/>
                <xsd:element ref="ns1:RatingCount" minOccurs="0"/>
                <xsd:element ref="ns1:RatedBy" minOccurs="0"/>
                <xsd:element ref="ns1:Ratings" minOccurs="0"/>
                <xsd:element ref="ns1:LikesCount" minOccurs="0"/>
                <xsd:element ref="ns1:LikedBy" minOccurs="0"/>
                <xsd:element ref="ns2:MediaServiceAutoKeyPoints" minOccurs="0"/>
                <xsd:element ref="ns2:MediaServiceKeyPoints" minOccurs="0"/>
                <xsd:element ref="ns2:MediaServiceObjectDetectorVersions" minOccurs="0"/>
                <xsd:element ref="ns2:MediaServiceSearchProperties" minOccurs="0"/>
              </xsd:all>
            </xsd:complexType>
          </xsd:element>
        </xsd:sequence>
      </xsd:complexType>
    </xsd:element>
  </xsd:schema>
  <xsd:schema xmlns:xsd="http://www.w3.org/2001/XMLSchema" targetNamespace="http://schemas.microsoft.com/sharepoint/v3" elementFormDefault="qualified">
    <xsd:import namespace="http://schemas.microsoft.com/office/2006/documentManagement/types"/>
    <xsd:import namespace="http://schemas.microsoft.com/office/infopath/2007/PartnerControls"/>
    <xsd:element name="AverageRating" ma:index="16" nillable="true" ma:displayName="Vertinimas (0–5)" ma:decimals="2" ma:description="Visų pateiktų vertinimų vidutinė reikšmė" ma:internalName="AverageRating" ma:readOnly="true">
      <xsd:simpleType>
        <xsd:restriction base="dms:Number"/>
      </xsd:simpleType>
    </xsd:element>
    <xsd:element name="RatingCount" ma:index="17" nillable="true" ma:displayName="Vertinimų skaičius" ma:decimals="0" ma:description="Pateiktų vertinimų skaičius" ma:internalName="RatingCount" ma:readOnly="true">
      <xsd:simpleType>
        <xsd:restriction base="dms:Number"/>
      </xsd:simpleType>
    </xsd:element>
    <xsd:element name="RatedBy" ma:index="18" nillable="true" ma:displayName="Vertintojas" ma:description="Vartotojai įvertino elementą."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9" nillable="true" ma:displayName="Vartotojų vertinimai" ma:description="Elemento vartotojų vertinimai" ma:hidden="true" ma:internalName="Ratings">
      <xsd:simpleType>
        <xsd:restriction base="dms:Note"/>
      </xsd:simpleType>
    </xsd:element>
    <xsd:element name="LikesCount" ma:index="20" nillable="true" ma:displayName="Skaičius, kiek kartų vartotojai pažymėjo, kad jiems patiko elementas" ma:internalName="LikesCount">
      <xsd:simpleType>
        <xsd:restriction base="dms:Unknown"/>
      </xsd:simpleType>
    </xsd:element>
    <xsd:element name="LikedBy" ma:index="21" nillable="true" ma:displayName="Patiko"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internalName="MediaServiceKeyPoints" ma:readOnly="true">
      <xsd:simpleType>
        <xsd:restriction base="dms:Note">
          <xsd:maxLength value="255"/>
        </xsd:restrictio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40ac635fedd143d4a94ba0d2f4cf1387" PartId="2a4c9f9dadcd4c209c6007d824a37185">
    <Part Type="preambule" DocPartId="23158ad989644fe4957f9ebebf110ab0" PartId="dcfd9b04b16d41a9ba308bd72083cba0"/>
    <Part Type="punktas" Nr="1" Abbr="1 p." DocPartId="a7376f66f44c45ed97c5e783fd9cf568" PartId="de14532669f84c77954d401bdfee7d0c"/>
    <Part Type="punktas" Nr="2" Abbr="2 p." DocPartId="8facea057030491a8dd77f82577c6826" PartId="6fbe4f2e2abf464a887b910550d804b4"/>
    <Part Type="signatura" DocPartId="177d1849d10447fe9f29dc215f5c8167" PartId="9ad58fc544084afda9906a210958bc5c"/>
  </Part>
  <Part Type="patvirtinta" Title="IŠMOKŲ ŪKIO SUBJEKTAMS UŽ PERLEIDŽIAMAS TEISES Į ŽVEJYBOS KVOTĄ APSKAIČIAVIMO IR MOKĖJIMO TVARKOS APRAŠAS" DocPartId="50bd4509f48b45a9a6eabf8f7be3d510" PartId="0be330c1306a4d41ae8e5ef7c8154748">
    <Part Type="skyrius" Nr="1" Title="BENDROSIOS NUOSTATOS" DocPartId="cabbec0ef8c7455e99e4f69149c0a1a5" PartId="d611385b59fa44409e99b129acef00df">
      <Part Type="punktas" Nr="1" Abbr="1 p." DocPartId="6747e3e5bb954b2797c53c79129fbf0f" PartId="4f732d725e5046fb800759184ae1d971"/>
      <Part Type="punktas" Nr="2" Abbr="2 p." DocPartId="d39ea1f05ac84e759efa06ce8161edb3" PartId="a499945bc398416a90657bd3f80333b7"/>
      <Part Type="punktas" Nr="3" Abbr="3 p." DocPartId="147b9c9a151941579368d236cfbc7244" PartId="07e576eec9b74eaa9e7f2015dd9514ac"/>
      <Part Type="punktas" Nr="4" Abbr="4 p." DocPartId="35ac623535704a8dbf7ef5f4e1dfa560" PartId="05b63d071e554a36b90f7da080599c7d">
        <Part Type="papunktis" Nr="4.1" Abbr="4.1 pp." DocPartId="05be13a9d53741a6b7dff5adc50b5ae5" PartId="c07b8ff802414547863f0db503023c0b"/>
        <Part Type="papunktis" Nr="4.2" Abbr="4.2 pp." DocPartId="9ef227e6f07d4bad884f93628356c1bc" PartId="3959f5556bb74d7d9b5d36d85e0b4b6a"/>
        <Part Type="papunktis" Nr="4.3" Abbr="4.3 pp." DocPartId="77cdaf3aa8df4ee288563cb3c2d45f51" PartId="cccd0708181f4dbeb1b0b28e2e13fc8a"/>
        <Part Type="papunktis" Nr="4.4" Abbr="4.4 pp." DocPartId="bde94e82ca104cf1be497ffee1c592ef" PartId="ddcfc3b805f64ce4b28525d07fe760b3"/>
        <Part Type="papunktis" Nr="4.5" Abbr="4.5 pp." DocPartId="e23b8684248f43519b8d1293483d1fd5" PartId="0629c914f83941b7a17c0908da6a11e2"/>
        <Part Type="papunktis" Nr="4.6" Abbr="4.6 pp." DocPartId="dd70e483ba5948f293cdbb397bfa38fd" PartId="9d1c900476404c749e617b092641b456"/>
      </Part>
      <Part Type="punktas" Nr="5" Abbr="5 p." DocPartId="ebba364a4f0441d88c7f347ba6fb99ac" PartId="b3c3d919aa524e2a9e2d758fa246b9bb"/>
      <Part Type="punktas" Nr="6" Abbr="6 p." DocPartId="e4867720531f40ceb9975fe6bdff16d7" PartId="7d4c33e60793427a9cf453756219c8d4"/>
      <Part Type="punktas" Nr="7" Abbr="7 p." DocPartId="33b02a48f32f4741808a53ce82e97da9" PartId="609f745e05ff4887a3dd99a9f1d8553c"/>
      <Part Type="punktas" Nr="8" Abbr="8 p." DocPartId="b175d66ffd884404a3b2ec8899b41c93" PartId="572a0706e9b7418592828149b49dd265"/>
    </Part>
    <Part Type="skyrius" Nr="2" Title="GALIMI PAREIŠKĖJAI" DocPartId="6febef3a122a4ceab26925583de541f9" PartId="014bdb1d40b64d19bb2a0ea42b5f1dbd">
      <Part Type="punktas" Nr="9" Abbr="9 p." DocPartId="f613002a052d442ea0021ffa4ba52838" PartId="cd47d26983d1430ba39598bb5e006a94">
        <Part Type="papunktis" Nr="9.1" Abbr="9.1 pp." DocPartId="4c988219ea6e4f9eae054c9243f404d5" PartId="4234ba0c2dc1485495737add47e41380"/>
        <Part Type="papunktis" Nr="9.2" Abbr="9.2 pp." DocPartId="6b764279177a4649b19a28157eaa149f" PartId="c4742d420cb04ef0b461fdc90183c740"/>
        <Part Type="papunktis" Nr="9.3" Abbr="9.3 pp." DocPartId="7d472d9459844315bc466ae88e05b083" PartId="9b762f06b1764a8a9808ebfc135a746f"/>
        <Part Type="papunktis" Nr="9.4" Abbr="9.4 pp." DocPartId="723613caa05b478bb5687d1562706433" PartId="651c8f50fe854afbb2c0eac3a0d565ac"/>
        <Part Type="papunktis" Nr="9.5" Abbr="9.5 pp." DocPartId="9d4146c3fe7d42ee8c648a1970fe582c" PartId="35c2edb79b4543e29f6c6fe53e8815be"/>
        <Part Type="papunktis" Nr="9.6" Abbr="9.6 pp." DocPartId="d6b009dbc1124efd9c7b66a62fdf7449" PartId="e833c235af974618af7dd35af219b321"/>
        <Part Type="papunktis" Nr="9.7" Abbr="9.7 pp." DocPartId="3f6ad22412394aa48fc9b0a8b1c1ec60" PartId="7e59175a877545f1a145eaad0cb80680"/>
        <Part Type="papunktis" Nr="9.8" Abbr="9.8 pp." DocPartId="afe1bd1b6e5a419a95a33fd392deac89" PartId="3d48f9de5ea54b3cab3fd576564831a2"/>
      </Part>
      <Part Type="punktas" Nr="10" Abbr="10 p." DocPartId="3a924302db3443b1b176866bc80c7898" PartId="2eaf8208b50c4b3a887e1bae2c000ab2"/>
    </Part>
    <Part Type="skyrius" Nr="3" Title="SĄLYGOS IR REIKALAVIMAI NORINT GAUTI IŠMOKĄ" DocPartId="63bb15272a8a493a8a9c8c954ff1c990" PartId="6b6b080a434a4a21b1d09c5200ea7f69">
      <Part Type="punktas" Nr="11" Abbr="11 p." DocPartId="37cbf300feba42368ef1b63034077d1a" PartId="b32b5ffb8ac8404097af113da0e9e48e">
        <Part Type="papunktis" Nr="11.1" Abbr="11.1 pp." DocPartId="4ac5dc4e48854f3b85d1ca0a10efd644" PartId="4ce9da771c934912a15a16968eb2c097"/>
        <Part Type="papunktis" Nr="11.2" Abbr="11.2 pp." DocPartId="ff62e39cf5434f2ba8d39b264a8cb150" PartId="28ae32bd3cbe4e2a9f7cd7291bb9b7e9">
          <Part Type="papunktis" Nr="11.2.1" Abbr="11.2.1 pp." DocPartId="b444cf1a288843319f7153291aae6907" PartId="b1053a2851b1410483eb8fa60f6f556a"/>
          <Part Type="papunktis" Nr="11.2.2" Abbr="11.2.2 pp." DocPartId="7b5c3bd3fab844d9b56a1e2dfed76834" PartId="def661b3138d4d2082c19884cc0c8541"/>
          <Part Type="papunktis" Nr="11.2.3" Abbr="11.2.3 pp." DocPartId="edb98665e0e24bdcadbe3e82372bd0cb" PartId="c35655ca0e804adaaccf9a194aa8af63"/>
          <Part Type="papunktis" Nr="11.2.4" Abbr="11.2.4 pp." DocPartId="d99cde64091247919734028466b5215b" PartId="b187c5c2ab2049398318dae35167a23c"/>
          <Part Type="papunktis" Nr="11.2.5" Abbr="11.2.5 pp." DocPartId="eaac1deb5031438d9f1db6afd6f1a137" PartId="248355d69cae466c89af143c7b27dab9"/>
          <Part Type="papunktis" Nr="11.2.6" Abbr="11.2.6 pp." DocPartId="b76c7470ceb1488c8a75ead0cda1d3ce" PartId="386782dc5fb943f9ada4ac74482a8c3b"/>
        </Part>
      </Part>
      <Part Type="punktas" Nr="12" Abbr="12 p." DocPartId="b6ba36c565fd4d85a6118e567c935563" PartId="93ad8c91f0dd4ae28ba405f64878d5a1"/>
    </Part>
    <Part Type="skyrius" Nr="4" Title="PAREIŠKĖJŲ ĮSIPAREIGOJIMAI" DocPartId="d9c49c3e13f140498a71925a8dae7500" PartId="2b8de7e214b24e2e9910e933be8167a5">
      <Part Type="punktas" Nr="13" Abbr="13 p." DocPartId="7ecbe7d84d0c4d3b9d0a12035860f9e9" PartId="1e4fc5aceedf4245966d8e4a07257796">
        <Part Type="papunktis" Nr="13.1" Abbr="13.1 pp." DocPartId="8bfabf66e5eb4bc798ec4aca591306c1" PartId="c8d47dfa7e674e92b03074df42c5dcf5"/>
        <Part Type="papunktis" Nr="13.2" Abbr="13.2 pp." DocPartId="c80949eb54af40a6a1bc6a766e28ef77" PartId="58511345bd384f54a3c7caeae76c3657"/>
        <Part Type="papunktis" Nr="13.3" Abbr="13.3 pp." DocPartId="4ecacc6102c347919269f1e215a93cf1" PartId="0276eda09ebc45b0b030a23c245ab13a"/>
        <Part Type="papunktis" Nr="13.4" Abbr="13.4 pp." DocPartId="424455d28ca0431a9156511a51c81a00" PartId="4fff91952c184e679082b76c3381741c"/>
      </Part>
    </Part>
    <Part Type="skyrius" Nr="5" Title="IŠMOKOS DYDIS IR APSKAIČIAVIMO METODIKA" DocPartId="12ff817f462b4893a74552deadbcee4c" PartId="4467fa61f14e464ab76ec304ec331249">
      <Part Type="punktas" Nr="14" Abbr="14 p." DocPartId="4e2e4c1999f541409f7028fe3806732f" PartId="3277c51a25aa448a8f159cf29bd8fe23"/>
      <Part Type="punktas" Nr="15" Abbr="15 p." DocPartId="fd897e2f31be4c1ba406ea24ea4eaf0d" PartId="93456441cf2442d28962b6facc8ad68f"/>
      <Part Type="punktas" Nr="16" Abbr="16 p." DocPartId="f6d007b095144b5ab658270918dba9ab" PartId="da278c9d651e4329bf93450cbd8aae3a">
        <Part Type="papunktis" Nr="16.1" Abbr="16.1 pp." DocPartId="56b008c9b66340d0a0ba310c1ce91aae" PartId="e965e0b6db9c4b85bf59535c169db0e6"/>
        <Part Type="papunktis" Nr="16.2" Abbr="16.2 pp." DocPartId="17a1bc5a1d994fb287c83067e74477db" PartId="54d3910e414443e4a2395387e99f111e"/>
        <Part Type="papunktis" Nr="16.3" Abbr="16.3 pp." DocPartId="6616363a14024d35a5792c3662f1b418" PartId="ca9da3e6d45e4bd488cff687f24985dc"/>
        <Part Type="papunktis" Nr="16.4" Abbr="16.4 pp." DocPartId="68dca4cc2f9c4bf7ba4f5fe392989b36" PartId="39f3aecdbc4a466fb9df295c9f8e98a1"/>
        <Part Type="papunktis" Nr="16.5" Abbr="16.5 pp." DocPartId="5985be21797749ceb75d0b5b7796ebe5" PartId="feaa28962d084ab4b2f7cb3d11d8d7e4"/>
        <Part Type="papunktis" Nr="16.6" Abbr="16.6 pp." DocPartId="09cc8823e33f4b85920c54e35c9bb697" PartId="73d42633ab474dc7b792649a42f00838"/>
        <Part Type="papunktis" Nr="16.7" Abbr="16.7 pp." DocPartId="c8cb214216be4936ba6477a93d627905" PartId="1510b455484a40bc802b688c9a5b4efa"/>
      </Part>
      <Part Type="punktas" Nr="17" Abbr="17 p." DocPartId="4c4945e2734949909e9f721c38a2b9d6" PartId="24f1374abda84b0e83b92f81c1a7e4f2"/>
    </Part>
    <Part Type="skyrius" Nr="6" Title="PARAIŠKŲ TEIKIMAS" DocPartId="796826e77f2e4a719d1bae2f862877f8" PartId="39feb6f0ad394a038ed092dced75e2d3">
      <Part Type="punktas" Nr="18" Abbr="18 p." DocPartId="8d40561a0763475ea9251c7688a211ac" PartId="1c5131ff34fa4cb2b3ca2b38c3b3cb6d"/>
      <Part Type="punktas" Nr="19" Abbr="19 p." DocPartId="89c3bd3e2a5e4f918220cff6e416555c" PartId="f9e163e5aea54ad0ad5c13515dea1c2f"/>
      <Part Type="punktas" Nr="20" Abbr="20 p." DocPartId="f22dd739ea9440298eac8be18278945b" PartId="183efbbe98ff42d0b8c9de94e21a2c0e">
        <Part Type="papunktis" Nr="20.1" Abbr="20.1 pp." DocPartId="f9627863ae78407db848b84930a63890" PartId="6e4bfe1e53284cba8afb9c6090f7366f"/>
        <Part Type="papunktis" Nr="20.2" Abbr="20.2 pp." DocPartId="b9f878840cda4741a1bc104e94c3e3e1" PartId="df0182db50ec4cff86a2e3488df787df"/>
        <Part Type="papunktis" Nr="20.3" Abbr="20.3 pp." DocPartId="5123338df0fc4579a5ac89eb1d77e530" PartId="46e249cdd834435097b38405f7da8223"/>
        <Part Type="papunktis" Nr="20.4" Abbr="20.4 pp." DocPartId="e2cc9bcae38c4196abbf64d56976c2cd" PartId="5c9bf992721c4c99b1395b3bb059b451"/>
        <Part Type="papunktis" Nr="20.5" Abbr="20.5 pp." DocPartId="2365f1cda6cf460eb40a08c8e4038d76" PartId="36b41ffc94c44f29b09d9528617bf6f1"/>
        <Part Type="papunktis" Nr="20.6" Abbr="20.6 pp." DocPartId="f20a2a5183c04b4a998f974c1c416f89" PartId="295ff0ba8bf2478da2a892e60c69949f"/>
        <Part Type="papunktis" Nr="20.7" Abbr="20.7 pp." DocPartId="0fc0a205d1ce4a7891ed72522f367743" PartId="0f6947f132a841fd894ed5311eab6fa9"/>
        <Part Type="papunktis" Nr="20.8" Abbr="20.8 pp." DocPartId="78077881ce7044f38e23a13de77110ee" PartId="b5165cda384244289790cbcfcf6cf6ea"/>
      </Part>
      <Part Type="punktas" Nr="21" Abbr="21 p." DocPartId="ec1ff882a4594f6785bdd9a3b7f8e5c7" PartId="ebd2bd1735944722a7c5b73b0574401f"/>
    </Part>
    <Part Type="skyrius" Nr="7" Title="PARAIŠKŲ VERTINIMAS IR SPRENDIMŲ DĖL IŠMOKŲ SKYRIMO PRIĖMIMAS" DocPartId="403fd682252841d0a329ed11db3b3ac2" PartId="a832301866874e87963f73c9ad4bb000">
      <Part Type="punktas" Nr="22" Abbr="22 p." DocPartId="f0218435a02743059b645b010cd53d67" PartId="1cfdaf260ecb4b2e9a876c636b2a3c02"/>
      <Part Type="punktas" Nr="23" Abbr="23 p." DocPartId="0eb968b9423c4ed591deecbf491cd94b" PartId="43545039d0dd44c6bebfc1e849501826"/>
      <Part Type="punktas" Nr="24" Abbr="24 p." DocPartId="4697ab490781457aa798191388173bad" PartId="8ce0c11d1ca14a9797997e8fdc61d780"/>
      <Part Type="punktas" Nr="25" Abbr="25 p." DocPartId="e847c14899d445f98d332b0a8fd7dd60" PartId="ba65188ddc4444f69b0d7e75007ecc7f"/>
      <Part Type="punktas" Nr="26" Abbr="26 p." DocPartId="f805c634d5b7416d96f9be565182f727" PartId="1b338b7137ae4000af0c1347b93ca47f"/>
      <Part Type="punktas" Nr="27" Abbr="27 p." DocPartId="ba0226152964435bbc1e0a174be9f908" PartId="71da9b95f81740a3b5032d20650cd8c7"/>
    </Part>
    <Part Type="skyrius" Nr="8" Title="IŠMOKŲ SUTARČIŲ SUDARYMAS IR IŠMOKŲ MOKĖJIMAS" DocPartId="d98afe81c2824d0a928f21a4b4539667" PartId="21231b3eb81d434daa3cf121505c0d16">
      <Part Type="punktas" Nr="28" Abbr="28 p." DocPartId="eda77421d1014f3ab3e2b99f80266500" PartId="751d8e8a6d5e4b4e81aaf4541a2487b6"/>
      <Part Type="punktas" Nr="29" Abbr="29 p." DocPartId="388d60e538214d478ff66c704bcf357c" PartId="0682f0e3dda8414f9990cffdc2c1ac0b">
        <Part Type="papunktis" Nr="29.1" Abbr="29.1 pp." DocPartId="77be471e68994bcc8cd96846712abefe" PartId="381b2a58571946f3a56789ff33a7335e"/>
        <Part Type="papunktis" Nr="29.2" Abbr="29.2 pp." DocPartId="7c79b655a414426c92ae3e97b2df68da" PartId="d6a3fdacd8214c09840fed92207bd025"/>
        <Part Type="papunktis" Nr="29.3" Abbr="29.3 pp." DocPartId="a1e5d687a9674f9990e7b6835cfe687f" PartId="4b2fe8a60e9e4418b397ab750bd40db4"/>
        <Part Type="papunktis" Nr="29.4" Abbr="29.4 pp." DocPartId="3395cd1932e14caf8444f3f790cb4f9e" PartId="8141c9bd3dd5423e807338248060ecd9">
          <Part Type="papunktis" Nr="29.4.1" Abbr="29.4.1 pp." DocPartId="97e06998d1e24f4d8a0a8ba1faadcca0" PartId="3f9602af5295434eab68ce365bd3661c"/>
          <Part Type="papunktis" Nr="29.4.2" Abbr="29.4.2 pp." DocPartId="87179c37f9174aa79c2bbde740f98f5d" PartId="3bfa12a6ca2c45ffae5696af99e807b7"/>
          <Part Type="papunktis" Nr="29.4.3" Abbr="29.4.3 pp." DocPartId="f22fa46629234ad9ae6114c4076bea8c" PartId="1ab01906ab7e499ab92ba99fd3209037"/>
        </Part>
        <Part Type="papunktis" Nr="29.5" Abbr="29.5 pp." DocPartId="2445216f8b91451898d48bec8ae99071" PartId="d50314eed2a24ffeb8726560366e7580"/>
      </Part>
      <Part Type="punktas" Nr="30" Abbr="30 p." DocPartId="5a6f3c192ff64cf6807c238d3e878395" PartId="8b329b21177e4637bc56e87a64d6e6f7"/>
      <Part Type="punktas" Nr="31" Abbr="31 p." DocPartId="cace743a6cba4864b0d9b86337f4745c" PartId="2ea4f0a9faad4815911ca6adfd80074f"/>
      <Part Type="punktas" Nr="32" Abbr="32 p." DocPartId="07f9d0a6e37544909368c0e71235d992" PartId="64d409ada1664aa0bc933ac9c54ce913"/>
    </Part>
    <Part Type="skyrius" Nr="9" Title="BAIGIAMOSIOS NUOSTATOS" DocPartId="b00e373de9e248008073fd39de53adbd" PartId="d24737abb76a4d2b9508761c9718454a">
      <Part Type="punktas" Nr="33" Abbr="33 p." DocPartId="8d641900700348aaae59b525c63b5718" PartId="3c9cb92e97ff4184936af0ff6701e3cd"/>
      <Part Type="punktas" Nr="34" Abbr="34 p." DocPartId="2b182e7dbff34d62aa918e00e978c01e" PartId="8caa638c9d2147718e3123d310e4ef66"/>
      <Part Type="punktas" Nr="35" Abbr="35 p." DocPartId="61fe1813a8c94bce8c878e37c6aa17e5" PartId="9a6bcdc350194b1e978cc56c15431323"/>
      <Part Type="punktas" Nr="36" Abbr="36 p." DocPartId="7bd49f6d3a764e59ab760e48afd4ce50" PartId="8b247e0a77734b69943c18c33385c572"/>
    </Part>
    <Part Type="pabaiga" DocPartId="e510a7398b7c419f97a51aeba67be4b7" PartId="ad50f73e0d7e41e2b3dfa6e82774ceca"/>
  </Part>
</Parts>
</file>

<file path=customXml/item5.xml><?xml version="1.0" encoding="utf-8"?>
<b:Sources xmlns:b="http://schemas.openxmlformats.org/officeDocument/2006/bibliography" SelectedStyle="\APA.XSL" StyleName="APA"/>
</file>

<file path=customXml/item6.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0036BB37-1C02-40D2-B001-27C66B910D73}">
  <ds:schemaRefs>
    <ds:schemaRef ds:uri="19cf09c5-daa1-4028-a0ff-74a0be4ec5cc"/>
    <ds:schemaRef ds:uri="http://schemas.microsoft.com/sharepoint/v3"/>
    <ds:schemaRef ds:uri="http://schemas.microsoft.com/office/2006/documentManagement/types"/>
    <ds:schemaRef ds:uri="http://www.w3.org/XML/1998/namespace"/>
    <ds:schemaRef ds:uri="http://purl.org/dc/dcmitype/"/>
    <ds:schemaRef ds:uri="http://purl.org/dc/terms/"/>
    <ds:schemaRef ds:uri="http://schemas.microsoft.com/office/2006/metadata/properties"/>
    <ds:schemaRef ds:uri="http://schemas.microsoft.com/office/infopath/2007/PartnerControls"/>
    <ds:schemaRef ds:uri="http://schemas.openxmlformats.org/package/2006/metadata/core-properties"/>
    <ds:schemaRef ds:uri="f5aad5d0-9c26-490e-8743-a6c7ceabd501"/>
    <ds:schemaRef ds:uri="http://purl.org/dc/elements/1.1/"/>
  </ds:schemaRefs>
</ds:datastoreItem>
</file>

<file path=customXml/itemProps2.xml><?xml version="1.0" encoding="utf-8"?>
<ds:datastoreItem xmlns:ds="http://schemas.openxmlformats.org/officeDocument/2006/customXml" ds:itemID="{88E66B57-799D-4638-9882-CE6BE367CC48}">
  <ds:schemaRefs>
    <ds:schemaRef ds:uri="http://schemas.microsoft.com/sharepoint/v3/contenttype/forms"/>
  </ds:schemaRefs>
</ds:datastoreItem>
</file>

<file path=customXml/itemProps3.xml><?xml version="1.0" encoding="utf-8"?>
<ds:datastoreItem xmlns:ds="http://schemas.openxmlformats.org/officeDocument/2006/customXml" ds:itemID="{D2EEDFD4-ECA2-4F91-B9E3-8C7CF7EADE7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E719C25-4E16-4092-9B60-8931F1273CC5}">
  <ds:schemaRefs>
    <ds:schemaRef ds:uri="http://lrs.lt/TAIS/DocParts"/>
  </ds:schemaRefs>
</ds:datastoreItem>
</file>

<file path=customXml/itemProps5.xml><?xml version="1.0" encoding="utf-8"?>
<ds:datastoreItem xmlns:ds="http://schemas.openxmlformats.org/officeDocument/2006/customXml" ds:itemID="{94B1BD17-C333-4FD6-B80E-DBF8A03CD4BA}">
  <ds:schemaRefs>
    <ds:schemaRef ds:uri="http://schemas.openxmlformats.org/officeDocument/2006/bibliography"/>
  </ds:schemaRefs>
</ds:datastoreItem>
</file>

<file path=customXml/itemProps6.xml><?xml version="1.0" encoding="utf-8"?>
<ds:datastoreItem xmlns:ds="http://schemas.openxmlformats.org/officeDocument/2006/customXml" ds:itemID="{F347826C-72C9-4010-9AC1-2DF8FC5F9F9C}">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18</TotalTime>
  <Pages>12</Pages>
  <Words>24985</Words>
  <Characters>14242</Characters>
  <Application>Microsoft Office Word</Application>
  <DocSecurity>0</DocSecurity>
  <Lines>118</Lines>
  <Paragraphs>78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
  <LinksUpToDate>false</LinksUpToDate>
  <CharactersWithSpaces>39149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2023-10-26T10:00:00Z</dcterms:created>
  <dc:creator>Jolanta Urbelionytė</dc:creator>
  <lastModifiedBy>JUOSPONIENĖ Karolina</lastModifiedBy>
  <dcterms:modified xsi:type="dcterms:W3CDTF">2024-09-09T11:58:00Z</dcterms:modified>
  <revision>8</revision>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0x010100AA351E0ECF89C14A900DE8C04996CFDF</vt:lpwstr>
  </property>
  <property fmtid="{D5CDD505-2E9C-101B-9397-08002B2CF9AE}" pid="3" name="MediaServiceImageTags">
    <vt:lpwstr xmlns:vt="http://schemas.openxmlformats.org/officeDocument/2006/docPropsVTypes"/>
  </property>
</Properties>
</file>