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2020-05-22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5fa530766b58437bbd520c157674e472"/>
        <w:lock w:val="sdtLocked"/>
        <w:richText/>
      </w:sdtPr>
      <w:sdtContent>
        <w:p>
          <w:pPr>
            <w:widowControl w:val="0"/>
            <w:ind w:left="3806" w:firstLine="1296"/>
            <w:sectPr>
              <w:headerReference w:type="default" r:id="rId10"/>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5fa530766b58437bbd520c157674e472"/>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b105d354e3c341e6a3e25724b7927c3d"/>
                        <w:lock w:val="sdtLocked"/>
                        <w:richText/>
                      </w:sdtPr>
                      <w:sdtContent>
                        <w:p>
                          <w:pPr>
                            <w:widowControl w:val="0"/>
                            <w:ind w:firstLine="720"/>
                            <w:jc w:val="both"/>
                            <w:rPr>
                              <w:szCs w:val="24"/>
                              <w:lang w:eastAsia="lt-LT"/>
                            </w:rPr>
                          </w:pPr>
                          <w:sdt>
                            <w:sdtPr>
                              <w:alias w:val="Numeris"/>
                              <w:tag w:val="nr_b105d354e3c341e6a3e25724b7927c3d"/>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4a4792d335b2467ea86ffc5b2a069371"/>
                        <w:lock w:val="sdtLocked"/>
                        <w:richText/>
                      </w:sdtPr>
                      <w:sdtContent>
                        <w:p>
                          <w:pPr>
                            <w:widowControl w:val="0"/>
                            <w:ind w:firstLine="720"/>
                            <w:jc w:val="both"/>
                            <w:rPr>
                              <w:szCs w:val="24"/>
                              <w:lang w:eastAsia="lt-LT"/>
                            </w:rPr>
                          </w:pPr>
                          <w:sdt>
                            <w:sdtPr>
                              <w:alias w:val="Numeris"/>
                              <w:tag w:val="nr_4a4792d335b2467ea86ffc5b2a069371"/>
                              <w:lock w:val="sdtLocked"/>
                              <w:richText/>
                            </w:sdtPr>
                            <w:sdtContent>
                              <w:r>
                                <w:rPr>
                                  <w:szCs w:val="24"/>
                                  <w:lang w:eastAsia="lt-LT"/>
                                </w:rPr>
                                <w:t>13.4.8</w:t>
                              </w:r>
                            </w:sdtContent>
                          </w:sdt>
                          <w:r>
                            <w:rPr>
                              <w:szCs w:val="24"/>
                              <w:lang w:eastAsia="lt-LT"/>
                            </w:rPr>
                            <w:t>. išsinuomoto ilgalaikio turto vertę;</w:t>
                          </w:r>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2b5823e491214e7abc6698b442670a96"/>
                        <w:lock w:val="sdtLocked"/>
                        <w:richText/>
                      </w:sdtPr>
                      <w:sdtContent>
                        <w:p>
                          <w:pPr>
                            <w:widowControl w:val="0"/>
                            <w:ind w:firstLine="720"/>
                            <w:jc w:val="both"/>
                            <w:rPr>
                              <w:color w:val="000000"/>
                              <w:szCs w:val="24"/>
                              <w:lang w:eastAsia="lt-LT"/>
                            </w:rPr>
                          </w:pPr>
                          <w:sdt>
                            <w:sdtPr>
                              <w:alias w:val="Numeris"/>
                              <w:tag w:val="nr_2b5823e491214e7abc6698b442670a96"/>
                              <w:lock w:val="sdtLocked"/>
                              <w:richText/>
                            </w:sdtPr>
                            <w:sdtContent>
                              <w:r>
                                <w:rPr>
                                  <w:color w:val="000000"/>
                                  <w:szCs w:val="24"/>
                                  <w:lang w:eastAsia="lt-LT"/>
                                </w:rPr>
                                <w:t>13.5.3</w:t>
                              </w:r>
                            </w:sdtContent>
                          </w:sdt>
                          <w:r>
                            <w:rPr>
                              <w:color w:val="000000"/>
                              <w:szCs w:val="24"/>
                              <w:lang w:eastAsia="lt-LT"/>
                            </w:rPr>
                            <w:t xml:space="preserve">. nebaigtos statybos vertę, išskyrus strategiškai svarbių investicijų, padedančių siekti nacionalinės ir Europinės energetikos politikos tikslų, jei šių investicijų įtaka nebuvo įvertinta, skaičiuojant vidutinę svertinę kapitalo kainą, nenaudojamų, </w:t>
                          </w:r>
                          <w:r>
                            <w:rPr>
                              <w:szCs w:val="24"/>
                              <w:lang w:eastAsia="lt-LT"/>
                            </w:rPr>
                            <w:t>likviduotų, nurašytų, laikinai nenaudojamų (užkonservuotų), esančių atsargose, išskyrus atsargų, kurias gamtinių dujų įmonė nuolat privalo laikyti, turto vienetų vertę,</w:t>
                          </w:r>
                          <w:r>
                            <w:rPr>
                              <w:color w:val="000000"/>
                              <w:szCs w:val="24"/>
                              <w:lang w:eastAsia="lt-LT"/>
                            </w:rPr>
                            <w:t xml:space="preserve"> išskyrus išnuomoto turto vertę, kuris, nevykdant nereguliuojamos veiklos, visa apimtimi būtų naudojamas gamtinių dujų įmonės reguliuojamoje veikloje;</w:t>
                          </w:r>
                        </w:p>
                      </w:sdtContent>
                    </w:sdt>
                    <w:sdt>
                      <w:sdtPr>
                        <w:alias w:val="13.5.4 pp."/>
                        <w:tag w:val="part_228aacae1951479089ff14bc40d9b320"/>
                        <w:lock w:val="sdtLocked"/>
                        <w:richText/>
                      </w:sdtPr>
                      <w:sdtContent>
                        <w:p>
                          <w:pPr>
                            <w:widowControl w:val="0"/>
                            <w:ind w:firstLine="720"/>
                            <w:jc w:val="both"/>
                            <w:rPr>
                              <w:color w:val="000000"/>
                              <w:szCs w:val="24"/>
                              <w:lang w:eastAsia="lt-LT"/>
                            </w:rPr>
                          </w:pPr>
                          <w:sdt>
                            <w:sdtPr>
                              <w:alias w:val="Numeris"/>
                              <w:tag w:val="nr_228aacae1951479089ff14bc40d9b320"/>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w:t>
                          </w:r>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c80ef6c4a79c4169b8ee6cd7e9a5f3ea"/>
                    <w:lock w:val="sdtLocked"/>
                    <w:richText/>
                  </w:sdtPr>
                  <w:sdtContent>
                    <w:p>
                      <w:pPr>
                        <w:widowControl w:val="0"/>
                        <w:ind w:firstLine="720"/>
                        <w:jc w:val="both"/>
                        <w:rPr>
                          <w:color w:val="000000"/>
                          <w:szCs w:val="24"/>
                          <w:lang w:eastAsia="lt-LT"/>
                        </w:rPr>
                      </w:pPr>
                      <w:sdt>
                        <w:sdtPr>
                          <w:alias w:val="Numeris"/>
                          <w:tag w:val="nr_c80ef6c4a79c4169b8ee6cd7e9a5f3ea"/>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3fc0d5d799264e1984630ee2cc4464c9"/>
                    <w:lock w:val="sdtLocked"/>
                    <w:richText/>
                  </w:sdtPr>
                  <w:sdtContent>
                    <w:p>
                      <w:pPr>
                        <w:widowControl w:val="0"/>
                        <w:ind w:firstLine="720"/>
                        <w:jc w:val="both"/>
                        <w:rPr>
                          <w:color w:val="000000"/>
                          <w:szCs w:val="24"/>
                          <w:lang w:eastAsia="lt-LT"/>
                        </w:rPr>
                      </w:pPr>
                      <w:sdt>
                        <w:sdtPr>
                          <w:alias w:val="Numeris"/>
                          <w:tag w:val="nr_3fc0d5d799264e1984630ee2cc4464c9"/>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w:t>
                      </w:r>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ebdaabb57c584fa0a79ccefd3312d2bc"/>
                    <w:lock w:val="sdtLocked"/>
                    <w:richText/>
                  </w:sdtPr>
                  <w:sdtContent>
                    <w:p>
                      <w:pPr>
                        <w:tabs>
                          <w:tab w:val="left" w:pos="1134"/>
                        </w:tabs>
                        <w:ind w:firstLine="720"/>
                        <w:jc w:val="both"/>
                        <w:rPr>
                          <w:szCs w:val="24"/>
                          <w:lang w:eastAsia="lt-LT"/>
                        </w:rPr>
                      </w:pPr>
                      <w:sdt>
                        <w:sdtPr>
                          <w:alias w:val="Numeris"/>
                          <w:tag w:val="nr_ebdaabb57c584fa0a79ccefd3312d2bc"/>
                          <w:lock w:val="sdtLocked"/>
                          <w:richText/>
                        </w:sdtPr>
                        <w:sdtContent>
                          <w:r>
                            <w:rPr>
                              <w:szCs w:val="24"/>
                              <w:lang w:eastAsia="lt-LT"/>
                            </w:rPr>
                            <w:t>19.5</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33a1ae3cf63c4e488d0318bda05a4054"/>
                    <w:lock w:val="sdtLocked"/>
                    <w:richText/>
                  </w:sdtPr>
                  <w:sdtContent>
                    <w:p>
                      <w:pPr>
                        <w:ind w:firstLine="709"/>
                        <w:jc w:val="both"/>
                        <w:rPr>
                          <w:color w:val="000000"/>
                          <w:szCs w:val="24"/>
                          <w:lang w:eastAsia="lt-LT"/>
                        </w:rPr>
                      </w:pPr>
                      <w:sdt>
                        <w:sdtPr>
                          <w:alias w:val="Numeris"/>
                          <w:tag w:val="nr_33a1ae3cf63c4e488d0318bda05a4054"/>
                          <w:lock w:val="sdtLocked"/>
                          <w:richText/>
                        </w:sdt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sąnaudas, išskyrus sąnaudas, nurodytas </w:t>
                      </w:r>
                      <w:r>
                        <w:rPr>
                          <w:bCs/>
                          <w:szCs w:val="24"/>
                          <w:lang w:eastAsia="lt-LT"/>
                        </w:rPr>
                        <w:t>Valstybės reguliuojamų kainų gamtinių dujų sektoriuje nustatymo metodikoje, patvirtintoje Tarybos 2013 m. rugsėjo 13 d. nutarimu Nr. O3-367 „Dėl Valstybės reguliuojamų kainų gamtinių dujų sektoriuje nustatymo metodikos patvirtinimo“ (toliau – Metodika),</w:t>
                      </w:r>
                      <w:r>
                        <w:rPr>
                          <w:b/>
                          <w:szCs w:val="24"/>
                          <w:lang w:eastAsia="lt-LT"/>
                        </w:rPr>
                        <w:t xml:space="preserve"> </w:t>
                      </w:r>
                      <w:r>
                        <w:rPr>
                          <w:bCs/>
                          <w:szCs w:val="24"/>
                          <w:lang w:eastAsia="lt-LT"/>
                        </w:rPr>
                        <w:t xml:space="preserve">ir </w:t>
                      </w:r>
                      <w:r>
                        <w:rPr>
                          <w:bCs/>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rPr>
                          <w:bCs/>
                        </w:rPr>
                        <w:t>rumpalaikių paskolų (iki vienerių metų), skirtų subalansuoti gamtinių dujų įmonės finansinius srautus Lietuvos Respublikos teritorijoje paskelbto karantino laikotarpiu, palūkanų sąnaudos.</w:t>
                      </w:r>
                      <w:r>
                        <w:rPr>
                          <w:bCs/>
                          <w:color w:val="000000"/>
                          <w:szCs w:val="24"/>
                        </w:rPr>
                        <w:t xml:space="preserve">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687c287a4794fee924519a788624b7f"/>
                    <w:lock w:val="sdtLocked"/>
                    <w:richText/>
                  </w:sdtPr>
                  <w:sdtContent>
                    <w:p>
                      <w:pPr>
                        <w:widowControl w:val="0"/>
                        <w:ind w:firstLine="720"/>
                        <w:jc w:val="both"/>
                        <w:rPr>
                          <w:color w:val="000000"/>
                          <w:szCs w:val="24"/>
                          <w:lang w:eastAsia="lt-LT"/>
                        </w:rPr>
                      </w:pPr>
                      <w:sdt>
                        <w:sdtPr>
                          <w:alias w:val="Numeris"/>
                          <w:tag w:val="nr_e687c287a4794fee924519a788624b7f"/>
                          <w:lock w:val="sdtLocked"/>
                          <w:richText/>
                        </w:sdtPr>
                        <w:sdtContent>
                          <w:r>
                            <w:rPr>
                              <w:color w:val="000000"/>
                              <w:szCs w:val="24"/>
                              <w:lang w:eastAsia="lt-LT"/>
                            </w:rPr>
                            <w:t>29.18</w:t>
                          </w:r>
                        </w:sdtContent>
                      </w:sdt>
                      <w:r>
                        <w:rPr>
                          <w:color w:val="000000"/>
                          <w:szCs w:val="24"/>
                          <w:lang w:eastAsia="lt-LT"/>
                        </w:rPr>
                        <w:t>. nusidėvėjimo (amortizacijos) sąnaudas nuo ilgalaikio turto ar jo dalies vertės, sukurtos, įvykdžius investicijų projektus, teisės aktų nustatyta tvarka nesuderintus su Taryba;</w:t>
                      </w:r>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d592b522d0f34a79996b3cc9913a26ad"/>
                    <w:lock w:val="sdtLocked"/>
                    <w:richText/>
                  </w:sdtPr>
                  <w:sdtContent>
                    <w:p>
                      <w:pPr>
                        <w:ind w:firstLine="709"/>
                        <w:jc w:val="both"/>
                        <w:rPr>
                          <w:color w:val="000000"/>
                          <w:szCs w:val="24"/>
                          <w:lang w:eastAsia="lt-LT"/>
                        </w:rPr>
                      </w:pPr>
                      <w:sdt>
                        <w:sdtPr>
                          <w:alias w:val="Numeris"/>
                          <w:tag w:val="nr_d592b522d0f34a79996b3cc9913a26ad"/>
                          <w:lock w:val="sdtLocked"/>
                          <w:richText/>
                        </w:sdtPr>
                        <w:sdtContent>
                          <w:r>
                            <w:rPr>
                              <w:color w:val="000000"/>
                              <w:szCs w:val="24"/>
                            </w:rPr>
                            <w:t>29.23</w:t>
                          </w:r>
                        </w:sdtContent>
                      </w:sdt>
                      <w:r>
                        <w:rPr>
                          <w:color w:val="000000"/>
                          <w:szCs w:val="24"/>
                        </w:rPr>
                        <w:t xml:space="preserve">. </w:t>
                      </w:r>
                      <w:r>
                        <w:rPr>
                          <w:szCs w:val="24"/>
                          <w:lang w:eastAsia="lt-LT"/>
                        </w:rPr>
                        <w:t>kitas finansinės-investicinės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c03337efe38349d3898322d7ab98d465"/>
                <w:lock w:val="sdtLocked"/>
                <w:richText/>
              </w:sdtPr>
              <w:sdtContent>
                <w:p>
                  <w:pPr>
                    <w:widowControl w:val="0"/>
                    <w:tabs>
                      <w:tab w:val="left" w:pos="1134"/>
                    </w:tabs>
                    <w:ind w:firstLine="720"/>
                    <w:jc w:val="both"/>
                    <w:rPr>
                      <w:color w:val="000000"/>
                      <w:szCs w:val="24"/>
                      <w:lang w:eastAsia="lt-LT"/>
                    </w:rPr>
                  </w:pPr>
                  <w:sdt>
                    <w:sdtPr>
                      <w:alias w:val="Numeris"/>
                      <w:tag w:val="nr_c03337efe38349d3898322d7ab98d465"/>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p>
                  <w:pPr>
                    <w:widowControl w:val="0"/>
                    <w:tabs>
                      <w:tab w:val="left" w:pos="1134"/>
                    </w:tabs>
                    <w:jc w:val="both"/>
                    <w:rPr>
                      <w:color w:val="000000"/>
                      <w:szCs w:val="24"/>
                      <w:lang w:eastAsia="lt-LT"/>
                    </w:rPr>
                  </w:pPr>
                </w:p>
                <w:p>
                  <w:pPr>
                    <w:widowControl w:val="0"/>
                    <w:tabs>
                      <w:tab w:val="left" w:pos="1134"/>
                    </w:tabs>
                    <w:ind w:firstLine="720"/>
                    <w:jc w:val="both"/>
                    <w:rPr>
                      <w:color w:val="000000"/>
                      <w:szCs w:val="24"/>
                      <w:lang w:eastAsia="lt-LT"/>
                    </w:rPr>
                  </w:pPr>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27a7e5c5817b4c138a6b09ea6439f31f"/>
                    <w:lock w:val="sdtLocked"/>
                    <w:richText/>
                  </w:sdtPr>
                  <w:sdtContent>
                    <w:p>
                      <w:pPr>
                        <w:widowControl w:val="0"/>
                        <w:ind w:firstLine="720"/>
                        <w:jc w:val="both"/>
                        <w:rPr>
                          <w:color w:val="000000"/>
                          <w:szCs w:val="24"/>
                          <w:lang w:eastAsia="lt-LT"/>
                        </w:rPr>
                      </w:pPr>
                      <w:sdt>
                        <w:sdtPr>
                          <w:alias w:val="Numeris"/>
                          <w:tag w:val="nr_27a7e5c5817b4c138a6b09ea6439f31f"/>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58ebf77086994d73a288119b63c35e7a"/>
                    <w:lock w:val="sdtLocked"/>
                    <w:richText/>
                  </w:sdtPr>
                  <w:sdtContent>
                    <w:p>
                      <w:pPr>
                        <w:widowControl w:val="0"/>
                        <w:ind w:firstLine="720"/>
                        <w:jc w:val="both"/>
                        <w:rPr>
                          <w:color w:val="000000"/>
                          <w:szCs w:val="24"/>
                          <w:lang w:eastAsia="lt-LT"/>
                        </w:rPr>
                      </w:pPr>
                      <w:sdt>
                        <w:sdtPr>
                          <w:alias w:val="Numeris"/>
                          <w:tag w:val="nr_58ebf77086994d73a288119b63c35e7a"/>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2633450129f84cd89d811e0f15c541c5"/>
                <w:lock w:val="sdtLocked"/>
                <w:richText/>
              </w:sdtPr>
              <w:sdtContent>
                <w:p>
                  <w:pPr>
                    <w:widowControl w:val="0"/>
                    <w:ind w:firstLine="720"/>
                    <w:jc w:val="both"/>
                    <w:rPr>
                      <w:color w:val="000000"/>
                      <w:szCs w:val="24"/>
                      <w:lang w:eastAsia="lt-LT"/>
                    </w:rPr>
                  </w:pPr>
                  <w:sdt>
                    <w:sdtPr>
                      <w:alias w:val="Numeris"/>
                      <w:tag w:val="nr_2633450129f84cd89d811e0f15c541c5"/>
                      <w:lock w:val="sdtLocked"/>
                      <w:richText/>
                    </w:sdtPr>
                    <w:sdtContent>
                      <w:r>
                        <w:rPr>
                          <w:color w:val="000000"/>
                          <w:szCs w:val="24"/>
                          <w:lang w:eastAsia="lt-LT"/>
                        </w:rPr>
                        <w:t>52</w:t>
                      </w:r>
                    </w:sdtContent>
                  </w:sdt>
                  <w:r>
                    <w:rPr>
                      <w:color w:val="000000"/>
                      <w:szCs w:val="24"/>
                      <w:lang w:eastAsia="lt-LT"/>
                    </w:rPr>
                    <w:t>. Tarybos veiksmai ar neveikimas, įgyvendinant Aprašą, gali būti skundžiami Lietuvos Respublikos įstatymų nustatyta tvarka ir sąlygomis.</w:t>
                  </w:r>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O3E-464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E49CC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5fa530766b58437bbd520c157674e472">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b105d354e3c341e6a3e25724b7927c3d"/>
          <Part Type="papunktis" Nr="13.4.8" Abbr="13.4.8 pp." DocPartId="906af0fa4fb24a35aa04053203192c78" PartId="4a4792d335b2467ea86ffc5b2a069371"/>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2b5823e491214e7abc6698b442670a96"/>
          <Part Type="papunktis" Nr="13.5.4" Abbr="13.5.4 pp." DocPartId="0c136ebbf8b84a84bb2e88fcc328668b" PartId="228aacae1951479089ff14bc40d9b320"/>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c80ef6c4a79c4169b8ee6cd7e9a5f3ea"/>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3fc0d5d799264e1984630ee2cc4464c9"/>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ebdaabb57c584fa0a79ccefd3312d2bc"/>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33a1ae3cf63c4e488d0318bda05a4054"/>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687c287a4794fee924519a788624b7f"/>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2" Abbr="29.22 pp." DocPartId="3daf0fb9411b4705b3e91b191a4de1ac" PartId="e8c591086f574128bd3b20c5d4e9cbbd"/>
        <Part Type="papunktis" Nr="29.23" Abbr="29.23 pp." DocPartId="8f47a6df238947f5961c4b8bfe3c9ddb" PartId="d592b522d0f34a79996b3cc9913a26ad"/>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3" Abbr="33 p." DocPartId="5b21fa8a52d64f3b8b4db0932431137b" PartId="c03337efe38349d3898322d7ab98d465"/>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27a7e5c5817b4c138a6b09ea6439f31f"/>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58ebf77086994d73a288119b63c35e7a"/>
        <Part Type="papunktis" Nr="40.9" Abbr="40.9 pp." DocPartId="addbc6d69f2c485abd290ea1fce24fa6" PartId="9c83bd2823e44c119224d9954bedd83b"/>
        <Part Type="papunktis" Nr="40.10" Abbr="40.10 pp." DocPartId="0f7d9ddb4cef442480f48d1bf857c9fc" PartId="52f5284f76e0484f8d529a71a8384ef3"/>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9f15671ad1cd4791b881026663706164" PartId="2633450129f84cd89d811e0f15c541c5"/>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4B627BF-1D0A-448F-946D-39EEACE62397}">
  <ds:schemaRefs>
    <ds:schemaRef ds:uri="http://lrs.lt/TAIS/DocParts"/>
  </ds:schemaRefs>
</ds:datastoreItem>
</file>

<file path=customXml/itemProps3.xml><?xml version="1.0" encoding="utf-8"?>
<ds:datastoreItem xmlns:ds="http://schemas.openxmlformats.org/officeDocument/2006/customXml" ds:itemID="{6D109D0D-3ACD-42B9-BAE3-7AA77ECFAA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16</Pages>
  <Words>37639</Words>
  <Characters>21455</Characters>
  <Application>Microsoft Office Word</Application>
  <DocSecurity>0</DocSecurity>
  <Lines>178</Lines>
  <Paragraphs>117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58977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Loreta RAKAUSKIENĖ</lastModifiedBy>
  <lastPrinted>2018-12-04T08:42:00Z</lastPrinted>
  <dcterms:modified xsi:type="dcterms:W3CDTF">2020-05-26T06:48:00Z</dcterms:modified>
  <revision>11</revision>
</coreProperties>
</file>