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9dfd10e1ea48899f9f4907ecb3a7ad"/>
        <w:lock w:val="sdtLocked"/>
        <w:richText/>
      </w:sdtPr>
      <w:sdtContent>
        <w:p>
          <w:pPr>
            <w:rPr>
              <w:rFonts w:ascii="Arial" w:hAnsi="Arial"/>
              <w:b/>
              <w:i/>
            </w:rPr>
          </w:pPr>
          <w:r>
            <w:rPr>
              <w:rFonts w:ascii="Arial" w:hAnsi="Arial"/>
              <w:b/>
              <w:i/>
            </w:rPr>
            <w:t>Sprendimas netenka galios 2024-06-28:</w:t>
          </w:r>
        </w:p>
        <w:p>
          <w:pPr>
            <w:jc w:val="both"/>
            <w:rPr>
              <w:rFonts w:ascii="Arial" w:hAnsi="Arial"/>
              <w:i/>
            </w:rPr>
          </w:pPr>
          <w:r>
            <w:rPr>
              <w:rFonts w:ascii="Arial" w:hAnsi="Arial"/>
              <w:sz w:val="20"/>
              <w:i/>
            </w:rPr>
            <w:t>
                    Lietuvos Respublikos vyriausioji rinkimų komisija, Sprendimas
                </w:t>
          </w:r>
        </w:p>
        <w:p>
          <w:pPr>
            <w:jc w:val="both"/>
            <w:rPr>
              <w:rFonts w:ascii="Arial" w:hAnsi="Arial"/>
              <w:i/>
            </w:rPr>
          </w:pPr>
          <w:r>
            <w:rPr>
              <w:rFonts w:ascii="Arial" w:hAnsi="Arial"/>
              <w:sz w:val="20"/>
              <w:i/>
            </w:rPr>
            <w:t xml:space="preserve">Nr. </w:t>
          </w:r>
          <w:fldSimple w:instr="HYPERLINK https://www.e-tar.lt/portal/legalAct.html?documentId=4ac7ba00348611efbdaea558de59136c">
            <w:r w:rsidRPr="00532B9F">
              <w:rPr>
                <w:rFonts w:ascii="Arial" w:eastAsia="MS Mincho" w:hAnsi="Arial"/>
                <w:sz w:val="20"/>
                <w:i/>
                <w:iCs/>
                <w:color w:val="0000FF" w:themeColor="hyperlink"/>
                <w:u w:val="single"/>
              </w:rPr>
              <w:t>Sp-167</w:t>
            </w:r>
          </w:fldSimple>
          <w:r>
            <w:rPr>
              <w:rFonts w:ascii="Arial" w:eastAsia="MS Mincho" w:hAnsi="Arial"/>
              <w:sz w:val="20"/>
              <w:iCs/>
              <w:i/>
            </w:rPr>
            <w:t>,
2024-06-27,
paskelbta TAR 2024-06-27, i. k. 2024-11858                </w:t>
          </w:r>
        </w:p>
        <w:p>
          <w:pPr>
            <w:jc w:val="both"/>
            <w:rPr>
              <w:rFonts w:ascii="Arial" w:hAnsi="Arial"/>
              <w:i/>
            </w:rPr>
          </w:pPr>
          <w:r>
            <w:rPr>
              <w:rFonts w:ascii="Arial" w:hAnsi="Arial"/>
              <w:sz w:val="20"/>
              <w:i/>
            </w:rPr>
            <w:t>Dėl Rinkimų (referendumo) stebėtojų registravimo tvarkos aprašo patvirtinimo</w:t>
          </w:r>
        </w:p>
        <w:p>
          <w:pPr>
            <w:jc w:val="both"/>
            <w:rPr>
              <w:rFonts w:ascii="Arial" w:hAnsi="Arial"/>
              <w:sz w:val="20"/>
              <w:i/>
            </w:rPr>
          </w:pPr>
        </w:p>
        <w:p>
          <w:pPr>
            <w:jc w:val="both"/>
            <w:rPr>
              <w:rFonts w:ascii="Arial" w:hAnsi="Arial"/>
            </w:rPr>
          </w:pPr>
          <w:r>
            <w:rPr>
              <w:rFonts w:ascii="Arial" w:hAnsi="Arial"/>
              <w:b/>
              <w:i/>
            </w:rPr>
            <w:t>Suvestinė redakcija nuo 2024-01-05 iki 2024-06-27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2022-08-12, i. k. 2022-17023</w:t>
          </w:r>
        </w:p>
        <w:p>
          <w:pPr>
            <w:jc w:val="both"/>
            <w:rPr>
              <w:rFonts w:ascii="Arial" w:hAnsi="Arial"/>
              <w:sz w:val="20"/>
            </w:rPr>
          </w:pPr>
        </w:p>
        <w:p>
          <w:pPr>
            <w:jc w:val="right"/>
          </w:pPr>
        </w:p>
        <w:p>
          <w:pPr>
            <w:jc w:val="center"/>
          </w:pPr>
          <w: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5pt;height:40.7pt" o:ole="" fillcolor="window">
                <v:imagedata r:id="rId9" o:title=""/>
              </v:shape>
              <o:OLEObject Type="Embed" ProgID="Word.Picture.8" ShapeID="_x0000_i1025" DrawAspect="Content" ObjectID="_0000000001" r:id="rId10"/>
            </w:object>
          </w:r>
        </w:p>
        <w:p>
          <w:pPr>
            <w:jc w:val="center"/>
            <w:rPr>
              <w:sz w:val="12"/>
              <w:szCs w:val="12"/>
            </w:rPr>
          </w:pPr>
        </w:p>
        <w:p>
          <w:pPr>
            <w:keepNext/>
            <w:jc w:val="center"/>
            <w:rPr>
              <w:b/>
            </w:rPr>
          </w:pPr>
          <w:r>
            <w:rPr>
              <w:b/>
            </w:rPr>
            <w:t>LIETUVOS RESPUBLIKOS</w:t>
          </w:r>
        </w:p>
        <w:p>
          <w:pPr>
            <w:jc w:val="center"/>
            <w:rPr>
              <w:b/>
            </w:rPr>
          </w:pPr>
          <w:r>
            <w:rPr>
              <w:b/>
            </w:rPr>
            <w:t>VYRIAUSIOJI RINKIMŲ KOMISIJA</w:t>
          </w:r>
        </w:p>
        <w:p>
          <w:pPr>
            <w:jc w:val="center"/>
            <w:rPr>
              <w:caps/>
              <w:spacing w:val="40"/>
            </w:rPr>
          </w:pPr>
        </w:p>
        <w:p>
          <w:pPr>
            <w:keepNext/>
            <w:jc w:val="center"/>
            <w:rPr>
              <w:b/>
            </w:rPr>
          </w:pPr>
          <w:r>
            <w:rPr>
              <w:b/>
            </w:rPr>
            <w:t>SPRENDIMAS</w:t>
          </w:r>
        </w:p>
        <w:p>
          <w:pPr>
            <w:tabs>
              <w:tab w:val="left" w:pos="10099"/>
            </w:tabs>
            <w:jc w:val="center"/>
            <w:rPr>
              <w:b/>
              <w:caps/>
              <w:szCs w:val="24"/>
            </w:rPr>
          </w:pPr>
          <w:r>
            <w:rPr>
              <w:b/>
              <w:caps/>
              <w:szCs w:val="24"/>
            </w:rPr>
            <w:t>DĖL RINKIMŲ (REFERENDUMO) STEBĖTOJŲ REGISTRAVIMO TVARKOS APRAŠO PATVIRTINIMO</w:t>
          </w:r>
        </w:p>
        <w:p>
          <w:pPr>
            <w:jc w:val="center"/>
            <w:rPr>
              <w:b/>
              <w:sz w:val="22"/>
            </w:rPr>
          </w:pPr>
        </w:p>
        <w:p>
          <w:pPr>
            <w:jc w:val="center"/>
          </w:pPr>
          <w:r>
            <w:t>2022 m. rugpjūčio 11 d. Nr. Sp-60</w:t>
          </w:r>
        </w:p>
        <w:p>
          <w:pPr>
            <w:jc w:val="center"/>
          </w:pPr>
          <w:r>
            <w:t>Vilnius</w:t>
          </w:r>
        </w:p>
        <w:p>
          <w:pPr>
            <w:jc w:val="center"/>
          </w:pPr>
        </w:p>
        <w:p>
          <w:pPr>
            <w:jc w:val="center"/>
          </w:pPr>
        </w:p>
        <w:sdt>
          <w:sdtPr>
            <w:alias w:val="preambule"/>
            <w:tag w:val="part_109805c5b5974b9990b9e6defa472b31"/>
            <w:lock w:val="sdtLocked"/>
            <w:richText/>
          </w:sdtPr>
          <w:sdtContent>
            <w:p>
              <w:pPr>
                <w:spacing w:line="360" w:lineRule="auto"/>
                <w:ind w:firstLine="720"/>
                <w:jc w:val="both"/>
              </w:pPr>
              <w:r>
                <w:rPr>
                  <w:szCs w:val="24"/>
                </w:rPr>
                <w:t xml:space="preserve">Lietuvos Respublikos vyriausioji rinkimų komisija, vadovaudamasi </w:t>
              </w:r>
              <w:r>
                <w:t>Lietuvos Respublikos rinkimų kodekso 92 straipsniu, 135 straipsnio 7 dalimi, 143 straipsnio 5 dalimi</w:t>
              </w:r>
              <w:r>
                <w:rPr>
                  <w:szCs w:val="24"/>
                </w:rPr>
                <w:t xml:space="preserve"> ir Lietuvos Respublikos referendumo konstitucinio įstatymo 20 straipsniu, </w:t>
              </w:r>
              <w:r>
                <w:rPr>
                  <w:spacing w:val="60"/>
                  <w:szCs w:val="24"/>
                </w:rPr>
                <w:t>nusprendži</w:t>
              </w:r>
              <w:r>
                <w:rPr>
                  <w:szCs w:val="24"/>
                </w:rPr>
                <w:t>a:</w:t>
              </w:r>
            </w:p>
          </w:sdtContent>
        </w:sdt>
        <w:sdt>
          <w:sdtPr>
            <w:alias w:val="1 p."/>
            <w:tag w:val="part_1a28f8a512fa4c9c9230bf3b3999114b"/>
            <w:lock w:val="sdtLocked"/>
            <w:richText/>
          </w:sdtPr>
          <w:sdtContent>
            <w:p>
              <w:pPr>
                <w:spacing w:line="360" w:lineRule="auto"/>
                <w:ind w:firstLine="720"/>
                <w:jc w:val="both"/>
                <w:rPr>
                  <w:szCs w:val="24"/>
                </w:rPr>
              </w:pPr>
              <w:sdt>
                <w:sdtPr>
                  <w:alias w:val="Numeris"/>
                  <w:tag w:val="nr_1a28f8a512fa4c9c9230bf3b3999114b"/>
                  <w:lock w:val="sdtLocked"/>
                  <w:richText/>
                </w:sdtPr>
                <w:sdtContent>
                  <w:r>
                    <w:rPr>
                      <w:szCs w:val="24"/>
                      <w:lang w:val="en-US"/>
                    </w:rPr>
                    <w:t>1</w:t>
                  </w:r>
                </w:sdtContent>
              </w:sdt>
              <w:r>
                <w:rPr>
                  <w:szCs w:val="24"/>
                  <w:lang w:val="en-US"/>
                </w:rPr>
                <w:t>.</w:t>
              </w:r>
              <w:r>
                <w:rPr>
                  <w:szCs w:val="24"/>
                </w:rPr>
                <w:t xml:space="preserve"> Patvirtinti Rinkimų (referendumo) stebėtojų registravimo tvarkos aprašą (pridedama).</w:t>
              </w:r>
            </w:p>
          </w:sdtContent>
        </w:sdt>
        <w:sdt>
          <w:sdtPr>
            <w:alias w:val="2 p."/>
            <w:tag w:val="part_aa09ccb869044d65b722869f975c6446"/>
            <w:lock w:val="sdtLocked"/>
            <w:richText/>
          </w:sdtPr>
          <w:sdtContent>
            <w:p>
              <w:pPr>
                <w:spacing w:line="360" w:lineRule="auto"/>
                <w:ind w:firstLine="720"/>
                <w:jc w:val="both"/>
                <w:rPr>
                  <w:szCs w:val="24"/>
                </w:rPr>
              </w:pPr>
              <w:sdt>
                <w:sdtPr>
                  <w:alias w:val="Numeris"/>
                  <w:tag w:val="nr_aa09ccb869044d65b722869f975c6446"/>
                  <w:lock w:val="sdtLocked"/>
                  <w:richText/>
                </w:sdtPr>
                <w:sdtContent>
                  <w:r>
                    <w:rPr>
                      <w:szCs w:val="24"/>
                    </w:rPr>
                    <w:t>2</w:t>
                  </w:r>
                </w:sdtContent>
              </w:sdt>
              <w:r>
                <w:rPr>
                  <w:szCs w:val="24"/>
                </w:rPr>
                <w:t>. Pripažinti netekusiu galios Lietuvos Respublikos vyriausiosios rinkimų komisijos 2020 m. balandžio 27 d. sprendimą Nr. Sp-52 „Dėl Rinkimų (referendumo) stebėtojo registravimo tvarkos aprašo patvirtinimo“.</w:t>
              </w:r>
            </w:p>
          </w:sdtContent>
        </w:sdt>
        <w:sdt>
          <w:sdtPr>
            <w:alias w:val="3 p."/>
            <w:tag w:val="part_f031c460a67d4a2f8962ab0972f1a0aa"/>
            <w:lock w:val="sdtLocked"/>
            <w:richText/>
          </w:sdtPr>
          <w:sdtContent>
            <w:p>
              <w:pPr>
                <w:tabs>
                  <w:tab w:val="left" w:pos="540"/>
                  <w:tab w:val="left" w:pos="993"/>
                  <w:tab w:val="left" w:pos="9070"/>
                </w:tabs>
                <w:spacing w:line="360" w:lineRule="auto"/>
                <w:ind w:firstLine="720"/>
                <w:jc w:val="both"/>
                <w:rPr>
                  <w:rFonts w:ascii="TimesLT" w:hAnsi="TimesLT"/>
                  <w:szCs w:val="24"/>
                </w:rPr>
              </w:pPr>
              <w:sdt>
                <w:sdtPr>
                  <w:alias w:val="Numeris"/>
                  <w:tag w:val="nr_f031c460a67d4a2f8962ab0972f1a0aa"/>
                  <w:lock w:val="sdtLocked"/>
                  <w:richText/>
                </w:sdtPr>
                <w:sdtContent>
                  <w:r>
                    <w:rPr>
                      <w:szCs w:val="24"/>
                    </w:rPr>
                    <w:t>3</w:t>
                  </w:r>
                </w:sdtContent>
              </w:sdt>
              <w:r>
                <w:rPr>
                  <w:szCs w:val="24"/>
                </w:rPr>
                <w:t xml:space="preserve">. </w:t>
              </w:r>
              <w:r>
                <w:t>Nustatyti, kad šis sprendimas įsigalioja 2022 m. rugsėjo 1 d.</w:t>
              </w:r>
            </w:p>
          </w:sdtContent>
        </w:sdt>
        <w:sdt>
          <w:sdtPr>
            <w:alias w:val="signatura"/>
            <w:tag w:val="part_f8fbd8ff8cdb495e987c9b7644929502"/>
            <w:lock w:val="sdtLocked"/>
            <w:richText/>
          </w:sdtPr>
          <w:sdtContent>
            <w:p>
              <w:pPr>
                <w:tabs>
                  <w:tab w:val="left" w:pos="6096"/>
                </w:tabs>
                <w:jc w:val="both"/>
              </w:pPr>
            </w:p>
            <w:p>
              <w:pPr>
                <w:tabs>
                  <w:tab w:val="left" w:pos="6096"/>
                </w:tabs>
                <w:jc w:val="both"/>
              </w:pPr>
            </w:p>
            <w:p>
              <w:pPr>
                <w:tabs>
                  <w:tab w:val="left" w:pos="6096"/>
                </w:tabs>
                <w:jc w:val="both"/>
              </w:pPr>
            </w:p>
            <w:p>
              <w:pPr>
                <w:tabs>
                  <w:tab w:val="left" w:pos="6096"/>
                </w:tabs>
                <w:jc w:val="both"/>
              </w:pPr>
              <w:r>
                <w:t>Komisijos pirmininkė</w:t>
                <w:tab/>
                <w:tab/>
                <w:t xml:space="preserve">                   Jolanta Petkevičienė</w:t>
              </w:r>
            </w:p>
            <w:p>
              <w:pPr>
                <w:tabs>
                  <w:tab w:val="center" w:pos="4819"/>
                  <w:tab w:val="right" w:pos="9638"/>
                </w:tabs>
                <w:rPr>
                  <w:sz w:val="20"/>
                </w:rPr>
              </w:pPr>
            </w:p>
          </w:sdtContent>
        </w:sdt>
      </w:sdtContent>
    </w:sdt>
    <w:sdt>
      <w:sdtPr>
        <w:alias w:val="patvirtinta"/>
        <w:tag w:val="part_0da8a16d2cd54b3492d503e77a8b9eec"/>
        <w:lock w:val="sdtLocked"/>
        <w:richText/>
      </w:sdtPr>
      <w:sdtContent>
        <w:p>
          <w:pPr>
            <w:ind w:firstLine="5387"/>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701" w:right="567" w:bottom="1134" w:left="1701" w:header="567" w:footer="567" w:gutter="0"/>
              <w:pgNumType w:start="1"/>
              <w:cols w:space="1296"/>
              <w:titlePg/>
              <w:docGrid w:linePitch="326"/>
            </w:sectPr>
          </w:pPr>
        </w:p>
        <w:p>
          <w:pPr>
            <w:ind w:firstLine="5103"/>
            <w:jc w:val="both"/>
            <w:rPr>
              <w:szCs w:val="24"/>
            </w:rPr>
          </w:pPr>
          <w:r>
            <w:rPr>
              <w:szCs w:val="24"/>
            </w:rPr>
            <w:t>PATVIRTINTA</w:t>
          </w:r>
        </w:p>
        <w:p>
          <w:pPr>
            <w:ind w:firstLine="5103"/>
            <w:jc w:val="both"/>
            <w:rPr>
              <w:szCs w:val="24"/>
            </w:rPr>
          </w:pPr>
          <w:r>
            <w:rPr>
              <w:szCs w:val="24"/>
            </w:rPr>
            <w:t xml:space="preserve">Lietuvos Respublikos </w:t>
          </w:r>
        </w:p>
        <w:p>
          <w:pPr>
            <w:ind w:firstLine="5103"/>
            <w:jc w:val="both"/>
            <w:rPr>
              <w:szCs w:val="24"/>
            </w:rPr>
          </w:pPr>
          <w:r>
            <w:rPr>
              <w:szCs w:val="24"/>
            </w:rPr>
            <w:t>vyriausiosios rinkimų komisijos</w:t>
          </w:r>
        </w:p>
        <w:p>
          <w:pPr>
            <w:ind w:firstLine="5103"/>
            <w:jc w:val="both"/>
            <w:rPr>
              <w:szCs w:val="24"/>
            </w:rPr>
          </w:pPr>
          <w:r>
            <w:rPr>
              <w:szCs w:val="24"/>
            </w:rPr>
            <w:t>2022 m. rugpjūčio 11 d. sprendimu Nr. Sp-60</w:t>
          </w:r>
        </w:p>
        <w:p>
          <w:pPr>
            <w:spacing w:line="360" w:lineRule="auto"/>
            <w:ind w:firstLine="720"/>
            <w:jc w:val="center"/>
            <w:rPr>
              <w:b/>
              <w:bCs/>
            </w:rPr>
          </w:pPr>
        </w:p>
        <w:p>
          <w:pPr>
            <w:jc w:val="center"/>
            <w:rPr>
              <w:b/>
              <w:bCs/>
            </w:rPr>
          </w:pPr>
          <w:sdt>
            <w:sdtPr>
              <w:alias w:val="Pavadinimas"/>
              <w:tag w:val="title_0da8a16d2cd54b3492d503e77a8b9eec"/>
              <w:lock w:val="sdtLocked"/>
              <w:richText/>
            </w:sdtPr>
            <w:sdtContent>
              <w:r>
                <w:rPr>
                  <w:b/>
                  <w:bCs/>
                </w:rPr>
                <w:t>RINKIMŲ (REFERENDUMO) STEBĖTOJŲ REGISTRAVIMO TVARKOS APRAŠAS</w:t>
              </w:r>
            </w:sdtContent>
          </w:sdt>
        </w:p>
        <w:p>
          <w:pPr>
            <w:spacing w:line="360" w:lineRule="auto"/>
            <w:ind w:firstLine="720"/>
            <w:jc w:val="center"/>
            <w:rPr>
              <w:b/>
              <w:bCs/>
            </w:rPr>
          </w:pPr>
        </w:p>
        <w:sdt>
          <w:sdtPr>
            <w:alias w:val="1 p."/>
            <w:tag w:val="part_0256fbf60f4e40939074ecb76e3d5ce3"/>
            <w:lock w:val="sdtLocked"/>
            <w:richText/>
          </w:sdtPr>
          <w:sdtContent>
            <w:p>
              <w:pPr>
                <w:spacing w:line="360" w:lineRule="auto"/>
                <w:ind w:firstLine="720"/>
                <w:jc w:val="both"/>
              </w:pPr>
              <w:sdt>
                <w:sdtPr>
                  <w:alias w:val="Numeris"/>
                  <w:tag w:val="nr_0256fbf60f4e40939074ecb76e3d5ce3"/>
                  <w:lock w:val="sdtLocked"/>
                  <w:richText/>
                </w:sdtPr>
                <w:sdtContent>
                  <w:r>
                    <w:t>1</w:t>
                  </w:r>
                </w:sdtContent>
              </w:sdt>
              <w:r>
                <w:t xml:space="preserve">. Rinkimų (referendumo) stebėtojų registravimo tvarkos apraše (toliau </w:t>
              </w:r>
              <w:r>
                <w:rPr>
                  <w:sz w:val="18"/>
                </w:rPr>
                <w:t xml:space="preserve">– </w:t>
              </w:r>
              <w:r>
                <w:t>Aprašas) nustatoma rinkimų (referendumo) stebėtojo (toliau – stebėtojas) pažymėjimo išdavimo, naudojimo ir netekimo tvarka, rinkimų (referendumo) stebėtojo teisės ir pareigos, veiklos sąlygos.</w:t>
              </w:r>
            </w:p>
          </w:sdtContent>
        </w:sdt>
        <w:sdt>
          <w:sdtPr>
            <w:alias w:val="2 p."/>
            <w:tag w:val="part_62570d0e75144ac7ad542cf6dd97e75f"/>
            <w:lock w:val="sdtLocked"/>
            <w:richText/>
          </w:sdtPr>
          <w:sdtContent>
            <w:p>
              <w:pPr>
                <w:spacing w:line="360" w:lineRule="auto"/>
                <w:ind w:firstLine="720"/>
                <w:jc w:val="both"/>
              </w:pPr>
              <w:sdt>
                <w:sdtPr>
                  <w:alias w:val="Numeris"/>
                  <w:tag w:val="nr_62570d0e75144ac7ad542cf6dd97e75f"/>
                  <w:lock w:val="sdtLocked"/>
                  <w:richText/>
                </w:sdtPr>
                <w:sdtContent>
                  <w:r>
                    <w:t>2</w:t>
                  </w:r>
                </w:sdtContent>
              </w:sdt>
              <w:r>
                <w:t>. Stebėtojas – asmuo, turintis Lietuvos Respublikos vyriausiosios ar savivaldybės (apygardos) rinkimų komisijos išduotą nustatytos formos oranžinės spalvos pažymėjimą. Jis turi teisę stebėti rinkimus, referendumą visoje Lietuvos Respublikos, savivaldybės (apygardos) arba apylinkės, kuri nurodyta jo pažymėjime, teritorijoje.</w:t>
              </w:r>
            </w:p>
          </w:sdtContent>
        </w:sdt>
        <w:sdt>
          <w:sdtPr>
            <w:alias w:val="3 p."/>
            <w:tag w:val="part_84f1a0afb5be4629a63b5e07ffc80be3"/>
            <w:lock w:val="sdtLocked"/>
            <w:richText/>
          </w:sdtPr>
          <w:sdtContent>
            <w:p>
              <w:pPr>
                <w:spacing w:line="360" w:lineRule="auto"/>
                <w:ind w:firstLine="720"/>
                <w:jc w:val="both"/>
                <w:rPr>
                  <w:szCs w:val="24"/>
                </w:rPr>
              </w:pPr>
              <w:sdt>
                <w:sdtPr>
                  <w:alias w:val="Numeris"/>
                  <w:tag w:val="nr_84f1a0afb5be4629a63b5e07ffc80be3"/>
                  <w:lock w:val="sdtLocked"/>
                  <w:richText/>
                </w:sdtPr>
                <w:sdtContent>
                  <w:r>
                    <w:t>3</w:t>
                  </w:r>
                </w:sdtContent>
              </w:sdt>
              <w:r>
                <w:t xml:space="preserve">. </w:t>
              </w:r>
              <w:r>
                <w:rPr>
                  <w:color w:val="000000"/>
                  <w:szCs w:val="24"/>
                </w:rPr>
                <w:t>Stebėtoju gali būti rinkėjas arba užsienio valstybėms ar tarptautinėms organizacijoms atstovaujančių subjektų pasiūlytas asmuo. Stebėtoju negali būti tos savivaldybės, kurios teritorijoje stebėtojas turi teisę stebėti rinkimus arba kurios teritorija patenka į rinkimų apygardą, meras, administracijos direktorius, jų pavaduotojai, seniūnai, jų pavaduotojai, rinkimų komisijos narys, kandidatas, rinkimų (referendumo) komisijos darbuotojas (informatikas, buhalteris).</w:t>
              </w:r>
            </w:p>
          </w:sdtContent>
        </w:sdt>
        <w:sdt>
          <w:sdtPr>
            <w:alias w:val="4 p."/>
            <w:tag w:val="part_e6a430d3b4ce4831be55556583b35406"/>
            <w:lock w:val="sdtLocked"/>
            <w:richText/>
          </w:sdtPr>
          <w:sdtContent>
            <w:p>
              <w:pPr>
                <w:spacing w:line="360" w:lineRule="auto"/>
                <w:ind w:firstLine="720"/>
                <w:jc w:val="both"/>
                <w:rPr>
                  <w:color w:val="000000"/>
                  <w:szCs w:val="24"/>
                  <w:lang w:eastAsia="lt-LT"/>
                </w:rPr>
              </w:pPr>
              <w:sdt>
                <w:sdtPr>
                  <w:alias w:val="Numeris"/>
                  <w:tag w:val="nr_e6a430d3b4ce4831be55556583b35406"/>
                  <w:lock w:val="sdtLocked"/>
                  <w:richText/>
                </w:sdtPr>
                <w:sdtContent>
                  <w:r>
                    <w:t>4</w:t>
                  </w:r>
                </w:sdtContent>
              </w:sdt>
              <w:r>
                <w:t xml:space="preserve">. </w:t>
              </w:r>
              <w:r>
                <w:rPr>
                  <w:color w:val="000000"/>
                  <w:szCs w:val="24"/>
                  <w:lang w:eastAsia="lt-LT"/>
                </w:rPr>
                <w:t xml:space="preserve">Stebėtojus gali siūlyti: </w:t>
              </w:r>
            </w:p>
            <w:sdt>
              <w:sdtPr>
                <w:alias w:val="4.1 pp."/>
                <w:tag w:val="part_9998a1bdc853485a95ed66f46f80ce47"/>
                <w:lock w:val="sdtLocked"/>
                <w:richText/>
              </w:sdtPr>
              <w:sdtContent>
                <w:p>
                  <w:pPr>
                    <w:spacing w:line="360" w:lineRule="auto"/>
                    <w:ind w:firstLine="720"/>
                    <w:jc w:val="both"/>
                    <w:rPr>
                      <w:color w:val="000000"/>
                      <w:szCs w:val="24"/>
                      <w:lang w:eastAsia="lt-LT"/>
                    </w:rPr>
                  </w:pPr>
                  <w:sdt>
                    <w:sdtPr>
                      <w:alias w:val="Numeris"/>
                      <w:tag w:val="nr_9998a1bdc853485a95ed66f46f80ce47"/>
                      <w:lock w:val="sdtLocked"/>
                      <w:richText/>
                    </w:sdtPr>
                    <w:sdtContent>
                      <w:r>
                        <w:rPr>
                          <w:color w:val="000000"/>
                          <w:szCs w:val="24"/>
                          <w:lang w:eastAsia="lt-LT"/>
                        </w:rPr>
                        <w:t>4.1</w:t>
                      </w:r>
                    </w:sdtContent>
                  </w:sdt>
                  <w:r>
                    <w:rPr>
                      <w:color w:val="000000"/>
                      <w:szCs w:val="24"/>
                      <w:lang w:eastAsia="lt-LT"/>
                    </w:rPr>
                    <w:t>. politinės organizacijos ir išsikėlę kandidatai;</w:t>
                  </w:r>
                </w:p>
              </w:sdtContent>
            </w:sdt>
            <w:sdt>
              <w:sdtPr>
                <w:alias w:val="4.2 pp."/>
                <w:tag w:val="part_27b0951c8c4c484d80d9166e94102e8f"/>
                <w:lock w:val="sdtLocked"/>
                <w:richText/>
              </w:sdtPr>
              <w:sdtContent>
                <w:p>
                  <w:pPr>
                    <w:spacing w:line="360" w:lineRule="auto"/>
                    <w:ind w:firstLine="720"/>
                    <w:jc w:val="both"/>
                    <w:rPr>
                      <w:color w:val="000000"/>
                      <w:szCs w:val="24"/>
                      <w:lang w:eastAsia="lt-LT"/>
                    </w:rPr>
                  </w:pPr>
                  <w:sdt>
                    <w:sdtPr>
                      <w:alias w:val="Numeris"/>
                      <w:tag w:val="nr_27b0951c8c4c484d80d9166e94102e8f"/>
                      <w:lock w:val="sdtLocked"/>
                      <w:richText/>
                    </w:sdtPr>
                    <w:sdtContent>
                      <w:r>
                        <w:rPr>
                          <w:color w:val="000000"/>
                          <w:szCs w:val="24"/>
                          <w:lang w:eastAsia="lt-LT"/>
                        </w:rPr>
                        <w:t>4.2</w:t>
                      </w:r>
                    </w:sdtContent>
                  </w:sdt>
                  <w:r>
                    <w:rPr>
                      <w:color w:val="000000"/>
                      <w:szCs w:val="24"/>
                      <w:lang w:eastAsia="lt-LT"/>
                    </w:rPr>
                    <w:t>. Lietuvos Respublikoje registruotos nevyriausybinės organizacijos, kurių veikla yra susijusi su rinkimais ar žmogaus teisių apsauga;</w:t>
                  </w:r>
                </w:p>
              </w:sdtContent>
            </w:sdt>
            <w:sdt>
              <w:sdtPr>
                <w:alias w:val="4.3 pp."/>
                <w:tag w:val="part_6d508b8eb8cb4b65b4112cd051e9de8b"/>
                <w:lock w:val="sdtLocked"/>
                <w:richText/>
              </w:sdtPr>
              <w:sdtContent>
                <w:p>
                  <w:pPr>
                    <w:spacing w:line="360" w:lineRule="auto"/>
                    <w:ind w:firstLine="720"/>
                    <w:jc w:val="both"/>
                    <w:rPr>
                      <w:color w:val="000000"/>
                      <w:szCs w:val="24"/>
                      <w:lang w:eastAsia="lt-LT"/>
                    </w:rPr>
                  </w:pPr>
                  <w:sdt>
                    <w:sdtPr>
                      <w:alias w:val="Numeris"/>
                      <w:tag w:val="nr_6d508b8eb8cb4b65b4112cd051e9de8b"/>
                      <w:lock w:val="sdtLocked"/>
                      <w:richText/>
                    </w:sdtPr>
                    <w:sdtContent>
                      <w:r>
                        <w:rPr>
                          <w:color w:val="000000"/>
                          <w:szCs w:val="24"/>
                          <w:lang w:eastAsia="lt-LT"/>
                        </w:rPr>
                        <w:t>4.3</w:t>
                      </w:r>
                    </w:sdtContent>
                  </w:sdt>
                  <w:r>
                    <w:rPr>
                      <w:color w:val="000000"/>
                      <w:szCs w:val="24"/>
                      <w:lang w:eastAsia="lt-LT"/>
                    </w:rPr>
                    <w:t>. tarptautinės organizacijos, kurių veikla yra susijusi su rinkimais ar žmogaus teisių apsauga;</w:t>
                  </w:r>
                </w:p>
              </w:sdtContent>
            </w:sdt>
            <w:sdt>
              <w:sdtPr>
                <w:alias w:val="4.4 pp."/>
                <w:tag w:val="part_1925a0b886ac40fe988b23473c8f5225"/>
                <w:lock w:val="sdtLocked"/>
                <w:richText/>
              </w:sdtPr>
              <w:sdtContent>
                <w:p>
                  <w:pPr>
                    <w:spacing w:line="360" w:lineRule="auto"/>
                    <w:ind w:firstLine="720"/>
                    <w:jc w:val="both"/>
                    <w:rPr>
                      <w:color w:val="000000"/>
                      <w:szCs w:val="24"/>
                      <w:lang w:eastAsia="lt-LT"/>
                    </w:rPr>
                  </w:pPr>
                  <w:sdt>
                    <w:sdtPr>
                      <w:alias w:val="Numeris"/>
                      <w:tag w:val="nr_1925a0b886ac40fe988b23473c8f5225"/>
                      <w:lock w:val="sdtLocked"/>
                      <w:richText/>
                    </w:sdtPr>
                    <w:sdtContent>
                      <w:r>
                        <w:rPr>
                          <w:color w:val="000000"/>
                          <w:szCs w:val="24"/>
                          <w:lang w:eastAsia="lt-LT"/>
                        </w:rPr>
                        <w:t>4.4</w:t>
                      </w:r>
                    </w:sdtContent>
                  </w:sdt>
                  <w:r>
                    <w:rPr>
                      <w:color w:val="000000"/>
                      <w:szCs w:val="24"/>
                      <w:lang w:eastAsia="lt-LT"/>
                    </w:rPr>
                    <w:t>. užsienio valstybėms atstovaujantys asmenys;</w:t>
                  </w:r>
                </w:p>
              </w:sdtContent>
            </w:sdt>
            <w:sdt>
              <w:sdtPr>
                <w:alias w:val="4.5 pp."/>
                <w:tag w:val="part_5bc58572056642f89abdf0967fd5f131"/>
                <w:lock w:val="sdtLocked"/>
                <w:richText/>
              </w:sdtPr>
              <w:sdtContent>
                <w:p>
                  <w:pPr>
                    <w:spacing w:line="360" w:lineRule="auto"/>
                    <w:ind w:firstLine="720"/>
                    <w:jc w:val="both"/>
                    <w:rPr>
                      <w:color w:val="000000"/>
                      <w:szCs w:val="24"/>
                      <w:lang w:eastAsia="lt-LT"/>
                    </w:rPr>
                  </w:pPr>
                  <w:sdt>
                    <w:sdtPr>
                      <w:alias w:val="Numeris"/>
                      <w:tag w:val="nr_5bc58572056642f89abdf0967fd5f131"/>
                      <w:lock w:val="sdtLocked"/>
                      <w:richText/>
                    </w:sdtPr>
                    <w:sdtContent>
                      <w:r>
                        <w:rPr>
                          <w:color w:val="000000"/>
                          <w:szCs w:val="24"/>
                          <w:lang w:eastAsia="lt-LT"/>
                        </w:rPr>
                        <w:t>4.5</w:t>
                      </w:r>
                    </w:sdtContent>
                  </w:sdt>
                  <w:r>
                    <w:rPr>
                      <w:color w:val="000000"/>
                      <w:szCs w:val="24"/>
                      <w:lang w:eastAsia="lt-LT"/>
                    </w:rPr>
                    <w:t>. Vyriausioji rinkimų komisija pagal pateiktus prašymus.</w:t>
                  </w:r>
                </w:p>
              </w:sdtContent>
            </w:sdt>
          </w:sdtContent>
        </w:sdt>
        <w:sdt>
          <w:sdtPr>
            <w:alias w:val="5 p."/>
            <w:tag w:val="part_3161be9b3d5846978fcb8d927a9020f4"/>
            <w:lock w:val="sdtLocked"/>
            <w:richText/>
          </w:sdtPr>
          <w:sdtContent>
            <w:p>
              <w:pPr>
                <w:spacing w:line="360" w:lineRule="auto"/>
                <w:ind w:firstLine="720"/>
                <w:jc w:val="both"/>
              </w:pPr>
              <w:sdt>
                <w:sdtPr>
                  <w:alias w:val="Numeris"/>
                  <w:tag w:val="nr_3161be9b3d5846978fcb8d927a9020f4"/>
                  <w:lock w:val="sdtLocked"/>
                  <w:richText/>
                </w:sdtPr>
                <w:sdtContent>
                  <w:r>
                    <w:t>5</w:t>
                  </w:r>
                </w:sdtContent>
              </w:sdt>
              <w:r>
                <w:t xml:space="preserve">. </w:t>
              </w:r>
              <w:r>
                <w:rPr>
                  <w:color w:val="000000"/>
                  <w:szCs w:val="24"/>
                </w:rPr>
                <w:t>Politinės organizacijos ir išsikėlę kandidatai, nevyriausybinės organizacijos turi teisę siūlyti registruoti stebėtojais ne daugiau kaip po 2 stebėtojus kiekvienoje rinkimų (referendumo) apylinkėje.</w:t>
              </w:r>
              <w:r>
                <w:t xml:space="preserve"> </w:t>
              </w:r>
            </w:p>
          </w:sdtContent>
        </w:sdt>
        <w:sdt>
          <w:sdtPr>
            <w:alias w:val="6 p."/>
            <w:tag w:val="part_0ec4ad5ed06647b3ad7020147708b876"/>
            <w:lock w:val="sdtLocked"/>
            <w:richText/>
          </w:sdtPr>
          <w:sdtContent>
            <w:p>
              <w:pPr>
                <w:spacing w:line="360" w:lineRule="auto"/>
                <w:ind w:firstLine="720"/>
                <w:jc w:val="both"/>
              </w:pPr>
              <w:sdt>
                <w:sdtPr>
                  <w:alias w:val="Numeris"/>
                  <w:tag w:val="nr_0ec4ad5ed06647b3ad7020147708b876"/>
                  <w:lock w:val="sdtLocked"/>
                  <w:richText/>
                </w:sdtPr>
                <w:sdtContent>
                  <w:r>
                    <w:t>6</w:t>
                  </w:r>
                </w:sdtContent>
              </w:sdt>
              <w:r>
                <w:t>. Stebėtojo pažymėjimą išduoda:</w:t>
              </w:r>
            </w:p>
            <w:sdt>
              <w:sdtPr>
                <w:alias w:val="6.1 pp."/>
                <w:tag w:val="part_1c7bfcbe8230404eaa4eb444b30fdea3"/>
                <w:lock w:val="sdtLocked"/>
                <w:richText/>
              </w:sdtPr>
              <w:sdtContent>
                <w:p>
                  <w:pPr>
                    <w:spacing w:line="360" w:lineRule="auto"/>
                    <w:ind w:firstLine="720"/>
                    <w:jc w:val="both"/>
                    <w:rPr>
                      <w:color w:val="000000"/>
                      <w:szCs w:val="24"/>
                    </w:rPr>
                  </w:pPr>
                  <w:sdt>
                    <w:sdtPr>
                      <w:alias w:val="Numeris"/>
                      <w:tag w:val="nr_1c7bfcbe8230404eaa4eb444b30fdea3"/>
                      <w:lock w:val="sdtLocked"/>
                      <w:richText/>
                    </w:sdtPr>
                    <w:sdtContent>
                      <w:r>
                        <w:t>6.1</w:t>
                      </w:r>
                    </w:sdtContent>
                  </w:sdt>
                  <w:r>
                    <w:t>. Vyriausioji rinkimų komisija –</w:t>
                  </w:r>
                  <w:r>
                    <w:rPr>
                      <w:szCs w:val="24"/>
                    </w:rPr>
                    <w:t xml:space="preserve"> </w:t>
                  </w:r>
                  <w:r>
                    <w:rPr>
                      <w:color w:val="000000"/>
                      <w:szCs w:val="24"/>
                    </w:rPr>
                    <w:t>stebėti rinkimus, referendumą visoje Lietuvos Respublikos teritorijoje, Lietuvos Respublikos diplomatinėse atstovybėse ir konsulinėse įstaigose, papildomose balsavimo vietose užsienyje prie Lietuvos Respublikos diplomatinės atstovybės ar konsulinės įstaigos, rinkimų apygardose, savivaldybėse, specialiuose balsavimo punktuose, rinkimų (referendumo) apylinkėse;</w:t>
                  </w:r>
                </w:p>
              </w:sdtContent>
            </w:sdt>
            <w:sdt>
              <w:sdtPr>
                <w:alias w:val="6.2 pp."/>
                <w:tag w:val="part_bce81633baa24dc0b0fcb0d0720c3eb2"/>
                <w:lock w:val="sdtLocked"/>
                <w:richText/>
              </w:sdtPr>
              <w:sdtContent>
                <w:p>
                  <w:pPr>
                    <w:spacing w:line="360" w:lineRule="auto"/>
                    <w:ind w:firstLine="720"/>
                    <w:jc w:val="both"/>
                    <w:rPr>
                      <w:color w:val="000000"/>
                      <w:sz w:val="20"/>
                    </w:rPr>
                  </w:pPr>
                  <w:sdt>
                    <w:sdtPr>
                      <w:alias w:val="Numeris"/>
                      <w:tag w:val="nr_bce81633baa24dc0b0fcb0d0720c3eb2"/>
                      <w:lock w:val="sdtLocked"/>
                      <w:richText/>
                    </w:sdtPr>
                    <w:sdtContent>
                      <w:r>
                        <w:t>6.2</w:t>
                      </w:r>
                    </w:sdtContent>
                  </w:sdt>
                  <w:r>
                    <w:t>. savivaldybės (</w:t>
                  </w:r>
                  <w:r>
                    <w:rPr>
                      <w:szCs w:val="24"/>
                    </w:rPr>
                    <w:t xml:space="preserve">apygardos) rinkimų (referendumo) komisija – </w:t>
                  </w:r>
                  <w:r>
                    <w:rPr>
                      <w:color w:val="000000"/>
                      <w:szCs w:val="24"/>
                    </w:rPr>
                    <w:t>stebėti rinkimus (referendumą) visoje savivaldybės (apygardos) teritorijoje arba tos savivaldybės (apygardos) konkrečiose rinkimų (referendumo) apylinkėse.</w:t>
                  </w:r>
                  <w:r>
                    <w:rPr>
                      <w:color w:val="000000"/>
                      <w:sz w:val="20"/>
                    </w:rPr>
                    <w:t xml:space="preserve"> </w:t>
                  </w:r>
                </w:p>
              </w:sdtContent>
            </w:sdt>
          </w:sdtContent>
        </w:sdt>
        <w:sdt>
          <w:sdtPr>
            <w:alias w:val="7 p."/>
            <w:tag w:val="part_101d2ac46f654ad586b077e6c00ed703"/>
            <w:lock w:val="sdtLocked"/>
            <w:richText/>
          </w:sdtPr>
          <w:sdtContent>
            <w:p>
              <w:pPr>
                <w:spacing w:line="360" w:lineRule="auto"/>
                <w:ind w:firstLine="720"/>
                <w:jc w:val="both"/>
              </w:pPr>
              <w:sdt>
                <w:sdtPr>
                  <w:alias w:val="Numeris"/>
                  <w:tag w:val="nr_101d2ac46f654ad586b077e6c00ed703"/>
                  <w:lock w:val="sdtLocked"/>
                  <w:richText/>
                </w:sdtPr>
                <w:sdtContent>
                  <w:r>
                    <w:rPr>
                      <w:szCs w:val="24"/>
                    </w:rPr>
                    <w:t>7</w:t>
                  </w:r>
                </w:sdtContent>
              </w:sdt>
              <w:r>
                <w:rPr>
                  <w:szCs w:val="24"/>
                </w:rPr>
                <w:t xml:space="preserve">. </w:t>
              </w:r>
              <w:r>
                <w:rPr>
                  <w:color w:val="000000"/>
                  <w:szCs w:val="24"/>
                </w:rPr>
                <w:t xml:space="preserve">Prašymai dėl stebėtojų registravimo turi būti pateikti ne vėliau kaip iki paskutinio pirmadienio iki rinkimų dienos, išskyrus atvejus, kai yra būtinybė pakeisti asmenį, negalintį būti stebėtoju dėl objektyvių priežasčių. Prašyme </w:t>
              </w:r>
              <w:r>
                <w:rPr>
                  <w:szCs w:val="24"/>
                </w:rPr>
                <w:t xml:space="preserve">turi būti nurodyta: asmens vardas, pavardė, asmens kodas, savivaldybės (apygardos) pavadinimas, rinkimų (referendumo) apylinkės (apylinkių) pavadinimas (pavadinimai). </w:t>
              </w:r>
            </w:p>
          </w:sdtContent>
        </w:sdt>
        <w:sdt>
          <w:sdtPr>
            <w:alias w:val="8 p."/>
            <w:tag w:val="part_fc287a71a35f46a9989a4316cb178908"/>
            <w:lock w:val="sdtLocked"/>
            <w:richText/>
          </w:sdtPr>
          <w:sdtContent>
            <w:p>
              <w:pPr>
                <w:spacing w:line="360" w:lineRule="auto"/>
                <w:ind w:firstLine="720"/>
                <w:jc w:val="both"/>
                <w:rPr>
                  <w:szCs w:val="24"/>
                </w:rPr>
              </w:pPr>
              <w:sdt>
                <w:sdtPr>
                  <w:alias w:val="Numeris"/>
                  <w:tag w:val="nr_fc287a71a35f46a9989a4316cb178908"/>
                  <w:lock w:val="sdtLocked"/>
                  <w:richText/>
                </w:sdtPr>
                <w:sdtContent>
                  <w:r>
                    <w:rPr>
                      <w:szCs w:val="24"/>
                    </w:rPr>
                    <w:t>8</w:t>
                  </w:r>
                </w:sdtContent>
              </w:sdt>
              <w:r>
                <w:rPr>
                  <w:szCs w:val="24"/>
                </w:rPr>
                <w:t>. Politinių organizacijų ir išsikėlusių kandidatų prašymai registruoti stebėtojus pateikiami elektroniniu būdu Vyriausiosios rinkimų komisijos portale „Rinkėjo puslapis“ adresu www.rinkejopuslapis.lt. Prašymų registruoti stebėtojus pateikimas baigiamas, kai dokumentus elektroniniu būdu pateikę asmenys gauna patvirtinimą apie elektroninių dokumentų priėmimą. Kitų subjektų, išvardytų Aprašo 4.2–4.5 punktuose, prašymai pateikiami Vyriausiajai rinkimų komisijai (priedas). Užsienio valstybių piliečiai, norintys būti stebėtojais, turi Vyriausiajai rinkimų komisijai pateikti asmens tapatybę patvirtinančius dokumentus.</w:t>
              </w:r>
            </w:p>
          </w:sdtContent>
        </w:sdt>
        <w:sdt>
          <w:sdtPr>
            <w:alias w:val="9 p."/>
            <w:tag w:val="part_01c3df13bf7a4d69aac565c7d525f05e"/>
            <w:lock w:val="sdtLocked"/>
            <w:richText/>
          </w:sdtPr>
          <w:sdtContent>
            <w:p>
              <w:pPr>
                <w:spacing w:line="360" w:lineRule="auto"/>
                <w:ind w:firstLine="720"/>
                <w:jc w:val="both"/>
                <w:rPr>
                  <w:szCs w:val="24"/>
                </w:rPr>
              </w:pPr>
              <w:sdt>
                <w:sdtPr>
                  <w:alias w:val="Numeris"/>
                  <w:tag w:val="nr_01c3df13bf7a4d69aac565c7d525f05e"/>
                  <w:lock w:val="sdtLocked"/>
                  <w:richText/>
                </w:sdtPr>
                <w:sdtContent>
                  <w:r>
                    <w:t>9</w:t>
                  </w:r>
                </w:sdtContent>
              </w:sdt>
              <w:r>
                <w:t xml:space="preserve">. </w:t>
              </w:r>
              <w:r>
                <w:rPr>
                  <w:color w:val="000000"/>
                  <w:szCs w:val="24"/>
                </w:rPr>
                <w:t>Stebėtojai registruojami užtikrinant lygiateisiškumo tarp politinių organizacijų, kandidatų ir nevyriausybinių organizacijų siūlomų stebėtojų principo laikymąsi.</w:t>
              </w:r>
            </w:p>
          </w:sdtContent>
        </w:sdt>
        <w:sdt>
          <w:sdtPr>
            <w:alias w:val="10 p."/>
            <w:tag w:val="part_dbfeec083c814cc79b31bb2d0427989d"/>
            <w:lock w:val="sdtLocked"/>
            <w:richText/>
          </w:sdtPr>
          <w:sdtContent>
            <w:p>
              <w:pPr>
                <w:spacing w:line="360" w:lineRule="auto"/>
                <w:ind w:firstLine="720"/>
                <w:jc w:val="both"/>
                <w:rPr>
                  <w:color w:val="000000"/>
                  <w:szCs w:val="24"/>
                </w:rPr>
              </w:pPr>
              <w:sdt>
                <w:sdtPr>
                  <w:alias w:val="Numeris"/>
                  <w:tag w:val="nr_dbfeec083c814cc79b31bb2d0427989d"/>
                  <w:lock w:val="sdtLocked"/>
                  <w:richText/>
                </w:sdtPr>
                <w:sdtContent>
                  <w:r>
                    <w:t>10</w:t>
                  </w:r>
                </w:sdtContent>
              </w:sdt>
              <w:r>
                <w:t xml:space="preserve">. Stebėtojo pažymėjimus rinkimų (referendumo) komisijos vardu išduoda jos pirmininkas arba kitas komisijos narys komisijos pirmininko pavedimu. </w:t>
              </w:r>
              <w:r>
                <w:rPr>
                  <w:color w:val="000000"/>
                  <w:szCs w:val="24"/>
                </w:rPr>
                <w:t>Rinkimų (referendumo) komisijos gali atsisakyti registruoti stebėtoją, jeigu jis neatitinka teisės aktų reikalavimų ar jo veikla neatitinka Lietuvos Respublikos Konstitucijos ar teisės aktų, arba bet kuriuo metu panaikinti stebėtojo registravimą, jeigu jis pažeidžia Konstituciją, Vyriausiosios rinkimų komisijos sprendimus ir kitus teisės aktus, nesilaiko nustatytos rinkimų (referendumų) rengimo tvarkos, pažeidžia viešąją tvarką balsavimo patalpose. Stebėtojo registravimas gali būti panaikintas jį įregistravusios rinkimų (referendumo) komisijos arba aukštesnės rinkimų (referendumo) komisijos pirmininko sprendimu. Apie atsisakymą išduoti stebėtojo pažymėjimą pranešama stebėtoją pasiūliusiam subjektui, apie stebėtojo registravimo panaikinimą – pačiam stebėtojui ir stebėtoją pasiūliusiam subjektui.</w:t>
              </w:r>
            </w:p>
          </w:sdtContent>
        </w:sdt>
        <w:sdt>
          <w:sdtPr>
            <w:alias w:val="11 p."/>
            <w:tag w:val="part_73f41d4eae954719a4ab69c7a5b21be0"/>
            <w:lock w:val="sdtLocked"/>
            <w:richText/>
          </w:sdtPr>
          <w:sdtContent>
            <w:p>
              <w:pPr>
                <w:spacing w:line="360" w:lineRule="auto"/>
                <w:ind w:firstLine="720"/>
                <w:jc w:val="both"/>
              </w:pPr>
              <w:sdt>
                <w:sdtPr>
                  <w:alias w:val="Numeris"/>
                  <w:tag w:val="nr_73f41d4eae954719a4ab69c7a5b21be0"/>
                  <w:lock w:val="sdtLocked"/>
                  <w:richText/>
                </w:sdtPr>
                <w:sdtContent>
                  <w:r>
                    <w:t>11</w:t>
                  </w:r>
                </w:sdtContent>
              </w:sdt>
              <w:r>
                <w:t>. Stebėtojo pažymėjime įrašoma: stebėtojo vardas ir pavardė, kas pasiūlė į stebėtojus (politinės organizacijos, nevyriausybinės organizacijos pavadinimas ar kandidato vardas, pavardė), stebėjimo teritorija (savivaldybės (apygardos) / apylinkės pavadinimas ir numeris), rinkimų (referendumo) komisijos pirmininko, pasirašiusio pažymėjimą, vardas ir pavardė, parašas ir išdavimo data.</w:t>
              </w:r>
            </w:p>
          </w:sdtContent>
        </w:sdt>
        <w:sdt>
          <w:sdtPr>
            <w:alias w:val="12 p."/>
            <w:tag w:val="part_77afbc439b8643048dcac21506ccc75e"/>
            <w:lock w:val="sdtLocked"/>
            <w:richText/>
          </w:sdtPr>
          <w:sdtContent>
            <w:p>
              <w:pPr>
                <w:spacing w:line="360" w:lineRule="auto"/>
                <w:ind w:firstLine="720"/>
                <w:jc w:val="both"/>
              </w:pPr>
              <w:sdt>
                <w:sdtPr>
                  <w:alias w:val="Numeris"/>
                  <w:tag w:val="nr_77afbc439b8643048dcac21506ccc75e"/>
                  <w:lock w:val="sdtLocked"/>
                  <w:richText/>
                </w:sdtPr>
                <w:sdtContent>
                  <w:r>
                    <w:t>12</w:t>
                  </w:r>
                </w:sdtContent>
              </w:sdt>
              <w:r>
                <w:t>. Stebėtojas turi teisę:</w:t>
              </w:r>
            </w:p>
            <w:sdt>
              <w:sdtPr>
                <w:alias w:val="12.1 pp."/>
                <w:tag w:val="part_bd5c6c6fdb5943fdb102c836c92a4964"/>
                <w:lock w:val="sdtLocked"/>
                <w:richText/>
              </w:sdtPr>
              <w:sdtContent>
                <w:p>
                  <w:pPr>
                    <w:spacing w:line="360" w:lineRule="auto"/>
                    <w:ind w:firstLine="720"/>
                    <w:jc w:val="both"/>
                    <w:rPr>
                      <w:szCs w:val="24"/>
                    </w:rPr>
                  </w:pPr>
                  <w:sdt>
                    <w:sdtPr>
                      <w:alias w:val="Numeris"/>
                      <w:tag w:val="nr_bd5c6c6fdb5943fdb102c836c92a4964"/>
                      <w:lock w:val="sdtLocked"/>
                      <w:richText/>
                    </w:sdtPr>
                    <w:sdtContent>
                      <w:r>
                        <w:rPr>
                          <w:szCs w:val="24"/>
                        </w:rPr>
                        <w:t>12.1</w:t>
                      </w:r>
                    </w:sdtContent>
                  </w:sdt>
                  <w:r>
                    <w:rPr>
                      <w:szCs w:val="24"/>
                    </w:rPr>
                    <w:t>. stebėti atitinkamos rinkimų komisijos veiklą, įskaitant rinkėjų ir kandidatų registravimą;</w:t>
                  </w:r>
                </w:p>
              </w:sdtContent>
            </w:sdt>
            <w:sdt>
              <w:sdtPr>
                <w:alias w:val="12.2 pp."/>
                <w:tag w:val="part_26e476e036ff4d1797972416444061bc"/>
                <w:lock w:val="sdtLocked"/>
                <w:richText/>
              </w:sdtPr>
              <w:sdtContent>
                <w:p>
                  <w:pPr>
                    <w:spacing w:line="360" w:lineRule="auto"/>
                    <w:ind w:firstLine="720"/>
                    <w:jc w:val="both"/>
                    <w:rPr>
                      <w:szCs w:val="24"/>
                    </w:rPr>
                  </w:pPr>
                  <w:sdt>
                    <w:sdtPr>
                      <w:alias w:val="Numeris"/>
                      <w:tag w:val="nr_26e476e036ff4d1797972416444061bc"/>
                      <w:lock w:val="sdtLocked"/>
                      <w:richText/>
                    </w:sdtPr>
                    <w:sdtContent>
                      <w:r>
                        <w:rPr>
                          <w:szCs w:val="24"/>
                        </w:rPr>
                        <w:t>12.2</w:t>
                      </w:r>
                    </w:sdtContent>
                  </w:sdt>
                  <w:r>
                    <w:rPr>
                      <w:szCs w:val="24"/>
                    </w:rPr>
                    <w:t>. stebėti pasirengimą rinkimams ir dalyvauti vykstant balsavimui;</w:t>
                  </w:r>
                </w:p>
              </w:sdtContent>
            </w:sdt>
            <w:sdt>
              <w:sdtPr>
                <w:alias w:val="12.3 pp."/>
                <w:tag w:val="part_dc135a00a3f4449c999cf7d9276c4bb0"/>
                <w:lock w:val="sdtLocked"/>
                <w:richText/>
              </w:sdtPr>
              <w:sdtContent>
                <w:p>
                  <w:pPr>
                    <w:spacing w:line="360" w:lineRule="auto"/>
                    <w:ind w:firstLine="720"/>
                    <w:jc w:val="both"/>
                    <w:rPr>
                      <w:szCs w:val="24"/>
                    </w:rPr>
                  </w:pPr>
                  <w:sdt>
                    <w:sdtPr>
                      <w:alias w:val="Numeris"/>
                      <w:tag w:val="nr_dc135a00a3f4449c999cf7d9276c4bb0"/>
                      <w:lock w:val="sdtLocked"/>
                      <w:richText/>
                    </w:sdtPr>
                    <w:sdtContent>
                      <w:r>
                        <w:rPr>
                          <w:szCs w:val="24"/>
                        </w:rPr>
                        <w:t>12.3</w:t>
                      </w:r>
                    </w:sdtContent>
                  </w:sdt>
                  <w:r>
                    <w:rPr>
                      <w:szCs w:val="24"/>
                    </w:rPr>
                    <w:t>. stebėti balsavimo procesą, įskaitant biuletenių išdavimą, patį balsavimą, rinkėjų balsų skaičiavimą ir rezultatų nustatymą;</w:t>
                  </w:r>
                </w:p>
              </w:sdtContent>
            </w:sdt>
            <w:sdt>
              <w:sdtPr>
                <w:alias w:val="12.4 pp."/>
                <w:tag w:val="part_29d2cc15226d46c3a0fb546f1de4ed30"/>
                <w:lock w:val="sdtLocked"/>
                <w:richText/>
              </w:sdtPr>
              <w:sdtContent>
                <w:p>
                  <w:pPr>
                    <w:spacing w:line="360" w:lineRule="auto"/>
                    <w:ind w:firstLine="720"/>
                    <w:jc w:val="both"/>
                    <w:rPr>
                      <w:szCs w:val="24"/>
                    </w:rPr>
                  </w:pPr>
                  <w:sdt>
                    <w:sdtPr>
                      <w:alias w:val="Numeris"/>
                      <w:tag w:val="nr_29d2cc15226d46c3a0fb546f1de4ed30"/>
                      <w:lock w:val="sdtLocked"/>
                      <w:richText/>
                    </w:sdtPr>
                    <w:sdtContent>
                      <w:r>
                        <w:rPr>
                          <w:szCs w:val="24"/>
                        </w:rPr>
                        <w:t>12.4</w:t>
                      </w:r>
                    </w:sdtContent>
                  </w:sdt>
                  <w:r>
                    <w:rPr>
                      <w:szCs w:val="24"/>
                    </w:rPr>
                    <w:t>. susipažinti su rinkimų komisijos veiklos dokumentais, užtikrindamas asmens duomenų apsaugą;</w:t>
                  </w:r>
                </w:p>
              </w:sdtContent>
            </w:sdt>
            <w:sdt>
              <w:sdtPr>
                <w:alias w:val="12.5 pp."/>
                <w:tag w:val="part_18615f179aa541c2a1f29e41df211d2e"/>
                <w:lock w:val="sdtLocked"/>
                <w:richText/>
              </w:sdtPr>
              <w:sdtContent>
                <w:p>
                  <w:pPr>
                    <w:spacing w:line="360" w:lineRule="auto"/>
                    <w:ind w:firstLine="720"/>
                    <w:jc w:val="both"/>
                    <w:rPr>
                      <w:szCs w:val="24"/>
                    </w:rPr>
                  </w:pPr>
                  <w:sdt>
                    <w:sdtPr>
                      <w:alias w:val="Numeris"/>
                      <w:tag w:val="nr_18615f179aa541c2a1f29e41df211d2e"/>
                      <w:lock w:val="sdtLocked"/>
                      <w:richText/>
                    </w:sdtPr>
                    <w:sdtContent>
                      <w:r>
                        <w:rPr>
                          <w:szCs w:val="24"/>
                        </w:rPr>
                        <w:t>12.5</w:t>
                      </w:r>
                    </w:sdtContent>
                  </w:sdt>
                  <w:r>
                    <w:rPr>
                      <w:szCs w:val="24"/>
                    </w:rPr>
                    <w:t>. fotografuoti, daryti vaizdo ir garso įrašus, užtikrindamas asmens duomenų apsaugą ir gavęs asmenų sutikimą bei nepažeisdamas teisės į slaptą balsavimą;</w:t>
                  </w:r>
                </w:p>
              </w:sdtContent>
            </w:sdt>
            <w:sdt>
              <w:sdtPr>
                <w:alias w:val="12.6 pp."/>
                <w:tag w:val="part_993a334e2448494587c64a054f482d58"/>
                <w:lock w:val="sdtLocked"/>
                <w:richText/>
              </w:sdtPr>
              <w:sdtContent>
                <w:p>
                  <w:pPr>
                    <w:spacing w:line="360" w:lineRule="auto"/>
                    <w:ind w:firstLine="720"/>
                    <w:jc w:val="both"/>
                    <w:rPr>
                      <w:szCs w:val="24"/>
                    </w:rPr>
                  </w:pPr>
                  <w:sdt>
                    <w:sdtPr>
                      <w:alias w:val="Numeris"/>
                      <w:tag w:val="nr_993a334e2448494587c64a054f482d58"/>
                      <w:lock w:val="sdtLocked"/>
                      <w:richText/>
                    </w:sdtPr>
                    <w:sdtContent>
                      <w:r>
                        <w:rPr>
                          <w:szCs w:val="24"/>
                        </w:rPr>
                        <w:t>12.6</w:t>
                      </w:r>
                    </w:sdtContent>
                  </w:sdt>
                  <w:r>
                    <w:rPr>
                      <w:szCs w:val="24"/>
                    </w:rPr>
                    <w:t>. kreiptis į atitinkamą rinkimų komisiją, jos pirmininką, narius, darbuotojus dėl galimų Lietuvos Respublikos rinkimų kodekso pažeidimų su prašymu juos pašalinti, pateikti pastabas rinkėjų balsų skaičiavimo protokole ir gauti tokio protokolo kopiją.</w:t>
                  </w:r>
                </w:p>
              </w:sdtContent>
            </w:sdt>
          </w:sdtContent>
        </w:sdt>
        <w:sdt>
          <w:sdtPr>
            <w:alias w:val="13 p."/>
            <w:tag w:val="part_38c8ec88918540a7b8e48ff485f9709f"/>
            <w:lock w:val="sdtLocked"/>
            <w:richText/>
          </w:sdtPr>
          <w:sdtContent>
            <w:p>
              <w:pPr>
                <w:spacing w:line="360" w:lineRule="auto"/>
                <w:ind w:firstLine="720"/>
                <w:jc w:val="both"/>
                <w:rPr>
                  <w:szCs w:val="24"/>
                </w:rPr>
              </w:pPr>
              <w:sdt>
                <w:sdtPr>
                  <w:alias w:val="Numeris"/>
                  <w:tag w:val="nr_38c8ec88918540a7b8e48ff485f9709f"/>
                  <w:lock w:val="sdtLocked"/>
                  <w:richText/>
                </w:sdtPr>
                <w:sdtContent>
                  <w:r>
                    <w:t>13</w:t>
                  </w:r>
                </w:sdtContent>
              </w:sdt>
              <w:r>
                <w:t xml:space="preserve">. </w:t>
              </w:r>
              <w:r>
                <w:rPr>
                  <w:szCs w:val="24"/>
                </w:rPr>
                <w:t xml:space="preserve">Stebėtojai, stebėdami rinkimus, neturi teisės daryti įtakos rinkimų komisijų ir atskirų komisijos narių darbui ir tuo trikdyti jų veiklą bei rinkimus, vykdyti rinkimų agitaciją. Už rinkimų stebėtojo pasirengimą vykdyti rinkimų stebėtojo veiklą atsako jį pasiūlęs subjektas. </w:t>
              </w:r>
            </w:p>
          </w:sdtContent>
        </w:sdt>
        <w:sdt>
          <w:sdtPr>
            <w:alias w:val="14 p."/>
            <w:tag w:val="part_8b0042096eb347809ec0fcdcc1568614"/>
            <w:lock w:val="sdtLocked"/>
            <w:richText/>
          </w:sdtPr>
          <w:sdtContent>
            <w:p>
              <w:pPr>
                <w:spacing w:line="360" w:lineRule="auto"/>
                <w:ind w:firstLine="720"/>
                <w:jc w:val="both"/>
              </w:pPr>
              <w:sdt>
                <w:sdtPr>
                  <w:alias w:val="Numeris"/>
                  <w:tag w:val="nr_8b0042096eb347809ec0fcdcc1568614"/>
                  <w:lock w:val="sdtLocked"/>
                  <w:richText/>
                </w:sdtPr>
                <w:sdtContent>
                  <w:r>
                    <w:t>14</w:t>
                  </w:r>
                </w:sdtContent>
              </w:sdt>
              <w:r>
                <w:t>. Stebėtojams draudžiama tiek balsavimo iki rinkimų dienos metu, tiek rinkimų dieną už rinkėją atlikti bet kokius veiksmus, susijusius su balsavimu.</w:t>
              </w:r>
            </w:p>
          </w:sdtContent>
        </w:sdt>
        <w:sdt>
          <w:sdtPr>
            <w:alias w:val="15 p."/>
            <w:tag w:val="part_ca164b4dc5fb46d88f053d01d061ce12"/>
            <w:lock w:val="sdtLocked"/>
            <w:richText/>
          </w:sdtPr>
          <w:sdtContent>
            <w:p>
              <w:pPr>
                <w:spacing w:line="360" w:lineRule="auto"/>
                <w:ind w:firstLine="720"/>
                <w:jc w:val="both"/>
              </w:pPr>
              <w:sdt>
                <w:sdtPr>
                  <w:alias w:val="Numeris"/>
                  <w:tag w:val="nr_ca164b4dc5fb46d88f053d01d061ce12"/>
                  <w:lock w:val="sdtLocked"/>
                  <w:richText/>
                </w:sdtPr>
                <w:sdtContent>
                  <w:r>
                    <w:t>15</w:t>
                  </w:r>
                </w:sdtContent>
              </w:sdt>
              <w:r>
                <w:t>. Rinkimų (referendumo) komisijos ir įstaigų, kuriose yra sudaryti specialūs balsavimo punktai, vadovai turi pasirūpinti, kad stebėtojams balsavimo patalpose būtų sudarytos tinkamos sąlygos stebėti:</w:t>
              </w:r>
            </w:p>
            <w:sdt>
              <w:sdtPr>
                <w:alias w:val="15.1 pp."/>
                <w:tag w:val="part_4238a8cb52b0488fb82a85ad7aa1efaf"/>
                <w:lock w:val="sdtLocked"/>
                <w:richText/>
              </w:sdtPr>
              <w:sdtContent>
                <w:p>
                  <w:pPr>
                    <w:spacing w:line="360" w:lineRule="auto"/>
                    <w:ind w:firstLine="720"/>
                    <w:jc w:val="both"/>
                  </w:pPr>
                  <w:sdt>
                    <w:sdtPr>
                      <w:alias w:val="Numeris"/>
                      <w:tag w:val="nr_4238a8cb52b0488fb82a85ad7aa1efaf"/>
                      <w:lock w:val="sdtLocked"/>
                      <w:richText/>
                    </w:sdtPr>
                    <w:sdtContent>
                      <w:r>
                        <w:t>15.1</w:t>
                      </w:r>
                    </w:sdtContent>
                  </w:sdt>
                  <w:r>
                    <w:t>. kaip organizuojamas ir vykdomas balsavimas (balsuojant iki rinkimų dienos, rinkimų dieną);</w:t>
                  </w:r>
                </w:p>
              </w:sdtContent>
            </w:sdt>
            <w:sdt>
              <w:sdtPr>
                <w:alias w:val="15.2 pp."/>
                <w:tag w:val="part_4bc5b4447fd145c088d47afd4effa5e0"/>
                <w:lock w:val="sdtLocked"/>
                <w:richText/>
              </w:sdtPr>
              <w:sdtContent>
                <w:p>
                  <w:pPr>
                    <w:spacing w:line="360" w:lineRule="auto"/>
                    <w:ind w:firstLine="720"/>
                    <w:jc w:val="both"/>
                  </w:pPr>
                  <w:sdt>
                    <w:sdtPr>
                      <w:alias w:val="Numeris"/>
                      <w:tag w:val="nr_4bc5b4447fd145c088d47afd4effa5e0"/>
                      <w:lock w:val="sdtLocked"/>
                      <w:richText/>
                    </w:sdtPr>
                    <w:sdtContent>
                      <w:r>
                        <w:t>15.2</w:t>
                      </w:r>
                    </w:sdtContent>
                  </w:sdt>
                  <w:r>
                    <w:t>. kaip skaičiuojami rinkėjų balsai ir surašomas rinkėjų balsų skaičiavimo protokolas (rinkimų dieną ar perskaičiuojant balsus).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b4da00aaeb11eea5a28c81c82193a8">
                <w:r w:rsidRPr="00532B9F">
                  <w:rPr>
                    <w:rFonts w:ascii="Arial" w:eastAsia="MS Mincho" w:hAnsi="Arial"/>
                    <w:sz w:val="20"/>
                    <w:i/>
                    <w:iCs/>
                    <w:color w:val="0000FF" w:themeColor="hyperlink"/>
                    <w:u w:val="single"/>
                  </w:rPr>
                  <w:t>Sp-312</w:t>
                </w:r>
              </w:fldSimple>
              <w:r>
                <w:rPr>
                  <w:rFonts w:ascii="Arial" w:eastAsia="MS Mincho" w:hAnsi="Arial"/>
                  <w:sz w:val="20"/>
                  <w:i/>
                  <w:iCs/>
                </w:rPr>
                <w:t>,
2023-12-21,
paskelbta TAR 2024-01-04, i. k. 2024-00170            </w:t>
              </w:r>
            </w:p>
            <w:p/>
          </w:sdtContent>
        </w:sdt>
        <w:sdt>
          <w:sdtPr>
            <w:alias w:val="16 p."/>
            <w:tag w:val="part_d6a32a3691974f9892fae5676cff80f4"/>
            <w:lock w:val="sdtLocked"/>
            <w:richText/>
          </w:sdtPr>
          <w:sdtContent>
            <w:p>
              <w:pPr>
                <w:spacing w:line="360" w:lineRule="auto"/>
                <w:ind w:firstLine="720"/>
                <w:jc w:val="both"/>
              </w:pPr>
              <w:sdt>
                <w:sdtPr>
                  <w:alias w:val="Numeris"/>
                  <w:tag w:val="nr_d6a32a3691974f9892fae5676cff80f4"/>
                  <w:lock w:val="sdtLocked"/>
                  <w:richText/>
                </w:sdtPr>
                <w:sdtContent>
                  <w:r>
                    <w:t>16</w:t>
                  </w:r>
                </w:sdtContent>
              </w:sdt>
              <w:r>
                <w:t xml:space="preserve">. Kai į atitinkamą rinkimų (referendumo) apylinkės rinkėjų balsų skaičiavimo protokolą įrašyti visi duomenys ir visi rinkimų (referendumo) biuleteniai sudėti į antspauduotus paketus ir į specialųjį voką (vokus), rinkimų (referendumo) apylinkės balsų skaičiavimo protokolą pasirašo apylinkės rinkimų komisijos pirmininkas ir nariai, po jų – ir stebėtojai, dalyvavę rinkėjų balsų skaičiavime. Stebėtojų pastabos pridedamos prie atitinkamo protokolo ir tampa neatskiriama jo dalimi. </w:t>
              </w:r>
            </w:p>
          </w:sdtContent>
        </w:sdt>
        <w:sdt>
          <w:sdtPr>
            <w:alias w:val="17 p."/>
            <w:tag w:val="part_b813902bbf8a465193f3da7ae2a68c91"/>
            <w:lock w:val="sdtLocked"/>
            <w:richText/>
          </w:sdtPr>
          <w:sdtContent>
            <w:p>
              <w:pPr>
                <w:spacing w:line="360" w:lineRule="auto"/>
                <w:ind w:firstLine="720"/>
                <w:jc w:val="both"/>
              </w:pPr>
              <w:sdt>
                <w:sdtPr>
                  <w:alias w:val="Numeris"/>
                  <w:tag w:val="nr_b813902bbf8a465193f3da7ae2a68c91"/>
                  <w:lock w:val="sdtLocked"/>
                  <w:richText/>
                </w:sdtPr>
                <w:sdtContent>
                  <w:r>
                    <w:t>17</w:t>
                  </w:r>
                </w:sdtContent>
              </w:sdt>
              <w:r>
                <w:t>. Stebėtojas apylinkių rinkimų (referendumo) komisijų sprendimus dėl rinkėjų balsų skaičiavimo protokolų surašymo gali apskųsti savivaldybės (apygardos) rinkimų (referendumo) komisijai ne vėliau kaip per 24 valandas nuo jų surašymo.</w:t>
              </w:r>
            </w:p>
          </w:sdtContent>
        </w:sdt>
        <w:sdt>
          <w:sdtPr>
            <w:alias w:val="pabaiga"/>
            <w:tag w:val="part_a618c7d4ffcc489790cdef83282e07a0"/>
            <w:lock w:val="sdtLocked"/>
            <w:richText/>
          </w:sdtPr>
          <w:sdtContent>
            <w:p>
              <w:pPr>
                <w:spacing w:line="360" w:lineRule="auto"/>
                <w:jc w:val="center"/>
              </w:pPr>
              <w:r>
                <w:t>______________________</w:t>
              </w:r>
            </w:p>
            <w:p>
              <w:pPr>
                <w:tabs>
                  <w:tab w:val="left" w:pos="6096"/>
                </w:tabs>
                <w:jc w:val="both"/>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vyriausioji rinkimų komisija, Sprendimas
                </w:t>
          </w:r>
        </w:p>
        <w:p>
          <w:pPr>
            <w:jc w:val="both"/>
            <w:rPr>
              <w:rFonts w:ascii="Arial" w:hAnsi="Arial"/>
            </w:rPr>
          </w:pPr>
          <w:r>
            <w:rPr>
              <w:rFonts w:ascii="Arial" w:hAnsi="Arial"/>
              <w:sz w:val="20"/>
            </w:rPr>
            <w:t xml:space="preserve">Nr. </w:t>
          </w:r>
          <w:fldSimple w:instr="HYPERLINK https://www.e-tar.lt/portal/legalAct.html?documentId=62b4da00aaeb11eea5a28c81c82193a8">
            <w:r w:rsidRPr="00532B9F">
              <w:rPr>
                <w:rFonts w:ascii="Arial" w:eastAsia="MS Mincho" w:hAnsi="Arial"/>
                <w:sz w:val="20"/>
                <w:iCs/>
                <w:color w:val="0000FF" w:themeColor="hyperlink"/>
                <w:u w:val="single"/>
              </w:rPr>
              <w:t>Sp-312</w:t>
            </w:r>
          </w:fldSimple>
          <w:r>
            <w:rPr>
              <w:rFonts w:ascii="Arial" w:eastAsia="MS Mincho" w:hAnsi="Arial"/>
              <w:sz w:val="20"/>
              <w:iCs/>
            </w:rPr>
            <w:t>,
2023-12-21,
paskelbta TAR 2024-01-04, i. k. 2024-00170                </w:t>
          </w:r>
        </w:p>
        <w:p>
          <w:pPr>
            <w:jc w:val="both"/>
            <w:rPr>
              <w:rFonts w:ascii="Arial" w:hAnsi="Arial"/>
            </w:rPr>
          </w:pPr>
          <w:r>
            <w:rPr>
              <w:rFonts w:ascii="Arial" w:hAnsi="Arial"/>
              <w:sz w:val="20"/>
            </w:rPr>
            <w:t>Dėl Vyriausiosios rinkimų komisijos 2022 m. rugpjūčio 11 d. sprendimo Nr. Sp-60 „Dėl Rinkimų (referendumo) stebėtojų registravimo tvarkos aprašo patvirtinimo“ pakeitimo</w:t>
          </w:r>
        </w:p>
        <w:p>
          <w:pPr>
            <w:jc w:val="both"/>
            <w:rPr>
              <w:rFonts w:ascii="Arial" w:hAnsi="Arial"/>
              <w:sz w:val="20"/>
            </w:rPr>
          </w:pPr>
        </w:p>
        <w:p>
          <w:pPr>
            <w:widowControl w:val="0"/>
            <w:rPr>
              <w:rFonts w:ascii="Arial" w:hAnsi="Arial"/>
              <w:snapToGrid w:val="0"/>
            </w:rPr>
          </w:pPr>
        </w:p>
      </w:sdtContent>
    </w:sdt>
    <w:sectPr>
      <w:headerReference w:type="first" r:id="rId1"/>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3E5BB9C"/>
  <w15:docId w15:val="{792DD4FA-E2B3-4550-891E-02A0BB68156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75116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oleObject" Target="embeddings/oleObject2.bin"/>
  <Relationship Id="rId11" Type="http://schemas.openxmlformats.org/officeDocument/2006/relationships/header" Target="header6.xml"/>
  <Relationship Id="rId12" Type="http://schemas.openxmlformats.org/officeDocument/2006/relationships/header" Target="header7.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8.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74CFFE6-14E0-48B3-A6F7-C954D4DFB3A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59C"/>
    <w:rsid w:val="0058459C"/>
    <w:rsid w:val="00C90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459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4110c473634f27a5b1e05c4c7d68c9" PartId="d69dfd10e1ea48899f9f4907ecb3a7ad">
    <Part Type="preambule" DocPartId="7c63e25dce81432ca00fda27c4b5e1fb" PartId="109805c5b5974b9990b9e6defa472b31"/>
    <Part Type="punktas" Nr="1" Abbr="1 p." DocPartId="8b3de592dd894916838e8a1ee1ab3424" PartId="1a28f8a512fa4c9c9230bf3b3999114b"/>
    <Part Type="punktas" Nr="2" Abbr="2 p." DocPartId="4db51d298478458bb6cdd146e49ea7f1" PartId="aa09ccb869044d65b722869f975c6446"/>
    <Part Type="punktas" Nr="3" Abbr="3 p." DocPartId="ef96351f40e54ebe921e0b80ce74c101" PartId="f031c460a67d4a2f8962ab0972f1a0aa"/>
    <Part Type="signatura" DocPartId="a63ea95569c54393ac7df0452600228f" PartId="f8fbd8ff8cdb495e987c9b7644929502"/>
  </Part>
  <Part Type="patvirtinta" Title="RINKIMŲ (REFERENDUMO) STEBĖTOJŲ REGISTRAVIMO TVARKOS APRAŠAS" DocPartId="3ac1a7f1a7aa4c00b282471416a99be3" PartId="0da8a16d2cd54b3492d503e77a8b9eec">
    <Part Type="punktas" Nr="1" Abbr="1 p." DocPartId="a488e840eb7948739bb48ea91230a433" PartId="0256fbf60f4e40939074ecb76e3d5ce3"/>
    <Part Type="punktas" Nr="2" Abbr="2 p." DocPartId="fcccfbd628754ab4b97be95a1874924b" PartId="62570d0e75144ac7ad542cf6dd97e75f"/>
    <Part Type="punktas" Nr="3" Abbr="3 p." DocPartId="4d93d0e70b504b45b0cc798bb2ea454e" PartId="84f1a0afb5be4629a63b5e07ffc80be3"/>
    <Part Type="punktas" Nr="4" Abbr="4 p." DocPartId="6e5a9391507e4875a22493a9908c89e3" PartId="e6a430d3b4ce4831be55556583b35406">
      <Part Type="papunktis" Nr="4.1" Abbr="4.1 pp." DocPartId="570ac590244742989fd599199a7e9adc" PartId="9998a1bdc853485a95ed66f46f80ce47"/>
      <Part Type="papunktis" Nr="4.2" Abbr="4.2 pp." DocPartId="05cfb5ebf70d464fbd14b182a16a1ce4" PartId="27b0951c8c4c484d80d9166e94102e8f"/>
      <Part Type="papunktis" Nr="4.3" Abbr="4.3 pp." DocPartId="23ab34d3c0d147828d4bbc106e3abf94" PartId="6d508b8eb8cb4b65b4112cd051e9de8b"/>
      <Part Type="papunktis" Nr="4.4" Abbr="4.4 pp." DocPartId="70f88368c39f4299b326b5e8eb9c544e" PartId="1925a0b886ac40fe988b23473c8f5225"/>
      <Part Type="papunktis" Nr="4.5" Abbr="4.5 pp." DocPartId="f12cb13b530041a0811e80437f35c416" PartId="5bc58572056642f89abdf0967fd5f131"/>
    </Part>
    <Part Type="punktas" Nr="5" Abbr="5 p." DocPartId="5995a5b0df6d40e6afb2de28c4cbd650" PartId="3161be9b3d5846978fcb8d927a9020f4"/>
    <Part Type="punktas" Nr="6" Abbr="6 p." DocPartId="8dbe63c2516742d58d86a556acc969bc" PartId="0ec4ad5ed06647b3ad7020147708b876">
      <Part Type="papunktis" Nr="6.1" Abbr="6.1 pp." DocPartId="36a1c17a6fc04d118c66645847574923" PartId="1c7bfcbe8230404eaa4eb444b30fdea3"/>
      <Part Type="papunktis" Nr="6.2" Abbr="6.2 pp." DocPartId="b438a8dcecf044fa94e793a12eaa6084" PartId="bce81633baa24dc0b0fcb0d0720c3eb2"/>
    </Part>
    <Part Type="punktas" Nr="7" Abbr="7 p." DocPartId="4f12917eee444da48762f52a746b946e" PartId="101d2ac46f654ad586b077e6c00ed703"/>
    <Part Type="punktas" Nr="8" Abbr="8 p." DocPartId="96b886f94c124a4facecc2f9ea163fb9" PartId="fc287a71a35f46a9989a4316cb178908"/>
    <Part Type="punktas" Nr="9" Abbr="9 p." DocPartId="71a2106de0274ecc86a0f6e50b3b2dae" PartId="01c3df13bf7a4d69aac565c7d525f05e"/>
    <Part Type="punktas" Nr="10" Abbr="10 p." DocPartId="fe7535ef816c44f583c7e85cf286a7fc" PartId="dbfeec083c814cc79b31bb2d0427989d"/>
    <Part Type="punktas" Nr="11" Abbr="11 p." DocPartId="2ad5d6602bea41568d4706cac41036cb" PartId="73f41d4eae954719a4ab69c7a5b21be0"/>
    <Part Type="punktas" Nr="12" Abbr="12 p." DocPartId="7f3f9592909c46f2ad7265dd4d6590f0" PartId="77afbc439b8643048dcac21506ccc75e">
      <Part Type="papunktis" Nr="12.1" Abbr="12.1 pp." DocPartId="a1a274da2a0d4448a00763394b91dc39" PartId="bd5c6c6fdb5943fdb102c836c92a4964"/>
      <Part Type="papunktis" Nr="12.2" Abbr="12.2 pp." DocPartId="78455d8866154e8896584a329d03161f" PartId="26e476e036ff4d1797972416444061bc"/>
      <Part Type="papunktis" Nr="12.3" Abbr="12.3 pp." DocPartId="bad36749971c4619a973dcdad20d1ec2" PartId="dc135a00a3f4449c999cf7d9276c4bb0"/>
      <Part Type="papunktis" Nr="12.4" Abbr="12.4 pp." DocPartId="76d1bf7d25bb4f7b9f90cd0e08add1f1" PartId="29d2cc15226d46c3a0fb546f1de4ed30"/>
      <Part Type="papunktis" Nr="12.5" Abbr="12.5 pp." DocPartId="e4bb2bb629b946ccb64f41ffe9ca3520" PartId="18615f179aa541c2a1f29e41df211d2e"/>
      <Part Type="papunktis" Nr="12.6" Abbr="12.6 pp." DocPartId="26146e21e8d4499180806ed3f95f7578" PartId="993a334e2448494587c64a054f482d58"/>
    </Part>
    <Part Type="punktas" Nr="13" Abbr="13 p." DocPartId="14c61ea5666d484aa315fbd29445f1a9" PartId="38c8ec88918540a7b8e48ff485f9709f"/>
    <Part Type="punktas" Nr="14" Abbr="14 p." DocPartId="43b6a38a4c6f4107938330f659c1940b" PartId="8b0042096eb347809ec0fcdcc1568614"/>
    <Part Type="punktas" Nr="15" Abbr="15 p." DocPartId="ff4a0e0d726549819d0967aa00606600" PartId="ca164b4dc5fb46d88f053d01d061ce12">
      <Part Type="papunktis" Nr="15.1" Abbr="15.1 pp." DocPartId="cd9b46f71f404099845965aceee9f442" PartId="4238a8cb52b0488fb82a85ad7aa1efaf"/>
      <Part Type="papunktis" Nr="15.2" Abbr="15.2 pp." DocPartId="898109c7351a4829bdd0da835bc28bae" PartId="4bc5b4447fd145c088d47afd4effa5e0"/>
    </Part>
    <Part Type="punktas" Nr="16" Abbr="16 p." DocPartId="e429f7a8abea4f0b971d9cd812e7685e" PartId="d6a32a3691974f9892fae5676cff80f4"/>
    <Part Type="punktas" Nr="17" Abbr="17 p." DocPartId="a9326c8626cb42f79b22cb306ca31fa5" PartId="b813902bbf8a465193f3da7ae2a68c91"/>
    <Part Type="pabaiga" DocPartId="f990f76088ca4ec8b064ad119042faf6" PartId="a618c7d4ffcc489790cdef83282e07a0"/>
  </Part>
</Parts>
</file>

<file path=customXml/itemProps1.xml><?xml version="1.0" encoding="utf-8"?>
<ds:datastoreItem xmlns:ds="http://schemas.openxmlformats.org/officeDocument/2006/customXml" ds:itemID="{FB301449-0997-45CA-93A3-967D38D47F85}">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987</Words>
  <Characters>7823</Characters>
  <Application>Microsoft Office Word</Application>
  <DocSecurity>0</DocSecurity>
  <Lines>65</Lines>
  <Paragraphs>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VRK</Company>
  <LinksUpToDate>false</LinksUpToDate>
  <CharactersWithSpaces>8793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2022-08-12T05:58:00Z</dcterms:created>
  <dc:creator>N. Žemaitienė</dc:creator>
  <lastModifiedBy>GUMBYTĖ Danguolė</lastModifiedBy>
  <lastPrinted>2012-07-04T08:52:00Z</lastPrinted>
  <dcterms:modified xsi:type="dcterms:W3CDTF">2024-01-05T12:00:00Z</dcterms:modified>
  <revision>5</revision>
</coreProperties>
</file>