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87268df4eea45ae984690ac9957b80f"/>
        <w:lock w:val="sdtLocked"/>
        <w:richText/>
      </w:sdtPr>
      <w:sdtContent>
        <w:p>
          <w:pPr>
            <w:jc w:val="both"/>
            <w:rPr>
              <w:rFonts w:ascii="Times New Roman" w:hAnsi="Times New Roman"/>
            </w:rPr>
          </w:pPr>
          <w:r>
            <w:rPr>
              <w:rFonts w:ascii="Times New Roman" w:hAnsi="Times New Roman"/>
              <w:b/>
              <w:i/>
            </w:rPr>
            <w:t>Suvestinė redakcija nuo 2023-03-02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2021-05-04:</w:t>
          </w:r>
        </w:p>
        <w:p>
          <w:pPr>
            <w:rPr>
              <w:rFonts w:ascii="Times New Roman" w:hAnsi="Times New Roman"/>
              <w:sz w:val="20"/>
              <w:i/>
            </w:rPr>
          </w:pPr>
          <w:r>
            <w:rPr>
              <w:rFonts w:ascii="Times New Roman" w:hAnsi="Times New Roman"/>
              <w:sz w:val="20"/>
              <w:i/>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rPr>
              <w:rFonts w:ascii="Times New Roman" w:hAnsi="Times New Roman"/>
              <w:sz w:val="22"/>
            </w:rPr>
          </w:pPr>
        </w:p>
        <w:p>
          <w:pPr>
            <w:overflowPunct w:val="0"/>
            <w:jc w:val="center"/>
            <w:textAlignment w:val="baseline"/>
            <w:rPr>
              <w:b/>
              <w:bCs/>
              <w:sz w:val="28"/>
              <w:szCs w:val="28"/>
            </w:rPr>
          </w:pPr>
          <w:r>
            <w:rPr>
              <w:b/>
              <w:bCs/>
              <w:sz w:val="28"/>
              <w:szCs w:val="28"/>
            </w:rPr>
            <w:t>LIETUVOS RESPUBLIKOS ŽEMĖS ŪKIO MINISTRAS</w:t>
          </w:r>
        </w:p>
        <w:p>
          <w:pPr>
            <w:overflowPunct w:val="0"/>
            <w:jc w:val="center"/>
            <w:textAlignment w:val="baseline"/>
            <w:rPr>
              <w:b/>
              <w:bCs/>
              <w:spacing w:val="60"/>
              <w:sz w:val="28"/>
              <w:szCs w:val="28"/>
            </w:rPr>
          </w:pPr>
        </w:p>
        <w:p>
          <w:pPr>
            <w:overflowPunct w:val="0"/>
            <w:jc w:val="center"/>
            <w:textAlignment w:val="baseline"/>
            <w:rPr>
              <w:b/>
              <w:bCs/>
              <w:szCs w:val="24"/>
            </w:rPr>
          </w:pPr>
          <w:r>
            <w:rPr>
              <w:b/>
              <w:bCs/>
              <w:spacing w:val="60"/>
              <w:szCs w:val="24"/>
            </w:rPr>
            <w:t>ĮSAKYMA</w:t>
          </w:r>
          <w:r>
            <w:rPr>
              <w:b/>
              <w:bCs/>
              <w:szCs w:val="24"/>
            </w:rPr>
            <w:t>S</w:t>
          </w:r>
        </w:p>
        <w:p>
          <w:pPr>
            <w:overflowPunct w:val="0"/>
            <w:jc w:val="center"/>
            <w:textAlignment w:val="baseline"/>
            <w:rPr>
              <w:b/>
            </w:rPr>
          </w:pPr>
          <w:r>
            <w:rPr>
              <w:b/>
            </w:rPr>
            <w:t>DĖL VIETOS PLĖTROS STRATEGIJŲ, ĮGYVENDINAMŲ BENDRUOMENIŲ INICIJUOTOS VIETOS PLĖTROS BŪDU, ATRANKOS TAISYKLIŲ PATVIRTINIMO</w:t>
          </w:r>
        </w:p>
        <w:p>
          <w:pPr>
            <w:overflowPunct w:val="0"/>
            <w:jc w:val="center"/>
            <w:textAlignment w:val="baseline"/>
            <w:rPr>
              <w:b/>
            </w:rPr>
          </w:pPr>
        </w:p>
        <w:p>
          <w:pPr>
            <w:overflowPunct w:val="0"/>
            <w:jc w:val="center"/>
            <w:textAlignment w:val="baseline"/>
            <w:rPr>
              <w:b/>
            </w:rPr>
          </w:pPr>
          <w:r>
            <w:t>2015 m. gegužės 4 d. Nr. 3D-343</w:t>
          </w:r>
        </w:p>
        <w:p>
          <w:pPr>
            <w:overflowPunct w:val="0"/>
            <w:jc w:val="center"/>
            <w:textAlignment w:val="baseline"/>
            <w:rPr>
              <w:b/>
            </w:rPr>
          </w:pPr>
          <w:r>
            <w:t>Vilnius</w:t>
          </w:r>
        </w:p>
        <w:p>
          <w:pPr>
            <w:overflowPunct w:val="0"/>
            <w:textAlignment w:val="baseline"/>
          </w:pPr>
        </w:p>
        <w:p>
          <w:pPr>
            <w:overflowPunct w:val="0"/>
            <w:jc w:val="both"/>
            <w:textAlignment w:val="baseline"/>
          </w:pPr>
        </w:p>
        <w:sdt>
          <w:sdtPr>
            <w:alias w:val="preambule"/>
            <w:tag w:val="part_336a757bd5ed41b583253515b9380264"/>
            <w:lock w:val="sdtLocked"/>
            <w:richText/>
          </w:sdtPr>
          <w:sdtContent>
            <w:p>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2020 m. gruodžio 23 d. Europos Parlamento ir Tarybos reglamentu (ES) Nr. 2020/2221,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2014 m. liepos 17 d. Komisijos reglamentu (ES) Nr. 808/2014, nustatančiu Europos Parlamento ir Tarybos reglamento (ES) Nr. 1305/2013 dėl paramos kaimo plėtrai, teikiamos Europos žemės ūkio fondo kaimo plėtrai (EŽŪFKP) lėšomis, taikymo taisykles, su paskutiniais pakeitimais, padarytais 2021 m. sausio 26 d. Komisijos įgyvendinimo reglamentu (ES) Nr. 2021/73,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dbc5cfbc37b84f8ab0872e7c6519b432"/>
            <w:lock w:val="sdtLocked"/>
            <w:richText/>
          </w:sdtPr>
          <w:sdtContent>
            <w:p>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
          <w:sdtPr>
            <w:alias w:val="signatura"/>
            <w:tag w:val="part_86a02715861944e2ab393cf281a4f942"/>
            <w:lock w:val="sdtLocked"/>
            <w:richText/>
          </w:sdtPr>
          <w:sdtContent>
            <w:p/>
            <w:p/>
            <w:p/>
            <w:p>
              <w:r>
                <w:rPr>
                  <w:szCs w:val="24"/>
                  <w:lang w:eastAsia="lt-LT"/>
                </w:rPr>
                <w:t>Žemės ūkio ministrė</w:t>
                <w:tab/>
                <w:tab/>
                <w:tab/>
                <w:tab/>
                <w:tab/>
                <w:tab/>
                <w:tab/>
                <w:tab/>
                <w:t xml:space="preserve">     Virginija Baltraitienė</w:t>
              </w:r>
            </w:p>
          </w:sdtContent>
        </w:sdt>
        <w:p/>
      </w:sdtContent>
    </w:sdt>
    <w:sdt>
      <w:sdtPr>
        <w:alias w:val="patvirtinta"/>
        <w:tag w:val="part_35e3529953ec408589ca9af1bfcf2546"/>
        <w:lock w:val="sdtLocked"/>
        <w:richText/>
      </w:sdtPr>
      <w:sdtContent>
        <w:p>
          <w:pPr>
            <w:jc w:val="both"/>
            <w:sectPr>
              <w:headerReference w:type="even" r:id="rId8"/>
              <w:headerReference w:type="default" r:id="rId9"/>
              <w:footerReference w:type="even" r:id="rId10"/>
              <w:footerReference w:type="default" r:id="rId11"/>
              <w:headerReference w:type="first" r:id="rId12"/>
              <w:footerReference w:type="first" r:id="rId13"/>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35e3529953ec408589ca9af1bfcf2546"/>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c785f5b0d28c4c54872572d881b32f3f"/>
                <w:lock w:val="sdtLocked"/>
                <w:richText/>
              </w:sdtPr>
              <w:sdtContent>
                <w:p>
                  <w:pPr>
                    <w:tabs>
                      <w:tab w:val="left" w:pos="540"/>
                      <w:tab w:val="left" w:pos="709"/>
                    </w:tabs>
                    <w:overflowPunct w:val="0"/>
                    <w:ind w:firstLine="539"/>
                    <w:jc w:val="both"/>
                    <w:textAlignment w:val="baseline"/>
                    <w:rPr>
                      <w:szCs w:val="24"/>
                    </w:rPr>
                  </w:pPr>
                  <w:sdt>
                    <w:sdtPr>
                      <w:alias w:val="Numeris"/>
                      <w:tag w:val="nr_c785f5b0d28c4c54872572d881b32f3f"/>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Europos Parlamento ir Tarybos reglamentu (ES) Nr. 2020/2221 (toliau – Reglamentas (ES) Nr. 1303/2013),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(toliau – Reglamentas (ES) Nr. 508/2014), 2014 m. liepos 17 d. Komisijos reglamentu (ES) Nr. 808/2014, nustatančiu Europos Parlamento ir Tarybos reglamento (ES) Nr. 1305/2013 dėl paramos kaimo plėtrai, teikiamos Europos žemės ūkio fondo kaimo plėtrai (EŽŪFKP) lėšomis, taikymo taisykles,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4-1 pp."/>
                    <w:tag w:val="part_2685ac547db547759c2271b78d76b554"/>
                    <w:lock w:val="sdtLocked"/>
                    <w:richText/>
                  </w:sdtPr>
                  <w:sdtContent>
                    <w:p>
                      <w:pPr>
                        <w:tabs>
                          <w:tab w:val="left" w:pos="720"/>
                        </w:tabs>
                        <w:overflowPunct w:val="0"/>
                        <w:ind w:firstLine="567"/>
                        <w:jc w:val="both"/>
                        <w:textAlignment w:val="baseline"/>
                        <w:rPr>
                          <w:szCs w:val="24"/>
                        </w:rPr>
                      </w:pPr>
                      <w:sdt>
                        <w:sdtPr>
                          <w:alias w:val="Numeris"/>
                          <w:tag w:val="nr_2685ac547db547759c2271b78d76b554"/>
                          <w:lock w:val="sdtLocked"/>
                          <w:richText/>
                        </w:sdtPr>
                        <w:sdtContent>
                          <w:r>
                            <w:rPr>
                              <w:szCs w:val="24"/>
                            </w:rPr>
                            <w:t>3.4</w:t>
                          </w:r>
                          <w:r>
                            <w:rPr>
                              <w:szCs w:val="24"/>
                              <w:vertAlign w:val="superscript"/>
                            </w:rPr>
                            <w:t>1</w:t>
                          </w:r>
                        </w:sdtContent>
                      </w:sdt>
                      <w:r>
                        <w:rPr>
                          <w:szCs w:val="24"/>
                        </w:rPr>
                        <w:t xml:space="preserve">. EURI – Europos Sąjungos ekonomikos gaivinimo priemonė </w:t>
                      </w:r>
                      <w:r>
                        <w:rPr>
                          <w:i/>
                          <w:iCs/>
                          <w:szCs w:val="24"/>
                        </w:rPr>
                        <w:t>(angl. European Union Recovery instrument)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ebdc438bc1e94ce1b13615ca2ea61683"/>
                    <w:lock w:val="sdtLocked"/>
                    <w:richText/>
                  </w:sdtPr>
                  <w:sdtContent>
                    <w:p>
                      <w:pPr>
                        <w:tabs>
                          <w:tab w:val="left" w:pos="720"/>
                        </w:tabs>
                        <w:overflowPunct w:val="0"/>
                        <w:ind w:firstLine="567"/>
                        <w:jc w:val="both"/>
                        <w:textAlignment w:val="baseline"/>
                      </w:pPr>
                      <w:sdt>
                        <w:sdtPr>
                          <w:alias w:val="Numeris"/>
                          <w:tag w:val="nr_ebdc438bc1e94ce1b13615ca2ea61683"/>
                          <w:lock w:val="sdtLocked"/>
                          <w:richText/>
                        </w:sdtPr>
                        <w:sdtContent>
                          <w:r>
                            <w:t>4.24</w:t>
                          </w:r>
                        </w:sdtContent>
                      </w:sdt>
                      <w:r>
                        <w:t xml:space="preserve">. </w:t>
                      </w:r>
                      <w:r>
                        <w:rPr>
                          <w:b/>
                          <w:bCs/>
                        </w:rPr>
                        <w:t>vietos valdžios atstovas</w:t>
                      </w:r>
                      <w:r>
                        <w:t xml:space="preserve"> – VVG teritorijoje veikiančios savivaldybės, kuri yra VVG narė, mero ar tarybos paskirtas asmuo, tos savivaldybės valdomos įmonės, administravimo subjekto ar kitos VVG teritorijoje veikiančios valstybės įstaigos, organizacijos, kurios yra VVG narės, atstovas (išskyrus savivaldybės politikus ir politinio (asmeninio) pasitikėjimo valstybės tarnautojus),</w:t>
                      </w:r>
                      <w:r>
                        <w:rPr>
                          <w:b/>
                          <w:bCs/>
                        </w:rPr>
                        <w:t xml:space="preserve"> </w:t>
                      </w:r>
                      <w:r>
                        <w:t xml:space="preserve">kurio dalyvavimo kolegialaus VVG valdymo organo veikloje tikslas – atstovauti viešajam interesui; </w:t>
                      </w:r>
                    </w:p>
                    <w:p>
                      <w:pPr>
                        <w:tabs>
                          <w:tab w:val="left" w:pos="720"/>
                        </w:tabs>
                        <w:overflowPunct w:val="0"/>
                        <w:jc w:val="both"/>
                        <w:textAlignment w:val="baseline"/>
                        <w:rPr>
                          <w:i/>
                          <w:sz w:val="20"/>
                        </w:rPr>
                      </w:pPr>
                      <w:r>
                        <w:rPr>
                          <w:b/>
                          <w:i/>
                          <w:sz w:val="20"/>
                        </w:rPr>
                        <w:t>TAR pastaba.</w:t>
                      </w:r>
                      <w:r>
                        <w:rPr>
                          <w:i/>
                          <w:sz w:val="20"/>
                        </w:rPr>
                        <w:t xml:space="preserve"> 4.24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6907ea9d37c54972a8fefa916db218c8"/>
                        <w:lock w:val="sdtLocked"/>
                        <w:richText/>
                      </w:sdtPr>
                      <w:sdtContent>
                        <w:p>
                          <w:pPr>
                            <w:tabs>
                              <w:tab w:val="left" w:pos="720"/>
                            </w:tabs>
                            <w:overflowPunct w:val="0"/>
                            <w:ind w:firstLine="567"/>
                            <w:jc w:val="both"/>
                            <w:textAlignment w:val="baseline"/>
                          </w:pPr>
                          <w:sdt>
                            <w:sdtPr>
                              <w:alias w:val="Numeris"/>
                              <w:tag w:val="nr_6907ea9d37c54972a8fefa916db218c8"/>
                              <w:lock w:val="sdtLocked"/>
                              <w:richText/>
                            </w:sdtPr>
                            <w:sdtContent>
                              <w:r>
                                <w:t>12.4.3</w:t>
                              </w:r>
                            </w:sdtContent>
                          </w:sdt>
                          <w:r>
                            <w:t xml:space="preserve">. vietos valdžiai – iki 30 proc. narių; </w:t>
                          </w:r>
                        </w:p>
                        <w:p>
                          <w:pPr>
                            <w:tabs>
                              <w:tab w:val="left" w:pos="720"/>
                            </w:tabs>
                            <w:overflowPunct w:val="0"/>
                            <w:jc w:val="both"/>
                            <w:textAlignment w:val="baseline"/>
                            <w:rPr>
                              <w:i/>
                              <w:sz w:val="20"/>
                            </w:rPr>
                          </w:pPr>
                          <w:r>
                            <w:rPr>
                              <w:b/>
                              <w:i/>
                              <w:sz w:val="20"/>
                            </w:rPr>
                            <w:t>TAR pastaba.</w:t>
                          </w:r>
                          <w:r>
                            <w:rPr>
                              <w:i/>
                              <w:sz w:val="20"/>
                            </w:rPr>
                            <w:t xml:space="preserve"> 12.4.3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f1a544d46af4bc1830f0b3156065376"/>
                        <w:lock w:val="sdtLocked"/>
                        <w:richText/>
                      </w:sdtPr>
                      <w:sdtContent>
                        <w:p>
                          <w:pPr>
                            <w:tabs>
                              <w:tab w:val="left" w:pos="720"/>
                            </w:tabs>
                            <w:overflowPunct w:val="0"/>
                            <w:ind w:firstLine="567"/>
                            <w:jc w:val="both"/>
                            <w:textAlignment w:val="baseline"/>
                          </w:pPr>
                          <w:sdt>
                            <w:sdtPr>
                              <w:alias w:val="Numeris"/>
                              <w:tag w:val="nr_1f1a544d46af4bc1830f0b3156065376"/>
                              <w:lock w:val="sdtLocked"/>
                              <w:richText/>
                            </w:sdtPr>
                            <w:sdtContent>
                              <w:r>
                                <w:t>13.4.3</w:t>
                              </w:r>
                            </w:sdtContent>
                          </w:sdt>
                          <w:r>
                            <w:t xml:space="preserve">. vietos valdžiai– iki 30 proc. narių; </w:t>
                          </w:r>
                        </w:p>
                        <w:p>
                          <w:pPr>
                            <w:tabs>
                              <w:tab w:val="left" w:pos="720"/>
                            </w:tabs>
                            <w:overflowPunct w:val="0"/>
                            <w:jc w:val="both"/>
                            <w:textAlignment w:val="baseline"/>
                            <w:rPr>
                              <w:i/>
                              <w:sz w:val="20"/>
                            </w:rPr>
                          </w:pPr>
                          <w:r>
                            <w:rPr>
                              <w:b/>
                              <w:i/>
                              <w:sz w:val="20"/>
                            </w:rPr>
                            <w:t>TAR pastaba.</w:t>
                          </w:r>
                          <w:r>
                            <w:rPr>
                              <w:i/>
                              <w:sz w:val="20"/>
                            </w:rPr>
                            <w:t xml:space="preserve"> 13.4.3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862b9bf548a04d0f8f4cd0a2370eb2a6"/>
                        <w:lock w:val="sdtLocked"/>
                        <w:richText/>
                      </w:sdtPr>
                      <w:sdtContent>
                        <w:p>
                          <w:pPr>
                            <w:tabs>
                              <w:tab w:val="left" w:pos="1276"/>
                            </w:tabs>
                            <w:overflowPunct w:val="0"/>
                            <w:ind w:firstLine="567"/>
                            <w:jc w:val="both"/>
                            <w:textAlignment w:val="baseline"/>
                          </w:pPr>
                          <w:sdt>
                            <w:sdtPr>
                              <w:alias w:val="Numeris"/>
                              <w:tag w:val="nr_862b9bf548a04d0f8f4cd0a2370eb2a6"/>
                              <w:lock w:val="sdtLocked"/>
                              <w:richText/>
                            </w:sdtPr>
                            <w:sdtContent>
                              <w:r>
                                <w:t>15.2.1</w:t>
                              </w:r>
                            </w:sdtContent>
                          </w:sdt>
                          <w:r>
                            <w:t xml:space="preserve">. VPS administravimo vadovui – turėti aukštąjį išsilavinimą ir ne mažesnę nei            3 m. darbo patirtį projektų valdymo srityje; arba turėti ne mažesnę negu 5 m. darbo patirtį VPS administravimo ir įgyvendinimo srityje. VPS administravimo vadovo pareigų negali eiti asmuo, tuo pat metu esantis VVG kolegialaus organo nariu; </w:t>
                          </w:r>
                        </w:p>
                        <w:p>
                          <w:pPr>
                            <w:tabs>
                              <w:tab w:val="left" w:pos="1276"/>
                            </w:tabs>
                            <w:overflowPunct w:val="0"/>
                            <w:jc w:val="both"/>
                            <w:textAlignment w:val="baseline"/>
                            <w:rPr>
                              <w:i/>
                              <w:sz w:val="20"/>
                            </w:rPr>
                          </w:pPr>
                          <w:r>
                            <w:rPr>
                              <w:b/>
                              <w:i/>
                              <w:sz w:val="20"/>
                            </w:rPr>
                            <w:t xml:space="preserve">TAR pastaba. </w:t>
                          </w:r>
                          <w:r>
                            <w:rPr>
                              <w:i/>
                              <w:sz w:val="20"/>
                            </w:rPr>
                            <w:t>15.2.1 papunktyje nustatyti reikalavimai taikomi tik naujai į darbą priimamiems VPS vykdytojos darbuotojams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2.2 p."/>
                        <w:tag w:val="part_22e31c399327454bb36f144bc7cafab5"/>
                        <w:lock w:val="sdtLocked"/>
                        <w:richText/>
                      </w:sdtPr>
                      <w:sdtContent>
                        <w:p>
                          <w:pPr>
                            <w:tabs>
                              <w:tab w:val="left" w:pos="720"/>
                            </w:tabs>
                            <w:overflowPunct w:val="0"/>
                            <w:ind w:firstLine="567"/>
                            <w:jc w:val="both"/>
                            <w:textAlignment w:val="baseline"/>
                            <w:rPr>
                              <w:szCs w:val="24"/>
                            </w:rPr>
                          </w:pPr>
                          <w:sdt>
                            <w:sdtPr>
                              <w:alias w:val="Numeris"/>
                              <w:tag w:val="nr_22e31c399327454bb36f144bc7cafab5"/>
                              <w:lock w:val="sdtLocked"/>
                              <w:richText/>
                            </w:sdtPr>
                            <w:sdtContent>
                              <w:r>
                                <w:rPr>
                                  <w:szCs w:val="24"/>
                                </w:rPr>
                                <w:t>15.2.2</w:t>
                              </w:r>
                            </w:sdtContent>
                          </w:sdt>
                          <w:r>
                            <w:rPr>
                              <w:szCs w:val="24"/>
                            </w:rPr>
                            <w:t>. VPS buhalterinės apskaitos specialistui ir (arba) finansininkui – turėti aukštąjį išsilavinimą ir ne mažesnę nei 2 m. darbo patirtį buhalterinės apskaitos tvarkymo ir (arba) finansų valdymo srityje (šis reikalavimas netaikomas, jeigu VPS finansų valdymui pasitelkiama buhalterinės apskaitos paslaugas teikianti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2-1 pp."/>
                    <w:tag w:val="part_cf0a50dd68ff467f98ae5a4c4a329c3d"/>
                    <w:lock w:val="sdtLocked"/>
                    <w:richText/>
                  </w:sdtPr>
                  <w:sdtContent>
                    <w:p>
                      <w:pPr>
                        <w:tabs>
                          <w:tab w:val="left" w:pos="993"/>
                        </w:tabs>
                        <w:overflowPunct w:val="0"/>
                        <w:ind w:firstLine="567"/>
                        <w:jc w:val="both"/>
                        <w:textAlignment w:val="baseline"/>
                        <w:rPr>
                          <w:szCs w:val="24"/>
                        </w:rPr>
                      </w:pPr>
                      <w:sdt>
                        <w:sdtPr>
                          <w:alias w:val="Numeris"/>
                          <w:tag w:val="nr_cf0a50dd68ff467f98ae5a4c4a329c3d"/>
                          <w:lock w:val="sdtLocked"/>
                          <w:richText/>
                        </w:sdtPr>
                        <w:sdtContent>
                          <w:r>
                            <w:t>15.2</w:t>
                          </w:r>
                          <w:r>
                            <w:rPr>
                              <w:vertAlign w:val="superscript"/>
                            </w:rPr>
                            <w:t>1</w:t>
                          </w:r>
                        </w:sdtContent>
                      </w:sdt>
                      <w:r>
                        <w:t xml:space="preserve">. Formuojant ar keičiant VPS administraciją (įskaitant VPS administravimo vadovą) turi būti užtikrintas viešųjų ir privačių interesų derinimas, imamasi kitų korupcijos prevencijos priemonių vadovaujantis Lietuvos Respublikos korupcijos prevencijos įstatymu;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b55cebcb72694ec386969e07406bbdf8"/>
                        <w:lock w:val="sdtLocked"/>
                        <w:richText/>
                      </w:sdtPr>
                      <w:sdtContent>
                        <w:p>
                          <w:pPr>
                            <w:tabs>
                              <w:tab w:val="left" w:pos="720"/>
                            </w:tabs>
                            <w:overflowPunct w:val="0"/>
                            <w:ind w:firstLine="567"/>
                            <w:jc w:val="both"/>
                            <w:textAlignment w:val="baseline"/>
                          </w:pPr>
                          <w:sdt>
                            <w:sdtPr>
                              <w:alias w:val="Numeris"/>
                              <w:tag w:val="nr_b55cebcb72694ec386969e07406bbdf8"/>
                              <w:lock w:val="sdtLocked"/>
                              <w:richText/>
                            </w:sdtPr>
                            <w:sdtContent>
                              <w:r>
                                <w:t>15.3.3</w:t>
                              </w:r>
                            </w:sdtContent>
                          </w:sdt>
                          <w:r>
                            <w:t>. užtikrintų tinkamą viešųjų ir privačių interesų derinimą, t. y. Lietuvos Respublikos viešųjų ir privačių interesų derinimo valstybės tarnyboje įstatymo nustatyta tvarka deklaruotų privačius interesus ir sutiktų teikti minėtas deklaracijas (jeigu šios nėra viešai prieinamos) bei jų pakeitimus VVG ir Agentūrai. Savivaldybės administracijos struktūrinių padalinių vadovai, kiti</w:t>
                          </w:r>
                          <w:r>
                            <w:rPr>
                              <w:b/>
                              <w:bCs/>
                            </w:rPr>
                            <w:t xml:space="preserve"> </w:t>
                          </w:r>
                          <w:r>
                            <w:t xml:space="preserve">darbuotojai, jos valdomų įmonių, savivaldybės administravimo subjektų ar kitos VVG teritorijoje veikiančios valstybės įstaigos, organizacijos, kurios yra VVG narės, </w:t>
                          </w:r>
                          <w:r>
                            <w:rPr>
                              <w:b/>
                              <w:bCs/>
                            </w:rPr>
                            <w:t xml:space="preserve"> </w:t>
                          </w:r>
                          <w:r>
                            <w:t xml:space="preserve">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 </w:t>
                          </w:r>
                        </w:p>
                        <w:p>
                          <w:pPr>
                            <w:tabs>
                              <w:tab w:val="left" w:pos="720"/>
                            </w:tabs>
                            <w:overflowPunct w:val="0"/>
                            <w:jc w:val="both"/>
                            <w:textAlignment w:val="baseline"/>
                            <w:rPr>
                              <w:i/>
                              <w:sz w:val="20"/>
                            </w:rPr>
                          </w:pPr>
                          <w:r>
                            <w:rPr>
                              <w:b/>
                              <w:i/>
                              <w:sz w:val="20"/>
                            </w:rPr>
                            <w:t>TAR pastaba.</w:t>
                          </w:r>
                          <w:r>
                            <w:rPr>
                              <w:i/>
                              <w:sz w:val="20"/>
                            </w:rPr>
                            <w:t xml:space="preserve"> 15.3.3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4 p."/>
                        <w:tag w:val="part_8946148b354240d586d9e8224eb3b59a"/>
                        <w:lock w:val="sdtLocked"/>
                        <w:richText/>
                      </w:sdtPr>
                      <w:sdtContent>
                        <w:p>
                          <w:pPr>
                            <w:tabs>
                              <w:tab w:val="left" w:pos="720"/>
                            </w:tabs>
                            <w:overflowPunct w:val="0"/>
                            <w:ind w:firstLine="567"/>
                            <w:jc w:val="both"/>
                            <w:textAlignment w:val="baseline"/>
                          </w:pPr>
                          <w:sdt>
                            <w:sdtPr>
                              <w:alias w:val="Numeris"/>
                              <w:tag w:val="nr_8946148b354240d586d9e8224eb3b59a"/>
                              <w:lock w:val="sdtLocked"/>
                              <w:richText/>
                            </w:sdtPr>
                            <w:sdtContent>
                              <w:r>
                                <w:rPr>
                                  <w:szCs w:val="24"/>
                                </w:rPr>
                                <w:t>15.3.4</w:t>
                              </w:r>
                            </w:sdtContent>
                          </w:sdt>
                          <w:r>
                            <w:rPr>
                              <w:szCs w:val="24"/>
                            </w:rPr>
                            <w:t>. būtų išklausę iki visuotinio narių susirinkimo rinkimų į vienasmenį ir (ar) kolegialų valdymo organą, arba įsipareigotų per 6 mėn. nuo išrinkimo į vienasmenį ir (ar) kolegialų VVG valdymo organą dienos išklausyti mokymo kursus, tiesiogiai susijusius su BIVP metodo taikymu (reikalavimas taikomas mažiausiai 1/3 kolegialaus VVG valdymo organo narių). Tinkamais pripažįstami mokymo kursai, kurių kodai yra 596131007, 596131008 ir 396131007;</w:t>
                          </w:r>
                          <w:r>
                            <w:t xml:space="preserve"> </w:t>
                          </w:r>
                        </w:p>
                        <w:p>
                          <w:pPr>
                            <w:tabs>
                              <w:tab w:val="left" w:pos="720"/>
                            </w:tabs>
                            <w:overflowPunct w:val="0"/>
                            <w:jc w:val="both"/>
                            <w:textAlignment w:val="baseline"/>
                            <w:rPr>
                              <w:i/>
                              <w:sz w:val="20"/>
                            </w:rPr>
                          </w:pPr>
                          <w:r>
                            <w:rPr>
                              <w:b/>
                              <w:i/>
                              <w:sz w:val="20"/>
                            </w:rPr>
                            <w:t>TAR pastaba.</w:t>
                          </w:r>
                          <w:r>
                            <w:rPr>
                              <w:i/>
                              <w:sz w:val="20"/>
                            </w:rPr>
                            <w:t xml:space="preserve"> 15.3.4 papunkčio nuostatos taikomos po 2021 m. birželio 11 d. įsakymo Nr. 3D-389 įsigaliojimo datos (2021-06-12) naujai renkamiems vienasmenio ir (ar) kolegialaus valdymo organams. Tuo atveju, jeigu iki vienasmenio ir (ar) kolegialaus organų rinkimų liko mažiau nei 30 kalendorinių dienų, reikalavimams įgyvendinti taikomas 6 mėnesių laikotarpis, skaičiuojant jį nuo faktinių rinkimų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5 pp."/>
                        <w:tag w:val="part_8422539073564605955e09e5c44ed92f"/>
                        <w:lock w:val="sdtLocked"/>
                        <w:richText/>
                      </w:sdtPr>
                      <w:sdtContent>
                        <w:p>
                          <w:pPr>
                            <w:tabs>
                              <w:tab w:val="left" w:pos="720"/>
                            </w:tabs>
                            <w:overflowPunct w:val="0"/>
                            <w:ind w:firstLine="567"/>
                            <w:jc w:val="both"/>
                            <w:textAlignment w:val="baseline"/>
                          </w:pPr>
                          <w:sdt>
                            <w:sdtPr>
                              <w:alias w:val="Numeris"/>
                              <w:tag w:val="nr_8422539073564605955e09e5c44ed92f"/>
                              <w:lock w:val="sdtLocked"/>
                              <w:richText/>
                            </w:sdtPr>
                            <w:sdtContent>
                              <w:r>
                                <w:rPr>
                                  <w:szCs w:val="24"/>
                                </w:rPr>
                                <w:t>15.3.5</w:t>
                              </w:r>
                            </w:sdtContent>
                          </w:sdt>
                          <w:r>
                            <w:rPr>
                              <w:szCs w:val="24"/>
                            </w:rPr>
                            <w:t>. būtų išklausę iki visuotinio narių susirinkimo rinkimų į vienasmenį ir (ar) kolegialų valdymo organą, arba įsipareigotų per 6 mėn. nuo išrinkimo į vienasmenį ir (ar) kolegialų VVG valdymo organą dienos išklausyti viešųjų ir privačių interesų derinimo ir deklaravimo bei korupcijos prevencijos kursus;</w:t>
                          </w:r>
                          <w:r>
                            <w:t xml:space="preserve"> </w:t>
                          </w:r>
                        </w:p>
                        <w:p>
                          <w:pPr>
                            <w:tabs>
                              <w:tab w:val="left" w:pos="720"/>
                            </w:tabs>
                            <w:overflowPunct w:val="0"/>
                            <w:jc w:val="both"/>
                            <w:textAlignment w:val="baseline"/>
                            <w:rPr>
                              <w:szCs w:val="24"/>
                            </w:rPr>
                          </w:pPr>
                          <w:r>
                            <w:rPr>
                              <w:b/>
                              <w:i/>
                              <w:sz w:val="20"/>
                            </w:rPr>
                            <w:t>TAR pastaba</w:t>
                          </w:r>
                          <w:r>
                            <w:rPr>
                              <w:i/>
                              <w:sz w:val="20"/>
                            </w:rPr>
                            <w:t>. 15.3.5 papunkčio nuostatos taikomos išrinktiems iki 2021 m. birželio 11 d. įsakymo Nr. 3D-389 įsigaliojimo datos (2021-06-12) ir veikiantiems vienasmeniams ir kolegialiems valdymo organams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Content>
                </w:sdt>
                <w:sdt>
                  <w:sdtPr>
                    <w:alias w:val="15.3-1 pp."/>
                    <w:tag w:val="part_b99def71ab9d4db5b9a7d1f1f896adab"/>
                    <w:lock w:val="sdtLocked"/>
                    <w:richText/>
                  </w:sdtPr>
                  <w:sdtContent>
                    <w:p>
                      <w:pPr>
                        <w:tabs>
                          <w:tab w:val="left" w:pos="851"/>
                        </w:tabs>
                        <w:overflowPunct w:val="0"/>
                        <w:ind w:firstLine="567"/>
                        <w:jc w:val="both"/>
                        <w:textAlignment w:val="baseline"/>
                        <w:rPr>
                          <w:szCs w:val="24"/>
                        </w:rPr>
                      </w:pPr>
                      <w:sdt>
                        <w:sdtPr>
                          <w:alias w:val="Numeris"/>
                          <w:tag w:val="nr_b99def71ab9d4db5b9a7d1f1f896adab"/>
                          <w:lock w:val="sdtLocked"/>
                          <w:richText/>
                        </w:sdtPr>
                        <w:sdtContent>
                          <w:r>
                            <w:t>15.3</w:t>
                          </w:r>
                          <w:r>
                            <w:rPr>
                              <w:vertAlign w:val="superscript"/>
                            </w:rPr>
                            <w:t>1</w:t>
                          </w:r>
                        </w:sdtContent>
                      </w:sdt>
                      <w:r>
                        <w:t xml:space="preserve">. keičiant kolegialaus valdymo organo sudėtį Lietuvos žemės ūkio ir kaimo plėtros 2023–2027 m. strateginio plano įgyvendinimo laikotarpiu, dvisektorėms ir kaimo vietovių VVG taikomos kolegialaus valdymo organo tinkamumo sąlygos ir įsipareigojimai (išskyrus įsipareigojimus, susijusius su Taisyklių 23 ir 24 punkte numatytais atrankos kriterijais), numatyti Vietos plėtros strategijų, įgyvendinamų bendruomenių inicijuotos vietos plėtros būdu, įgyvendinimo taisyklėse, patvirtintose Lietuvos Respublikos žemės ūkio ministro 2023 m. sausio 6 d. įsakymu Nr. 3D-4 „Dėl Vietos plėtros strategijų, įgyvendinamų bendruomenių inicijuotos vietos plėtros būdu, įgyvendinimo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e6e00b83311ed8df094f359a60216">
                        <w:r w:rsidRPr="00532B9F">
                          <w:rPr>
                            <w:rFonts w:ascii="Times New Roman" w:eastAsia="MS Mincho" w:hAnsi="Times New Roman"/>
                            <w:sz w:val="20"/>
                            <w:i/>
                            <w:iCs/>
                            <w:color w:val="0000FF" w:themeColor="hyperlink"/>
                            <w:u w:val="single"/>
                          </w:rPr>
                          <w:t>3D-117</w:t>
                        </w:r>
                      </w:fldSimple>
                      <w:r>
                        <w:rPr>
                          <w:rFonts w:ascii="Times New Roman" w:eastAsia="MS Mincho" w:hAnsi="Times New Roman"/>
                          <w:sz w:val="20"/>
                          <w:i/>
                          <w:iCs/>
                        </w:rPr>
                        <w:t>,
2023-03-01,
paskelbta TAR 2023-03-01, i. k. 2023-03756        </w:t>
                      </w:r>
                    </w:p>
                    <w:p/>
                  </w:sdtContent>
                </w:sdt>
                <w:sdt>
                  <w:sdtPr>
                    <w:alias w:val="15.4 p."/>
                    <w:tag w:val="part_fa5d1df5ffe84a82844264517d840489"/>
                    <w:lock w:val="sdtLocked"/>
                    <w:richText/>
                  </w:sdtPr>
                  <w:sdtContent>
                    <w:p>
                      <w:pPr>
                        <w:tabs>
                          <w:tab w:val="left" w:pos="720"/>
                        </w:tabs>
                        <w:overflowPunct w:val="0"/>
                        <w:ind w:firstLine="567"/>
                        <w:jc w:val="both"/>
                        <w:textAlignment w:val="baseline"/>
                        <w:rPr>
                          <w:szCs w:val="24"/>
                        </w:rPr>
                      </w:pPr>
                      <w:sdt>
                        <w:sdtPr>
                          <w:alias w:val="Numeris"/>
                          <w:tag w:val="nr_fa5d1df5ffe84a82844264517d840489"/>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ir VPS administravimo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10cb83adb5974aab92242dfac98bb0ac"/>
                <w:lock w:val="sdtLocked"/>
                <w:richText/>
              </w:sdtPr>
              <w:sdtContent>
                <w:p>
                  <w:pPr>
                    <w:ind w:firstLine="567"/>
                    <w:jc w:val="both"/>
                  </w:pPr>
                  <w:sdt>
                    <w:sdtPr>
                      <w:alias w:val="Numeris"/>
                      <w:tag w:val="nr_10cb83adb5974aab92242dfac98bb0ac"/>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sdtContent>
            </w:sdt>
            <w:sdt>
              <w:sdtPr>
                <w:alias w:val="22-1 p."/>
                <w:tag w:val="part_aac5c436cdaa4b429c33eb86df2c12a5"/>
                <w:lock w:val="sdtLocked"/>
                <w:richText/>
              </w:sdtPr>
              <w:sdtContent>
                <w:p>
                  <w:pPr>
                    <w:tabs>
                      <w:tab w:val="left" w:pos="720"/>
                    </w:tabs>
                    <w:overflowPunct w:val="0"/>
                    <w:ind w:firstLine="567"/>
                    <w:jc w:val="both"/>
                    <w:textAlignment w:val="baseline"/>
                    <w:rPr>
                      <w:kern w:val="28"/>
                      <w:szCs w:val="24"/>
                    </w:rPr>
                  </w:pPr>
                  <w:sdt>
                    <w:sdtPr>
                      <w:alias w:val="Numeris"/>
                      <w:tag w:val="nr_aac5c436cdaa4b429c33eb86df2c12a5"/>
                      <w:lock w:val="sdtLocked"/>
                      <w:richText/>
                    </w:sdtPr>
                    <w:sdtContent>
                      <w:r>
                        <w:rPr>
                          <w:szCs w:val="24"/>
                        </w:rPr>
                        <w:t>22</w:t>
                      </w:r>
                      <w:r>
                        <w:rPr>
                          <w:szCs w:val="24"/>
                          <w:vertAlign w:val="superscript"/>
                        </w:rPr>
                        <w:t>1</w:t>
                      </w:r>
                    </w:sdtContent>
                  </w:sdt>
                  <w:r>
                    <w:rPr>
                      <w:szCs w:val="24"/>
                    </w:rPr>
                    <w:t>. Pereinamuoju laikotarpiu EURI ir pereinamojo laikotarpio lėšomis gali būti papildyti visų VPS priemonių ir (ar) veiklos sričių biudžetai arba pasirinktos konkrečios VPS priemonės ir (ar) veiklos sritys, kurių įgyvendinimas pratęsiamas, nepažeidžiant EURI lėšų naudojimo ir VPS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a6c2a41e76e3474e88fd13cec990e08a"/>
                <w:lock w:val="sdtLocked"/>
                <w:richText/>
              </w:sdtPr>
              <w:sdtContent>
                <w:p>
                  <w:pPr>
                    <w:tabs>
                      <w:tab w:val="left" w:pos="567"/>
                    </w:tabs>
                    <w:ind w:firstLine="567"/>
                    <w:jc w:val="both"/>
                  </w:pPr>
                  <w:sdt>
                    <w:sdtPr>
                      <w:alias w:val="Numeris"/>
                      <w:tag w:val="nr_a6c2a41e76e3474e88fd13cec990e08a"/>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sdtContent>
            </w:sdt>
            <w:sdt>
              <w:sdtPr>
                <w:alias w:val="25-1 p."/>
                <w:tag w:val="part_2e9ec4211af34cf6858b2576d0442285"/>
                <w:lock w:val="sdtLocked"/>
                <w:richText/>
              </w:sdtPr>
              <w:sdtContent>
                <w:p>
                  <w:pPr>
                    <w:overflowPunct w:val="0"/>
                    <w:ind w:firstLine="567"/>
                    <w:jc w:val="both"/>
                    <w:textAlignment w:val="baseline"/>
                    <w:rPr>
                      <w:b/>
                      <w:szCs w:val="24"/>
                    </w:rPr>
                  </w:pPr>
                  <w:sdt>
                    <w:sdtPr>
                      <w:alias w:val="Numeris"/>
                      <w:tag w:val="nr_2e9ec4211af34cf6858b2576d0442285"/>
                      <w:lock w:val="sdtLocked"/>
                      <w:richText/>
                    </w:sdtPr>
                    <w:sdtContent>
                      <w:r>
                        <w:t>25</w:t>
                      </w:r>
                      <w:r>
                        <w:rPr>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r>
                    <w:rPr>
                      <w:b/>
                      <w:bCs/>
                      <w:szCs w:val="24"/>
                    </w:rPr>
                    <w:t xml:space="preserve"> </w:t>
                  </w:r>
                  <w:r>
                    <w:rPr>
                      <w:szCs w:val="24"/>
                    </w:rPr>
                    <w:t>Pereinamuoju laikotarpiu lėšos, skirtos sumanių kaimų bandomiesiems vietos projektams įgyvendinti, neįskaitomos į Taisyklių 23 ir 24 punktų pirmųjų kriterijaus procentų 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b6b50dce211ec8d9390588bf2de65">
                    <w:r w:rsidRPr="00532B9F">
                      <w:rPr>
                        <w:rFonts w:ascii="Times New Roman" w:eastAsia="MS Mincho" w:hAnsi="Times New Roman"/>
                        <w:sz w:val="20"/>
                        <w:i/>
                        <w:iCs/>
                        <w:color w:val="0000FF" w:themeColor="hyperlink"/>
                        <w:u w:val="single"/>
                      </w:rPr>
                      <w:t>3D-364</w:t>
                    </w:r>
                  </w:fldSimple>
                  <w:r>
                    <w:rPr>
                      <w:rFonts w:ascii="Times New Roman" w:eastAsia="MS Mincho" w:hAnsi="Times New Roman"/>
                      <w:sz w:val="20"/>
                      <w:i/>
                      <w:iCs/>
                    </w:rPr>
                    <w:t>,
2022-05-26,
paskelbta TAR 2022-05-26, i. k. 2022-11009            </w:t>
                  </w:r>
                </w:p>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4f7ab48768bf4fa58c5eca445531d63d"/>
                <w:lock w:val="sdtLocked"/>
                <w:richText/>
              </w:sdtPr>
              <w:sdtContent>
                <w:p>
                  <w:pPr>
                    <w:tabs>
                      <w:tab w:val="left" w:pos="567"/>
                    </w:tabs>
                    <w:overflowPunct w:val="0"/>
                    <w:ind w:firstLine="567"/>
                    <w:jc w:val="both"/>
                    <w:textAlignment w:val="baseline"/>
                  </w:pPr>
                  <w:sdt>
                    <w:sdtPr>
                      <w:alias w:val="Numeris"/>
                      <w:tag w:val="nr_4f7ab48768bf4fa58c5eca445531d63d"/>
                      <w:lock w:val="sdtLocked"/>
                      <w:richText/>
                    </w:sdtPr>
                    <w:sdtContent>
                      <w:r>
                        <w:rPr>
                          <w:szCs w:val="24"/>
                        </w:rPr>
                        <w:t>26</w:t>
                      </w:r>
                    </w:sdtContent>
                  </w:sdt>
                  <w:r>
                    <w:rPr>
                      <w:szCs w:val="24"/>
                    </w:rPr>
                    <w:t>. Paramos dydis kaimo vietovių VPS ir dvisektorei VPS įgyvendinti apskaičiuojamas vadovaujantis paramos VPS įgyvendinti bendruomenių inicijuotos vietos plėtros būdu skyrimo ir skaičiavimo metodikomis, patvirtintomis Lietuvos Respublikos</w:t>
                  </w:r>
                  <w:r>
                    <w:t xml:space="preserve"> </w:t>
                  </w:r>
                  <w:r>
                    <w:rPr>
                      <w:szCs w:val="24"/>
                    </w:rPr>
                    <w:t xml:space="preserve">žemės ūkio ministro 2015 m. rugpjūčio 20 d. įsakymu Nr. 3D-647 „Dėl Paramos vietos plėtros strategijoms įgyvendinti bendruomenių inicijuotos vietos plėtros būdu skyrimo ir skaičiavimo metodikų patvirtinimo“ (toliau – VPS lėšų metodikų patvirtinimo įsakymas).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6-1 p."/>
                <w:tag w:val="part_93ff524e5152484a8ed0dcc9ccb9826e"/>
                <w:lock w:val="sdtLocked"/>
                <w:richText/>
              </w:sdtPr>
              <w:sdtContent>
                <w:p>
                  <w:pPr>
                    <w:tabs>
                      <w:tab w:val="left" w:pos="720"/>
                    </w:tabs>
                    <w:overflowPunct w:val="0"/>
                    <w:ind w:firstLine="567"/>
                    <w:jc w:val="both"/>
                    <w:textAlignment w:val="baseline"/>
                    <w:rPr>
                      <w:szCs w:val="24"/>
                    </w:rPr>
                  </w:pPr>
                  <w:sdt>
                    <w:sdtPr>
                      <w:alias w:val="Numeris"/>
                      <w:tag w:val="nr_93ff524e5152484a8ed0dcc9ccb9826e"/>
                      <w:lock w:val="sdtLocked"/>
                      <w:richText/>
                    </w:sdtPr>
                    <w:sdtContent>
                      <w:r>
                        <w:rPr>
                          <w:szCs w:val="24"/>
                        </w:rPr>
                        <w:t>26</w:t>
                      </w:r>
                      <w:r>
                        <w:rPr>
                          <w:szCs w:val="24"/>
                          <w:vertAlign w:val="superscript"/>
                        </w:rPr>
                        <w:t>1</w:t>
                      </w:r>
                    </w:sdtContent>
                  </w:sdt>
                  <w:r>
                    <w:rPr>
                      <w:szCs w:val="24"/>
                    </w:rPr>
                    <w:t>. paramos dydis kaimo vietovių VPS ir dvisektorėms VPS kaimo vietovėse įgyvendinti apskaičiuojamas vadovaujantis VPS lėšų metodikų patvirtinimo įsakymo priede pateikta Paramos kaimo vietovių ir dvisektorėms vietos plėtros strategijoms įgyvendinti bendruomenių inicijuotos vietos plėtros būdu pereinamuoju laikotarpiu (2021 m. ir 2022 m.) skyrimo ir skaičiavimo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e525bc21dcb84cf9acf5435e43df8786"/>
                    <w:lock w:val="sdtLocked"/>
                    <w:richText/>
                  </w:sdtPr>
                  <w:sdtContent>
                    <w:p>
                      <w:pPr>
                        <w:tabs>
                          <w:tab w:val="left" w:pos="1134"/>
                        </w:tabs>
                        <w:overflowPunct w:val="0"/>
                        <w:ind w:firstLine="567"/>
                        <w:jc w:val="both"/>
                        <w:textAlignment w:val="baseline"/>
                        <w:rPr>
                          <w:szCs w:val="24"/>
                        </w:rPr>
                      </w:pPr>
                      <w:sdt>
                        <w:sdtPr>
                          <w:alias w:val="Numeris"/>
                          <w:tag w:val="nr_e525bc21dcb84cf9acf5435e43df8786"/>
                          <w:lock w:val="sdtLocked"/>
                          <w:richText/>
                        </w:sdtPr>
                        <w:sdtContent>
                          <w:r>
                            <w:rPr>
                              <w:szCs w:val="24"/>
                              <w:lang w:val="en-GB"/>
                            </w:rPr>
                            <w:t>80.2</w:t>
                          </w:r>
                        </w:sdtContent>
                      </w:sdt>
                      <w:r>
                        <w:rPr>
                          <w:szCs w:val="24"/>
                          <w:lang w:val="en-GB"/>
                        </w:rPr>
                        <w:t>.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valstybės registruose registruojamą turtą, kuriam įsigyti ar sukurti bus naudojamos VPS administravimui skirtos paramos lėšos (didžiausiu turto atkuriamosios vertės draudimu nuo visų galimų rizikos atvejų). Įvykus įvykiui, VVG įsipareigoja kuo greičiau, bet ne vėliau kaip per 10 darbo dienų, apie tai pranešti Agentūrai. Įvykus įvykiui, kurio metu būtų sunaikintas projekto lėšomis įsigytas ar sukurtas turtas, VVG įsipareigoja atkurti turtą ne mažesne negu atkuriamąja turto verte ir ne blogesnių techninių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05460bbe511ec8d9390588bf2de65">
                        <w:r w:rsidRPr="00532B9F">
                          <w:rPr>
                            <w:rFonts w:ascii="Times New Roman" w:eastAsia="MS Mincho" w:hAnsi="Times New Roman"/>
                            <w:sz w:val="20"/>
                            <w:i/>
                            <w:iCs/>
                            <w:color w:val="0000FF" w:themeColor="hyperlink"/>
                            <w:u w:val="single"/>
                          </w:rPr>
                          <w:t>3D-260</w:t>
                        </w:r>
                      </w:fldSimple>
                      <w:r>
                        <w:rPr>
                          <w:rFonts w:ascii="Times New Roman" w:eastAsia="MS Mincho" w:hAnsi="Times New Roman"/>
                          <w:sz w:val="20"/>
                          <w:i/>
                          <w:iCs/>
                        </w:rPr>
                        <w:t>,
2022-04-14,
paskelbta TAR 2022-04-14, i. k. 2022-07745            </w:t>
                      </w:r>
                    </w:p>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43e4abeb11eb8bc8b1cdd5d7f785">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2021-05-03,
paskelbta TAR 2021-05-03, i. k. 2021-09427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500c0caa011eba2bad9a0748ee64d">
            <w:r w:rsidRPr="00532B9F">
              <w:rPr>
                <w:rFonts w:ascii="Times New Roman" w:eastAsia="MS Mincho" w:hAnsi="Times New Roman"/>
                <w:sz w:val="20"/>
                <w:iCs/>
                <w:color w:val="0000FF" w:themeColor="hyperlink"/>
                <w:u w:val="single"/>
              </w:rPr>
              <w:t>3D-389</w:t>
            </w:r>
          </w:fldSimple>
          <w:r>
            <w:rPr>
              <w:rFonts w:ascii="Times New Roman" w:eastAsia="MS Mincho" w:hAnsi="Times New Roman"/>
              <w:sz w:val="20"/>
              <w:iCs/>
            </w:rPr>
            <w:t>,
2021-06-11,
paskelbta TAR 2021-06-11, i. k. 2021-13417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05460bbe511ec8d9390588bf2de65">
            <w:r w:rsidRPr="00532B9F">
              <w:rPr>
                <w:rFonts w:ascii="Times New Roman" w:eastAsia="MS Mincho" w:hAnsi="Times New Roman"/>
                <w:sz w:val="20"/>
                <w:iCs/>
                <w:color w:val="0000FF" w:themeColor="hyperlink"/>
                <w:u w:val="single"/>
              </w:rPr>
              <w:t>3D-260</w:t>
            </w:r>
          </w:fldSimple>
          <w:r>
            <w:rPr>
              <w:rFonts w:ascii="Times New Roman" w:eastAsia="MS Mincho" w:hAnsi="Times New Roman"/>
              <w:sz w:val="20"/>
              <w:iCs/>
            </w:rPr>
            <w:t>,
2022-04-14,
paskelbta TAR 2022-04-14, i. k. 2022-07745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b6b50dce211ec8d9390588bf2de65">
            <w:r w:rsidRPr="00532B9F">
              <w:rPr>
                <w:rFonts w:ascii="Times New Roman" w:eastAsia="MS Mincho" w:hAnsi="Times New Roman"/>
                <w:sz w:val="20"/>
                <w:iCs/>
                <w:color w:val="0000FF" w:themeColor="hyperlink"/>
                <w:u w:val="single"/>
              </w:rPr>
              <w:t>3D-364</w:t>
            </w:r>
          </w:fldSimple>
          <w:r>
            <w:rPr>
              <w:rFonts w:ascii="Times New Roman" w:eastAsia="MS Mincho" w:hAnsi="Times New Roman"/>
              <w:sz w:val="20"/>
              <w:iCs/>
            </w:rPr>
            <w:t>,
2022-05-26,
paskelbta TAR 2022-05-26, i. k. 2022-11009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8e6e00b83311ed8df094f359a60216">
            <w:r w:rsidRPr="00532B9F">
              <w:rPr>
                <w:rFonts w:ascii="Times New Roman" w:eastAsia="MS Mincho" w:hAnsi="Times New Roman"/>
                <w:sz w:val="20"/>
                <w:iCs/>
                <w:color w:val="0000FF" w:themeColor="hyperlink"/>
                <w:u w:val="single"/>
              </w:rPr>
              <w:t>3D-117</w:t>
            </w:r>
          </w:fldSimple>
          <w:r>
            <w:rPr>
              <w:rFonts w:ascii="Times New Roman" w:eastAsia="MS Mincho" w:hAnsi="Times New Roman"/>
              <w:sz w:val="20"/>
              <w:iCs/>
            </w:rPr>
            <w:t>,
2023-03-01,
paskelbta TAR 2023-03-01, i. k. 2023-03756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788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9"/>
    <o:shapelayout v:ext="edit">
      <o:idmap v:ext="edit" data="1"/>
    </o:shapelayout>
  </w:shapeDefaults>
  <w:decimalSymbol w:val=","/>
  <w:listSeparator w:val=";"/>
  <w14:docId w14:val="474E1DF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0.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787268df4eea45ae984690ac9957b80f">
    <Part Type="preambule" DocPartId="af42e7d89ace42059efe92e1b9a29b06" PartId="336a757bd5ed41b583253515b9380264"/>
    <Part Type="pastraipa" DocPartId="6f5761f1eb824bc48b5d46692f448920" PartId="dbc5cfbc37b84f8ab0872e7c6519b432"/>
    <Part Type="signatura" DocPartId="2a537c2818ab48f5890ced98e7d77c96" PartId="86a02715861944e2ab393cf281a4f942"/>
  </Part>
  <Part Type="patvirtinta" Title="VIETOS PLĖTROS STRATEGIJŲ, ĮGYVENDINAMŲ BENDRUOMENIŲ INICIJUOTOS VIETOS PLĖTROS BŪDU, ATRANKOS TAISYKLĖS" DocPartId="f744acb63f7947c8b89e9642517dcb30" PartId="35e3529953ec408589ca9af1bfcf2546">
    <Part Type="skyrius" Nr="1" Title="BENDROSIOS NUOSTATOS" DocPartId="c01518aded364af09cb1a4ad1f50b1f3" PartId="4dcb8a3e1eb74a48b468287933e500c9">
      <Part Type="punktas" Nr="1" Abbr="1 p." DocPartId="415278aaf1884cf092225080c0af3bb2" PartId="c785f5b0d28c4c54872572d881b32f3f"/>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apunktis" Nr="3.4-1" Abbr="3.4-1 pp." DocPartId="a90eea2dace24106a4579383c0575000" PartId="2685ac547db547759c2271b78d76b554"/>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ebdc438bc1e94ce1b13615ca2ea61683"/>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6907ea9d37c54972a8fefa916db218c8"/>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f1a544d46af4bc1830f0b3156065376"/>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862b9bf548a04d0f8f4cd0a2370eb2a6"/>
          <Part Type="punktas" Nr="15.2.2" Abbr="15.2.2 p." DocPartId="cb8f0f01e3ef4e848875ef151aea3e57" PartId="22e31c399327454bb36f144bc7cafab5"/>
          <Part Type="punktas" Nr="15.2.3" Abbr="15.2.3 p." DocPartId="c4cb08dcfd434a51aa40ee7a7f53c48b" PartId="e790510b5dd74aa89490cbbf787f7d9d"/>
          <Part Type="punktas" Nr="15.2.4" Abbr="15.2.4 p." DocPartId="000299bebbf14538b6ee07f781f916ac" PartId="de13aebdd8f148ea9dc17b1ab6b7cbb6"/>
        </Part>
        <Part Type="papunktis" Nr="15.2-1" Abbr="15.2-1 pp." DocPartId="d7b2a8c805784ea29619da7bd2253922" PartId="cf0a50dd68ff467f98ae5a4c4a329c3d"/>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b55cebcb72694ec386969e07406bbdf8"/>
          <Part Type="punktas" Nr="15.3.4" Abbr="15.3.4 p." DocPartId="5b056fd6a4764ac68840157e2778b166" PartId="8946148b354240d586d9e8224eb3b59a"/>
          <Part Type="papunktis" Nr="15.3.5" Abbr="15.3.5 pp." DocPartId="7e462e35deaa4cbb8aace5081d00a64a" PartId="8422539073564605955e09e5c44ed92f"/>
        </Part>
        <Part Type="papunktis" Nr="15.3-1" Abbr="15.3-1 pp." DocPartId="4de03b1835fb4d96939584b8bd75f707" PartId="b99def71ab9d4db5b9a7d1f1f896adab"/>
        <Part Type="punktas" Nr="15.4" Abbr="15.4 p." DocPartId="b96f45851fad49d38a2d5a872c74923f" PartId="fa5d1df5ffe84a82844264517d840489"/>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10cb83adb5974aab92242dfac98bb0ac"/>
      <Part Type="punktas" Nr="22-1" Abbr="22-1 p." DocPartId="0fcd4e6be1a741f0ab50dc8ce2de0fae" PartId="aac5c436cdaa4b429c33eb86df2c12a5"/>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a6c2a41e76e3474e88fd13cec990e08a"/>
      <Part Type="punktas" Nr="25-1" Abbr="25-1 p." DocPartId="770b6849e09d4687ab211d2749800dbc" PartId="2e9ec4211af34cf6858b2576d0442285"/>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4f7ab48768bf4fa58c5eca445531d63d"/>
      <Part Type="punktas" Nr="26-1" Abbr="26-1 p." DocPartId="e3f5c0de70894c9f8bfc841ac8627ae4" PartId="93ff524e5152484a8ed0dcc9ccb9826e"/>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e525bc21dcb84cf9acf5435e43df8786"/>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1145903C-2FE8-4161-89F1-786A44C4D28E}">
  <ds:schemaRefs>
    <ds:schemaRef ds:uri="http://lrs.lt/TAIS/DocParts"/>
  </ds:schemaRefs>
</ds:datastoreItem>
</file>

<file path=docProps/app.xml><?xml version="1.0" encoding="utf-8"?>
<Properties xmlns="http://schemas.openxmlformats.org/officeDocument/2006/extended-properties">
  <Template>Normal.dotm</Template>
  <TotalTime>0</TotalTime>
  <Pages>31</Pages>
  <Words>14468</Words>
  <Characters>98512</Characters>
  <Application>Microsoft Office Word</Application>
  <DocSecurity>0</DocSecurity>
  <Lines>820</Lines>
  <Paragraphs>225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112755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2023-03-03T07:56:00Z</dcterms:modified>
  <revision>1</revision>
</coreProperties>
</file>