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aae13423bc94c33895638db10464d36"/>
        <w:lock w:val="sdtLocked"/>
        <w:richText/>
      </w:sdtPr>
      <w:sdtContent>
        <w:p>
          <w:pPr>
            <w:jc w:val="both"/>
            <w:rPr>
              <w:rFonts w:ascii="Times New Roman" w:hAnsi="Times New Roman"/>
            </w:rPr>
          </w:pPr>
          <w:r>
            <w:rPr>
              <w:rFonts w:ascii="Times New Roman" w:hAnsi="Times New Roman"/>
              <w:b/>
              <w:i/>
            </w:rPr>
            <w:t>Suvestinė redakcija nuo 2016-06-11 iki 2016-06-30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tabs>
              <w:tab w:val="center" w:pos="4153"/>
              <w:tab w:val="right" w:pos="8306"/>
            </w:tabs>
            <w:overflowPunct w:val="0"/>
            <w:jc w:val="center"/>
            <w:textAlignment w:val="baseline"/>
            <w:rPr>
              <w:b/>
              <w:sz w:val="28"/>
              <w:szCs w:val="28"/>
            </w:rPr>
          </w:pPr>
          <w:r>
            <w:rPr>
              <w:b/>
              <w:sz w:val="28"/>
              <w:szCs w:val="28"/>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b/>
              <w:sz w:val="28"/>
              <w:szCs w:val="28"/>
            </w:rPr>
          </w:pPr>
          <w:r>
            <w:rPr>
              <w:b/>
              <w:sz w:val="28"/>
              <w:szCs w:val="28"/>
            </w:rPr>
            <w:t>LIETUVOS RESPUBLIKOS ŽEMĖS ŪKIO</w:t>
          </w:r>
        </w:p>
        <w:p>
          <w:pPr>
            <w:overflowPunct w:val="0"/>
            <w:jc w:val="center"/>
            <w:textAlignment w:val="baseline"/>
            <w:rPr>
              <w:b/>
              <w:sz w:val="28"/>
              <w:szCs w:val="28"/>
            </w:rPr>
          </w:pPr>
          <w:r>
            <w:rPr>
              <w:b/>
              <w:sz w:val="28"/>
              <w:szCs w:val="28"/>
            </w:rPr>
            <w:t>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rPr>
          </w:pPr>
          <w:r>
            <w:rPr>
              <w:b/>
              <w:szCs w:val="24"/>
            </w:rPr>
            <w:t>DĖL VIETOS PLĖTROS STRATEGIJŲ, ĮGYVENDINAMŲ BENDRUOMENIŲ INICIJUOTOS VIETOS PLĖTROS BŪDU, ATRANKOS TAISYKLIŲ PATVIRTINIMO</w:t>
          </w:r>
        </w:p>
        <w:p>
          <w:pPr>
            <w:overflowPunct w:val="0"/>
            <w:jc w:val="center"/>
            <w:textAlignment w:val="baseline"/>
          </w:pPr>
        </w:p>
        <w:p>
          <w:pPr>
            <w:overflowPunct w:val="0"/>
            <w:jc w:val="center"/>
            <w:textAlignment w:val="baseline"/>
          </w:pPr>
          <w:r>
            <w:t>2015 m. gegužės 4 d. Nr. 3D-343</w:t>
          </w:r>
        </w:p>
        <w:p>
          <w:pPr>
            <w:overflowPunct w:val="0"/>
            <w:jc w:val="center"/>
            <w:textAlignment w:val="baseline"/>
          </w:pPr>
          <w:r>
            <w:t>Vilnius</w:t>
          </w:r>
        </w:p>
        <w:p>
          <w:pPr>
            <w:overflowPunct w:val="0"/>
            <w:jc w:val="center"/>
            <w:textAlignment w:val="baseline"/>
          </w:pPr>
        </w:p>
        <w:p>
          <w:pPr>
            <w:overflowPunct w:val="0"/>
            <w:jc w:val="center"/>
            <w:textAlignment w:val="baseline"/>
          </w:pPr>
        </w:p>
        <w:sdt>
          <w:sdtPr>
            <w:alias w:val="preambule"/>
            <w:tag w:val="part_cdc99731149543bb892caa3d5ed56e2a"/>
            <w:lock w:val="sdtLocked"/>
            <w:richText/>
          </w:sdtPr>
          <w:sdtContent>
            <w:p>
              <w:pPr>
                <w:overflowPunct w:val="0"/>
                <w:ind w:firstLine="567"/>
                <w:jc w:val="both"/>
                <w:textAlignment w:val="baseline"/>
                <w:rPr>
                  <w:szCs w:val="24"/>
                </w:rPr>
              </w:pPr>
              <w:r>
                <w:rPr>
                  <w:szCs w:val="24"/>
                </w:rPr>
                <w:t>Vadovaudamasi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2013 m. gruodžio 17 d. Europos Parlamento ir Tarybos reglamentu (ES) Nr. 1305/2013 dėl paramos kaimo plėtrai, teikiamos Europos žemės ūkio fondo kaimo plėtrai (EŽŪFKP) lėšomis, kuriuo panaikinamas Tarybos reglamentas (EB) Nr. 1698/2005 (OL 2013 L 347, p. 487),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24bc26798a6d4834b667e8d1ba6984a8"/>
            <w:lock w:val="sdtLocked"/>
            <w:richText/>
          </w:sdtPr>
          <w:sdtContent>
            <w:p>
              <w:pPr>
                <w:tabs>
                  <w:tab w:val="left" w:pos="993"/>
                </w:tabs>
                <w:ind w:firstLine="567"/>
                <w:jc w:val="both"/>
              </w:pPr>
              <w:r>
                <w:rPr>
                  <w:szCs w:val="24"/>
                  <w:lang w:eastAsia="lt-LT"/>
                </w:rPr>
                <w:t xml:space="preserve">t v i r t i n u Vietos plėtros strategijų, įgyvendinamų bendruomenių inicijuotos vietos plėtros būdu, </w:t>
              </w:r>
              <w:r>
                <w:rPr>
                  <w:bCs/>
                  <w:szCs w:val="24"/>
                  <w:lang w:eastAsia="lt-LT"/>
                </w:rPr>
                <w:t>atrankos</w:t>
              </w:r>
              <w:r>
                <w:rPr>
                  <w:szCs w:val="24"/>
                  <w:lang w:eastAsia="lt-LT"/>
                </w:rPr>
                <w:t xml:space="preserve"> taisyklės (pridedama). </w:t>
              </w:r>
            </w:p>
          </w:sdtContent>
        </w:sdt>
        <w:sdt>
          <w:sdtPr>
            <w:alias w:val="signatura"/>
            <w:tag w:val="part_480bed3fa3694502bd512d8120aaf8d5"/>
            <w:lock w:val="sdtLocked"/>
            <w:richText/>
          </w:sdtPr>
          <w:sdtContent>
            <w:p/>
            <w:p/>
            <w:p/>
            <w:p>
              <w:r>
                <w:rPr>
                  <w:szCs w:val="24"/>
                  <w:lang w:eastAsia="lt-LT"/>
                </w:rPr>
                <w:t>Žemės ūkio ministrė</w:t>
                <w:tab/>
                <w:tab/>
                <w:tab/>
                <w:tab/>
                <w:tab/>
                <w:tab/>
                <w:tab/>
                <w:tab/>
                <w:t xml:space="preserve">     Virginija Baltraitienė</w:t>
              </w:r>
            </w:p>
          </w:sdtContent>
        </w:sdt>
      </w:sdtContent>
    </w:sdt>
    <w:sdt>
      <w:sdtPr>
        <w:alias w:val="patvirtinta"/>
        <w:tag w:val="part_e59269a3996c4b3f8318327ed99e2973"/>
        <w:lock w:val="sdtLocked"/>
        <w:richText/>
      </w:sdtPr>
      <w:sdtContent>
        <w:p>
          <w:pPr>
            <w:jc w:val="both"/>
          </w:pPr>
          <w:r>
            <w:br w:type="page"/>
          </w: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e59269a3996c4b3f8318327ed99e2973"/>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f74a7bd31e7e4e1a807279d0c90bc9d4"/>
                <w:lock w:val="sdtLocked"/>
                <w:richText/>
              </w:sdtPr>
              <w:sdtContent>
                <w:p>
                  <w:pPr>
                    <w:tabs>
                      <w:tab w:val="left" w:pos="540"/>
                      <w:tab w:val="left" w:pos="3600"/>
                    </w:tabs>
                    <w:ind w:firstLine="540"/>
                    <w:jc w:val="both"/>
                    <w:rPr>
                      <w:szCs w:val="24"/>
                    </w:rPr>
                  </w:pPr>
                  <w:sdt>
                    <w:sdtPr>
                      <w:alias w:val="Numeris"/>
                      <w:tag w:val="nr_f74a7bd31e7e4e1a807279d0c90bc9d4"/>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(OL 2013 L 347, p. 320) (toliau – Reglamentas (ES) Nr. 1303/2013), 2013 m. gruodžio 17 d. Europos Parlamento ir Tarybos reglamentu (ES) Nr. 1305/2013 dėl paramos kaimo plėtrai, teikiamos Europos žemės ūkio fondo kaimo plėtrai (EŽŪFKP) lėšomis, kuriuo panaikinamas Tarybos reglamentas (EB) Nr. 1698/2005 (OL 2013 L 347, p. 487)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(OL 2014 L 149, p. 1) (toliau – Reglamentas (ES) Nr. 508/2014), 2014 m. liepos 17 d. Komisijos reglamentu (ES) Nr. 808/2014, nustatančiu Europos Parlamento ir Tarybos reglamento (ES) Nr. 1305/2013 dėl paramos kaimo plėtrai, teikiamos Europos žemės ūkio fondo kaimo plėtrai (EŽŪFKP) lėšomis, taikymo taisykles (OL 2014 L227, p. 18),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81139e1adc07453087bcf518a1fb2c47"/>
                    <w:lock w:val="sdtLocked"/>
                    <w:richText/>
                  </w:sdtPr>
                  <w:sdtContent>
                    <w:p>
                      <w:pPr>
                        <w:tabs>
                          <w:tab w:val="left" w:pos="567"/>
                        </w:tabs>
                        <w:ind w:firstLine="567"/>
                        <w:jc w:val="both"/>
                        <w:rPr>
                          <w:szCs w:val="24"/>
                        </w:rPr>
                      </w:pPr>
                      <w:sdt>
                        <w:sdtPr>
                          <w:alias w:val="Numeris"/>
                          <w:tag w:val="nr_81139e1adc07453087bcf518a1fb2c47"/>
                          <w:lock w:val="sdtLocked"/>
                          <w:richText/>
                        </w:sdtPr>
                        <w:sdtContent>
                          <w:r>
                            <w:rPr>
                              <w:bCs/>
                              <w:szCs w:val="24"/>
                            </w:rPr>
                            <w:t>4.2</w:t>
                          </w:r>
                        </w:sdtContent>
                      </w:sdt>
                      <w:r>
                        <w:rPr>
                          <w:bCs/>
                          <w:szCs w:val="24"/>
                        </w:rPr>
                        <w:t>.</w:t>
                      </w:r>
                      <w:r>
                        <w:rPr>
                          <w:b/>
                          <w:bCs/>
                          <w:szCs w:val="24"/>
                        </w:rPr>
                        <w:t xml:space="preserve"> bendruomeninė organizacija</w:t>
                      </w:r>
                      <w:r>
                        <w:rPr>
                          <w:szCs w:val="24"/>
                        </w:rPr>
                        <w:t xml:space="preserve"> – asociacija, kurios steigėjai ir nariai yra tam tikros vietovės (jos dalies arba kelių vietovių) gyventojai (jų atstovai) ir kurios paskirtis – per inicijuotus projektus įgyvendinti viešuosius interesus, susijusius su gyvenimu kaimynystėje;</w:t>
                      </w:r>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53151ee4d0e344dcb95544927b8088dd"/>
                    <w:lock w:val="sdtLocked"/>
                    <w:richText/>
                  </w:sdtPr>
                  <w:sdtContent>
                    <w:p>
                      <w:pPr>
                        <w:tabs>
                          <w:tab w:val="left" w:pos="567"/>
                        </w:tabs>
                        <w:ind w:firstLine="567"/>
                        <w:jc w:val="both"/>
                        <w:rPr>
                          <w:szCs w:val="24"/>
                        </w:rPr>
                      </w:pPr>
                      <w:sdt>
                        <w:sdtPr>
                          <w:alias w:val="Numeris"/>
                          <w:tag w:val="nr_53151ee4d0e344dcb95544927b8088dd"/>
                          <w:lock w:val="sdtLocked"/>
                          <w:richText/>
                        </w:sdtPr>
                        <w:sdtContent>
                          <w:r>
                            <w:rPr>
                              <w:szCs w:val="24"/>
                            </w:rPr>
                            <w:t>4.24</w:t>
                          </w:r>
                        </w:sdtContent>
                      </w:sdt>
                      <w:r>
                        <w:rPr>
                          <w:szCs w:val="24"/>
                        </w:rPr>
                        <w:t>.</w:t>
                      </w:r>
                      <w:r>
                        <w:rPr>
                          <w:b/>
                          <w:szCs w:val="24"/>
                        </w:rPr>
                        <w:t xml:space="preserve"> vietos valdžios atstovas </w:t>
                      </w:r>
                      <w:r>
                        <w:rPr>
                          <w:szCs w:val="24"/>
                        </w:rPr>
                        <w:t>– VVG teritorijoje veikiančios savivaldybės, kuri yra VVG narė, meras ir (arba) mero ar tarybos paskirtas asmuo, kurių dalyvavimo kolegialaus VVG valdymo organo veikloje tikslas – atstovauti vietos valdžios interesams;</w:t>
                      </w:r>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7a02c0b084674595921d60ead1e25a91"/>
                        <w:lock w:val="sdtLocked"/>
                        <w:richText/>
                      </w:sdtPr>
                      <w:sdtContent>
                        <w:p>
                          <w:pPr>
                            <w:ind w:firstLine="567"/>
                            <w:jc w:val="both"/>
                            <w:rPr>
                              <w:szCs w:val="24"/>
                            </w:rPr>
                          </w:pPr>
                          <w:sdt>
                            <w:sdtPr>
                              <w:alias w:val="Numeris"/>
                              <w:tag w:val="nr_7a02c0b084674595921d60ead1e25a91"/>
                              <w:lock w:val="sdtLocked"/>
                              <w:richText/>
                            </w:sdtPr>
                            <w:sdtContent>
                              <w:r>
                                <w:rPr>
                                  <w:szCs w:val="24"/>
                                </w:rPr>
                                <w:t>12.4.3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1cb870c015b4e1dba35a447fd1534fe"/>
                        <w:lock w:val="sdtLocked"/>
                        <w:richText/>
                      </w:sdtPr>
                      <w:sdtContent>
                        <w:p>
                          <w:pPr>
                            <w:ind w:firstLine="567"/>
                            <w:jc w:val="both"/>
                            <w:rPr>
                              <w:szCs w:val="24"/>
                            </w:rPr>
                          </w:pPr>
                          <w:sdt>
                            <w:sdtPr>
                              <w:alias w:val="Numeris"/>
                              <w:tag w:val="nr_11cb870c015b4e1dba35a447fd1534fe"/>
                              <w:lock w:val="sdtLocked"/>
                              <w:richText/>
                            </w:sdtPr>
                            <w:sdtContent>
                              <w:r>
                                <w:rPr>
                                  <w:szCs w:val="24"/>
                                </w:rPr>
                                <w:t>13.4.3</w:t>
                              </w:r>
                            </w:sdtContent>
                          </w:sdt>
                          <w:r>
                            <w:rPr>
                              <w:szCs w:val="24"/>
                            </w:rPr>
                            <w:t>. vietos valdžiai (savivaldybei) – iki 30 proc. narių. Savivaldybės įsteigti savarankiški juridiniai asmenys kolegialiame VVG valdymo organe gali atstovauti vietos valdžios interesams, kai juos paskiria savivaldybės meras arba taryba;</w:t>
                          </w:r>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a058f62b08d34a5c82a52be366d7efad"/>
                        <w:lock w:val="sdtLocked"/>
                        <w:richText/>
                      </w:sdtPr>
                      <w:sdtContent>
                        <w:p>
                          <w:pPr>
                            <w:ind w:firstLine="567"/>
                            <w:jc w:val="both"/>
                            <w:rPr>
                              <w:szCs w:val="24"/>
                            </w:rPr>
                          </w:pPr>
                          <w:sdt>
                            <w:sdtPr>
                              <w:alias w:val="Numeris"/>
                              <w:tag w:val="nr_a058f62b08d34a5c82a52be366d7efad"/>
                              <w:lock w:val="sdtLocked"/>
                              <w:richText/>
                            </w:sdtPr>
                            <w:sdtContent>
                              <w:r>
                                <w:rPr>
                                  <w:szCs w:val="24"/>
                                </w:rPr>
                                <w:t>15.2.1</w:t>
                              </w:r>
                            </w:sdtContent>
                          </w:sdt>
                          <w:r>
                            <w:rPr>
                              <w:szCs w:val="24"/>
                            </w:rPr>
                            <w:t>. VPS administravimo vadovui – turėti aukštąjį išsilavinimą ir ne mažesnę nei 3 m. darbo patirtį projektų valdymo srityje; arba turėti ne mažesnę negu 5 m. darbo patirtį VPS administravimo ir įgyvendinimo srityje;</w:t>
                          </w:r>
                        </w:p>
                      </w:sdtContent>
                    </w:sdt>
                    <w:sdt>
                      <w:sdtPr>
                        <w:alias w:val="15.2.2 p."/>
                        <w:tag w:val="part_0be8f1b071ce44108176e9dd4129ceb6"/>
                        <w:lock w:val="sdtLocked"/>
                        <w:richText/>
                      </w:sdtPr>
                      <w:sdtContent>
                        <w:p>
                          <w:pPr>
                            <w:ind w:firstLine="567"/>
                            <w:jc w:val="both"/>
                            <w:rPr>
                              <w:szCs w:val="24"/>
                            </w:rPr>
                          </w:pPr>
                          <w:sdt>
                            <w:sdtPr>
                              <w:alias w:val="Numeris"/>
                              <w:tag w:val="nr_0be8f1b071ce44108176e9dd4129ceb6"/>
                              <w:lock w:val="sdtLocked"/>
                              <w:richText/>
                            </w:sdtPr>
                            <w:sdtContent>
                              <w:r>
                                <w:rPr>
                                  <w:szCs w:val="24"/>
                                </w:rPr>
                                <w:t>15.2.2</w:t>
                              </w:r>
                            </w:sdtContent>
                          </w:sdt>
                          <w:r>
                            <w:rPr>
                              <w:szCs w:val="24"/>
                            </w:rPr>
                            <w:t>. VPS buhalterinės apskaitos specialistui ir (arba) finansininkui – turėti aukštąjį išsilavinimą buhalterinės apskaitos tvarkymo srityje ir ne mažesnę nei 2 m. darbo patirtį buhalterinės apskaitos tvarkymo ir (arba) finansų valdymo srityje; arba turėti ne mažesnę negu 2 m. darbo patirtį buhalterinės apskaitos tvarkymo ir (arba) finansų valdymo srityje įgyvendinant VPS;</w:t>
                          </w:r>
                        </w:p>
                      </w:sdtContent>
                    </w:sdt>
                    <w:sdt>
                      <w:sdtPr>
                        <w:alias w:val="15.2.3 p."/>
                        <w:tag w:val="part_1e8f4538679e4a728c0188a03dbd970c"/>
                        <w:lock w:val="sdtLocked"/>
                        <w:richText/>
                      </w:sdtPr>
                      <w:sdtContent>
                        <w:p>
                          <w:pPr>
                            <w:ind w:firstLine="567"/>
                            <w:jc w:val="both"/>
                            <w:rPr>
                              <w:szCs w:val="24"/>
                            </w:rPr>
                          </w:pPr>
                          <w:sdt>
                            <w:sdtPr>
                              <w:alias w:val="Numeris"/>
                              <w:tag w:val="nr_1e8f4538679e4a728c0188a03dbd970c"/>
                              <w:lock w:val="sdtLocked"/>
                              <w:richText/>
                            </w:sdtPr>
                            <w:sdtContent>
                              <w:r>
                                <w:rPr>
                                  <w:szCs w:val="24"/>
                                </w:rPr>
                                <w:t>15.2.3</w:t>
                              </w:r>
                            </w:sdtContent>
                          </w:sdt>
                          <w:r>
                            <w:rPr>
                              <w:szCs w:val="24"/>
                            </w:rPr>
                            <w:t>.</w:t>
                          </w:r>
                          <w:r>
                            <w:rPr>
                              <w:b/>
                              <w:szCs w:val="24"/>
                            </w:rPr>
                            <w:t xml:space="preserve"> </w:t>
                          </w:r>
                          <w:r>
                            <w:rPr>
                              <w:szCs w:val="24"/>
                            </w:rPr>
                            <w:t>VPS administratoriui – turėti aukštąjį išsilavinimą ir ne mažesnę negu 1 m. darbo patirtį projektų valdymo srityje; arba turėti ne mažesnę negu 2 m. darbo patirtį VPS administravimo ir įgyvendinimo srityje;</w:t>
                          </w:r>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7d3f3b107dd840de8e32d57a1ab3dd1b"/>
                        <w:lock w:val="sdtLocked"/>
                        <w:richText/>
                      </w:sdtPr>
                      <w:sdtContent>
                        <w:p>
                          <w:pPr>
                            <w:ind w:firstLine="567"/>
                            <w:jc w:val="both"/>
                            <w:rPr>
                              <w:szCs w:val="24"/>
                            </w:rPr>
                          </w:pPr>
                          <w:sdt>
                            <w:sdtPr>
                              <w:alias w:val="Numeris"/>
                              <w:tag w:val="nr_7d3f3b107dd840de8e32d57a1ab3dd1b"/>
                              <w:lock w:val="sdtLocked"/>
                              <w:richText/>
                            </w:sdtPr>
                            <w:sdtContent>
                              <w:r>
                                <w:rPr>
                                  <w:szCs w:val="24"/>
                                </w:rPr>
                                <w:t>15.3.3</w:t>
                              </w:r>
                            </w:sdtContent>
                          </w:sdt>
                          <w:r>
                            <w:rPr>
                              <w:szCs w:val="24"/>
                            </w:rPr>
                            <w:t>. užtikrintų tinkamą viešųjų ir privačių interesų derinimą, t. y. Lietuvos Respublikos viešųjų ir privačių interesų derinimo valstybės tarnyboje įstatymo nustatyta tvarka deklaruotų privačius interesus ir sutiktų teikti minėtas deklaracijas bei jų pakeitimus VVG ir Agentūrai. Savivaldybės meras, tarybos nariai, savivaldybės administracijos direktorius, savivaldybės administracijos struktūrinių padalinių vadovai, kiti asmenys, savivaldybėje dirbantys politinio (asmeninio) pasitikėjimo pagrindais, taip pat savivaldybei atskaitingų įstaigų, įmonių ar kitų juridinių asmenų 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w:t>
                          </w:r>
                        </w:p>
                      </w:sdtContent>
                    </w:sdt>
                    <w:sdt>
                      <w:sdtPr>
                        <w:alias w:val="15.3.4 p."/>
                        <w:tag w:val="part_9e1c5e7f0a1742c1873a18aac2941839"/>
                        <w:lock w:val="sdtLocked"/>
                        <w:richText/>
                      </w:sdtPr>
                      <w:sdtContent>
                        <w:p>
                          <w:pPr>
                            <w:ind w:firstLine="567"/>
                            <w:jc w:val="both"/>
                            <w:rPr>
                              <w:szCs w:val="24"/>
                            </w:rPr>
                          </w:pPr>
                          <w:sdt>
                            <w:sdtPr>
                              <w:alias w:val="Numeris"/>
                              <w:tag w:val="nr_9e1c5e7f0a1742c1873a18aac2941839"/>
                              <w:lock w:val="sdtLocked"/>
                              <w:richText/>
                            </w:sdtPr>
                            <w:sdtContent>
                              <w:r>
                                <w:rPr>
                                  <w:szCs w:val="24"/>
                                </w:rPr>
                                <w:t>15.3.4</w:t>
                              </w:r>
                            </w:sdtContent>
                          </w:sdt>
                          <w:r>
                            <w:rPr>
                              <w:szCs w:val="24"/>
                            </w:rPr>
                            <w:t>. būtų išklausę arba įsipareigotų per 6 mėn. nuo išrinkimo į kolegialų VVG valdymo organą dienos išklausyti mokymo kursus, tiesiogiai susijusius su BIVP</w:t>
                          </w:r>
                          <w:r>
                            <w:rPr>
                              <w:i/>
                              <w:szCs w:val="24"/>
                            </w:rPr>
                            <w:t xml:space="preserve"> </w:t>
                          </w:r>
                          <w:r>
                            <w:rPr>
                              <w:szCs w:val="24"/>
                            </w:rPr>
                            <w:t>metodo taikymu (reikalavimas taikomas mažiausiai 1/3 kolegialaus VVG valdymo organo narių). Tinkamais pripažįstami mokymo kursai, kurių kodai yra 596131007, 596131008 ir 396131007;</w:t>
                          </w:r>
                        </w:p>
                      </w:sdtContent>
                    </w:sdt>
                  </w:sdtContent>
                </w:sdt>
                <w:sdt>
                  <w:sdtPr>
                    <w:alias w:val="15.4 p."/>
                    <w:tag w:val="part_2046999489fc4d4995a2fa546bffb008"/>
                    <w:lock w:val="sdtLocked"/>
                    <w:richText/>
                  </w:sdtPr>
                  <w:sdtContent>
                    <w:p>
                      <w:pPr>
                        <w:ind w:firstLine="567"/>
                        <w:jc w:val="both"/>
                        <w:rPr>
                          <w:szCs w:val="24"/>
                        </w:rPr>
                      </w:pPr>
                      <w:sdt>
                        <w:sdtPr>
                          <w:alias w:val="Numeris"/>
                          <w:tag w:val="nr_2046999489fc4d4995a2fa546bffb008"/>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w:t>
                      </w:r>
                      <w:r>
                        <w:rPr>
                          <w:bCs/>
                          <w:szCs w:val="24"/>
                        </w:rPr>
                        <w:t>Dėl suteiktos paramos pagal Lietuvos kaimo plėtros 2014–2020 metų programą viešinimo taisyklių patvirtinimo“ ir VPS administravimo ir (arba) įgyvendinimo taisykles</w:t>
                      </w:r>
                      <w:r>
                        <w:rPr>
                          <w:szCs w:val="24"/>
                        </w:rPr>
                        <w:t>;</w:t>
                      </w:r>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2d18cf745b7e424080f9ad4cc2863caa"/>
                <w:lock w:val="sdtLocked"/>
                <w:richText/>
              </w:sdtPr>
              <w:sdtContent>
                <w:p>
                  <w:pPr>
                    <w:ind w:firstLine="567"/>
                    <w:jc w:val="both"/>
                    <w:rPr>
                      <w:kern w:val="28"/>
                      <w:szCs w:val="24"/>
                    </w:rPr>
                  </w:pPr>
                  <w:sdt>
                    <w:sdtPr>
                      <w:alias w:val="Numeris"/>
                      <w:tag w:val="nr_2d18cf745b7e424080f9ad4cc2863caa"/>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p>
                  <w:pPr>
                    <w:ind w:firstLine="567"/>
                    <w:jc w:val="both"/>
                    <w:rPr>
                      <w:kern w:val="28"/>
                      <w:szCs w:val="24"/>
                    </w:rPr>
                  </w:pPr>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390dd69e61564f188b6328648279d812"/>
                <w:lock w:val="sdtLocked"/>
                <w:richText/>
              </w:sdtPr>
              <w:sdtContent>
                <w:p>
                  <w:pPr>
                    <w:tabs>
                      <w:tab w:val="left" w:pos="567"/>
                    </w:tabs>
                    <w:ind w:firstLine="567"/>
                    <w:jc w:val="both"/>
                    <w:rPr>
                      <w:kern w:val="28"/>
                      <w:szCs w:val="24"/>
                    </w:rPr>
                  </w:pPr>
                  <w:sdt>
                    <w:sdtPr>
                      <w:alias w:val="Numeris"/>
                      <w:tag w:val="nr_390dd69e61564f188b6328648279d812"/>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p>
                  <w:pPr>
                    <w:tabs>
                      <w:tab w:val="left" w:pos="567"/>
                    </w:tabs>
                    <w:jc w:val="center"/>
                    <w:rPr>
                      <w:b/>
                      <w:szCs w:val="24"/>
                    </w:rPr>
                  </w:pPr>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1cb1684e157a4970ad7cea797ea00d92"/>
                <w:lock w:val="sdtLocked"/>
                <w:richText/>
              </w:sdtPr>
              <w:sdtContent>
                <w:p>
                  <w:pPr>
                    <w:tabs>
                      <w:tab w:val="left" w:pos="567"/>
                    </w:tabs>
                    <w:ind w:firstLine="567"/>
                    <w:jc w:val="both"/>
                    <w:rPr>
                      <w:szCs w:val="24"/>
                    </w:rPr>
                  </w:pPr>
                  <w:sdt>
                    <w:sdtPr>
                      <w:alias w:val="Numeris"/>
                      <w:tag w:val="nr_1cb1684e157a4970ad7cea797ea00d92"/>
                      <w:lock w:val="sdtLocked"/>
                      <w:richText/>
                    </w:sdtPr>
                    <w:sdtContent>
                      <w:r>
                        <w:rPr>
                          <w:szCs w:val="24"/>
                        </w:rPr>
                        <w:t>26</w:t>
                      </w:r>
                    </w:sdtContent>
                  </w:sdt>
                  <w:r>
                    <w:rPr>
                      <w:szCs w:val="24"/>
                    </w:rPr>
                    <w:t>. Paramos dydis kaimo vietovių VPS ir dvisektorei VPS įgyvendinti apskaičiuojamas vadovaujantis paramos skyrimo VPS įgyvendinti metodika, kuri tvirtinama atskiru Lietuvos Respublikos žemės ūkio ministro įsakymu.</w:t>
                  </w:r>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516547682ba74431ac14a8e8071a27ec"/>
                        <w:lock w:val="sdtLocked"/>
                        <w:richText/>
                      </w:sdtPr>
                      <w:sdtContent>
                        <w:p>
                          <w:pPr>
                            <w:tabs>
                              <w:tab w:val="left" w:pos="567"/>
                            </w:tabs>
                            <w:overflowPunct w:val="0"/>
                            <w:ind w:firstLine="567"/>
                            <w:jc w:val="both"/>
                            <w:textAlignment w:val="baseline"/>
                            <w:rPr>
                              <w:szCs w:val="24"/>
                            </w:rPr>
                          </w:pPr>
                          <w:sdt>
                            <w:sdtPr>
                              <w:alias w:val="Numeris"/>
                              <w:tag w:val="nr_516547682ba74431ac14a8e8071a27ec"/>
                              <w:lock w:val="sdtLocked"/>
                              <w:richText/>
                            </w:sdtPr>
                            <w:sdtContent>
                              <w:r>
                                <w:rPr>
                                  <w:szCs w:val="24"/>
                                </w:rPr>
                                <w:t>27.1.3</w:t>
                              </w:r>
                            </w:sdtContent>
                          </w:sdt>
                          <w:r>
                            <w:rPr>
                              <w:szCs w:val="24"/>
                            </w:rPr>
                            <w:t>. didžiausia paramos vietos projektui įgyvendinti lyginamoji dalis:</w:t>
                          </w:r>
                        </w:p>
                        <w:sdt>
                          <w:sdtPr>
                            <w:alias w:val="27.1.3.1 pp."/>
                            <w:tag w:val="part_57f1806126534da4901421112c247c83"/>
                            <w:lock w:val="sdtLocked"/>
                            <w:richText/>
                          </w:sdtPr>
                          <w:sdtContent>
                            <w:p>
                              <w:pPr>
                                <w:tabs>
                                  <w:tab w:val="left" w:pos="567"/>
                                </w:tabs>
                                <w:overflowPunct w:val="0"/>
                                <w:ind w:firstLine="567"/>
                                <w:jc w:val="both"/>
                                <w:textAlignment w:val="baseline"/>
                                <w:rPr>
                                  <w:szCs w:val="24"/>
                                </w:rPr>
                              </w:pPr>
                              <w:sdt>
                                <w:sdtPr>
                                  <w:alias w:val="Numeris"/>
                                  <w:tag w:val="nr_57f1806126534da4901421112c247c83"/>
                                  <w:lock w:val="sdtLocked"/>
                                  <w:richText/>
                                </w:sdtPr>
                                <w:sdtContent>
                                  <w:r>
                                    <w:rPr>
                                      <w:szCs w:val="24"/>
                                    </w:rPr>
                                    <w:t>27.1.3.1</w:t>
                                  </w:r>
                                </w:sdtContent>
                              </w:sdt>
                              <w:r>
                                <w:rPr>
                                  <w:szCs w:val="24"/>
                                </w:rPr>
                                <w:t>. 80 proc. tinkamų finansuoti išlaidų, kai vietos projektas yra ne pelno arba socialinio verslo pobūdžio arba, kai jį teikia NVO ar kitas viešasis juridinis asmuo;</w:t>
                              </w:r>
                            </w:p>
                          </w:sdtContent>
                        </w:sdt>
                        <w:sdt>
                          <w:sdtPr>
                            <w:alias w:val="27.1.3.2 pp."/>
                            <w:tag w:val="part_e0db30c7410d4d67b6028947009f4958"/>
                            <w:lock w:val="sdtLocked"/>
                            <w:richText/>
                          </w:sdtPr>
                          <w:sdtContent>
                            <w:p>
                              <w:pPr>
                                <w:tabs>
                                  <w:tab w:val="left" w:pos="567"/>
                                </w:tabs>
                                <w:overflowPunct w:val="0"/>
                                <w:ind w:firstLine="567"/>
                                <w:jc w:val="both"/>
                                <w:textAlignment w:val="baseline"/>
                                <w:rPr>
                                  <w:szCs w:val="24"/>
                                </w:rPr>
                              </w:pPr>
                              <w:sdt>
                                <w:sdtPr>
                                  <w:alias w:val="Numeris"/>
                                  <w:tag w:val="nr_e0db30c7410d4d67b6028947009f4958"/>
                                  <w:lock w:val="sdtLocked"/>
                                  <w:richText/>
                                </w:sdtPr>
                                <w:sdtContent>
                                  <w:r>
                                    <w:rPr>
                                      <w:szCs w:val="24"/>
                                    </w:rPr>
                                    <w:t>27.1.3.2</w:t>
                                  </w:r>
                                </w:sdtContent>
                              </w:sdt>
                              <w:r>
                                <w:rPr>
                                  <w:szCs w:val="24"/>
                                </w:rP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asmenis) ir Europos Komisijos 2003 m. gegužės 3 d. rekomendacijoje Nr. 2003/361/EC dėl labai mažos, mažos ir vidutinės įmonės apibrėžimo (taikoma fiziniams asmenims);</w:t>
                              </w:r>
                            </w:p>
                          </w:sdtContent>
                        </w:sdt>
                        <w:sdt>
                          <w:sdtPr>
                            <w:alias w:val="27.1.3.3 pp."/>
                            <w:tag w:val="part_72d71f123d7945fa90a6a129c3c83b8b"/>
                            <w:lock w:val="sdtLocked"/>
                            <w:richText/>
                          </w:sdtPr>
                          <w:sdtContent>
                            <w:p>
                              <w:pPr>
                                <w:tabs>
                                  <w:tab w:val="left" w:pos="567"/>
                                </w:tabs>
                                <w:overflowPunct w:val="0"/>
                                <w:ind w:firstLine="567"/>
                                <w:jc w:val="both"/>
                                <w:textAlignment w:val="baseline"/>
                                <w:rPr>
                                  <w:szCs w:val="24"/>
                                </w:rPr>
                              </w:pPr>
                              <w:sdt>
                                <w:sdtPr>
                                  <w:alias w:val="Numeris"/>
                                  <w:tag w:val="nr_72d71f123d7945fa90a6a129c3c83b8b"/>
                                  <w:lock w:val="sdtLocked"/>
                                  <w:richText/>
                                </w:sdtPr>
                                <w:sdtContent>
                                  <w:r>
                                    <w:rPr>
                                      <w:szCs w:val="24"/>
                                    </w:rPr>
                                    <w:t>27.1.3.3</w:t>
                                  </w:r>
                                </w:sdtContent>
                              </w:sdt>
                              <w:r>
                                <w:rPr>
                                  <w:szCs w:val="24"/>
                                </w:rP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4 pp."/>
                            <w:tag w:val="part_9f061fe5fdb2434b896c3bfa127fe00c"/>
                            <w:lock w:val="sdtLocked"/>
                            <w:richText/>
                          </w:sdtPr>
                          <w:sdtContent>
                            <w:p>
                              <w:pPr>
                                <w:tabs>
                                  <w:tab w:val="left" w:pos="567"/>
                                </w:tabs>
                                <w:overflowPunct w:val="0"/>
                                <w:ind w:firstLine="567"/>
                                <w:jc w:val="both"/>
                                <w:textAlignment w:val="baseline"/>
                                <w:rPr>
                                  <w:szCs w:val="24"/>
                                </w:rPr>
                              </w:pPr>
                              <w:sdt>
                                <w:sdtPr>
                                  <w:alias w:val="Numeris"/>
                                  <w:tag w:val="nr_9f061fe5fdb2434b896c3bfa127fe00c"/>
                                  <w:lock w:val="sdtLocked"/>
                                  <w:richText/>
                                </w:sdtPr>
                                <w:sdtContent>
                                  <w:r>
                                    <w:rPr>
                                      <w:szCs w:val="24"/>
                                    </w:rPr>
                                    <w:t>27.1.3.4</w:t>
                                  </w:r>
                                </w:sdtContent>
                              </w:sdt>
                              <w:r>
                                <w:rPr>
                                  <w:szCs w:val="24"/>
                                </w:rP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5 pp."/>
                            <w:tag w:val="part_8432e2d6307c480a8e497e2affe323d0"/>
                            <w:lock w:val="sdtLocked"/>
                            <w:richText/>
                          </w:sdtPr>
                          <w:sdtContent>
                            <w:p>
                              <w:pPr>
                                <w:tabs>
                                  <w:tab w:val="left" w:pos="567"/>
                                </w:tabs>
                                <w:overflowPunct w:val="0"/>
                                <w:ind w:firstLine="567"/>
                                <w:jc w:val="both"/>
                                <w:textAlignment w:val="baseline"/>
                                <w:rPr>
                                  <w:szCs w:val="24"/>
                                </w:rPr>
                              </w:pPr>
                              <w:sdt>
                                <w:sdtPr>
                                  <w:alias w:val="Numeris"/>
                                  <w:tag w:val="nr_8432e2d6307c480a8e497e2affe323d0"/>
                                  <w:lock w:val="sdtLocked"/>
                                  <w:richText/>
                                </w:sdtPr>
                                <w:sdtContent>
                                  <w:r>
                                    <w:rPr>
                                      <w:szCs w:val="24"/>
                                    </w:rPr>
                                    <w:t>27.1.3.5</w:t>
                                  </w:r>
                                </w:sdtContent>
                              </w:sdt>
                              <w:r>
                                <w:rPr>
                                  <w:szCs w:val="24"/>
                                </w:rPr>
                                <w:t>. VVG turi teisę sumažinti didžiausią paramos lyginamąją dalį, nurodytą Taisyklių 27.1.3.1–27.1.3.3 papunkčiuose;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9123f32e45434af1883fa08965c17b59"/>
                            <w:lock w:val="sdtLocked"/>
                            <w:richText/>
                          </w:sdtPr>
                          <w:sdtContent>
                            <w:p>
                              <w:pPr>
                                <w:tabs>
                                  <w:tab w:val="left" w:pos="567"/>
                                </w:tabs>
                                <w:ind w:firstLine="567"/>
                                <w:jc w:val="both"/>
                                <w:rPr>
                                  <w:szCs w:val="24"/>
                                </w:rPr>
                              </w:pPr>
                              <w:sdt>
                                <w:sdtPr>
                                  <w:alias w:val="Numeris"/>
                                  <w:tag w:val="nr_9123f32e45434af1883fa08965c17b59"/>
                                  <w:lock w:val="sdtLocked"/>
                                  <w:richText/>
                                </w:sdtPr>
                                <w:sdtContent>
                                  <w:r>
                                    <w:rPr>
                                      <w:szCs w:val="24"/>
                                    </w:rPr>
                                    <w:t>28.1.3.2</w:t>
                                  </w:r>
                                </w:sdtContent>
                              </w:sdt>
                              <w:r>
                                <w:rPr>
                                  <w:szCs w:val="24"/>
                                </w:rPr>
                                <w:t>. didžiausia paramos vietos projektui įgyvendinti lyginamoji dalis:</w:t>
                              </w:r>
                            </w:p>
                            <w:sdt>
                              <w:sdtPr>
                                <w:alias w:val="28.1.3.2.1 p."/>
                                <w:tag w:val="part_aac049370dd84eaaaab0c71963eb3e48"/>
                                <w:lock w:val="sdtLocked"/>
                                <w:richText/>
                              </w:sdtPr>
                              <w:sdtContent>
                                <w:p>
                                  <w:pPr>
                                    <w:tabs>
                                      <w:tab w:val="left" w:pos="567"/>
                                    </w:tabs>
                                    <w:ind w:firstLine="567"/>
                                    <w:jc w:val="both"/>
                                    <w:rPr>
                                      <w:szCs w:val="24"/>
                                    </w:rPr>
                                  </w:pPr>
                                  <w:sdt>
                                    <w:sdtPr>
                                      <w:alias w:val="Numeris"/>
                                      <w:tag w:val="nr_aac049370dd84eaaaab0c71963eb3e48"/>
                                      <w:lock w:val="sdtLocked"/>
                                      <w:richText/>
                                    </w:sdtPr>
                                    <w:sdtContent>
                                      <w:r>
                                        <w:rPr>
                                          <w:szCs w:val="24"/>
                                        </w:rPr>
                                        <w:t>28.1.3.2.1</w:t>
                                      </w:r>
                                    </w:sdtContent>
                                  </w:sdt>
                                  <w:r>
                                    <w:rPr>
                                      <w:szCs w:val="24"/>
                                    </w:rPr>
                                    <w:t>. 80 proc. tinkamų finansuoti išlaidų, kai vietos projektas yra ne pelno arba socialinio verslo pobūdžio, arba jį teikia NVO arba kitas viešasis juridinis asmuo;</w:t>
                                  </w:r>
                                </w:p>
                              </w:sdtContent>
                            </w:sdt>
                            <w:sdt>
                              <w:sdtPr>
                                <w:alias w:val="28.1.3.2.2 p."/>
                                <w:tag w:val="part_915501209f034732898f5776c6990fc8"/>
                                <w:lock w:val="sdtLocked"/>
                                <w:richText/>
                              </w:sdtPr>
                              <w:sdtContent>
                                <w:p>
                                  <w:pPr>
                                    <w:tabs>
                                      <w:tab w:val="left" w:pos="567"/>
                                    </w:tabs>
                                    <w:ind w:firstLine="567"/>
                                    <w:jc w:val="both"/>
                                    <w:rPr>
                                      <w:szCs w:val="24"/>
                                    </w:rPr>
                                  </w:pPr>
                                  <w:sdt>
                                    <w:sdtPr>
                                      <w:alias w:val="Numeris"/>
                                      <w:tag w:val="nr_915501209f034732898f5776c6990fc8"/>
                                      <w:lock w:val="sdtLocked"/>
                                      <w:richText/>
                                    </w:sdtPr>
                                    <w:sdtContent>
                                      <w:r>
                                        <w:rPr>
                                          <w:szCs w:val="24"/>
                                        </w:rPr>
                                        <w:t>28.1.3.2.2</w:t>
                                      </w:r>
                                    </w:sdtContent>
                                  </w:sdt>
                                  <w:r>
                                    <w:rPr>
                                      <w:szCs w:val="24"/>
                                    </w:rPr>
                                    <w:t>. 50 proc. tinkamų finansuoti išlaidų, kai vietos projektas yra privataus verslo pobūdžio (po jo įgyvendinimo projekte įsipareigojama gauti grynųjų pajamų) ir jį teikia privatus juridinis arba fizinis asmuo.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steigėjais yra vienas fizinis asmuo);</w:t>
                                  </w:r>
                                </w:p>
                              </w:sdtContent>
                            </w:sdt>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c97a340dc15c45f8912d7413f432a26d"/>
                    <w:lock w:val="sdtLocked"/>
                    <w:richText/>
                  </w:sdtPr>
                  <w:sdtContent>
                    <w:p>
                      <w:pPr>
                        <w:tabs>
                          <w:tab w:val="left" w:pos="567"/>
                        </w:tabs>
                        <w:ind w:firstLine="567"/>
                        <w:jc w:val="both"/>
                        <w:rPr>
                          <w:szCs w:val="24"/>
                        </w:rPr>
                      </w:pPr>
                      <w:sdt>
                        <w:sdtPr>
                          <w:alias w:val="Numeris"/>
                          <w:tag w:val="nr_c97a340dc15c45f8912d7413f432a26d"/>
                          <w:lock w:val="sdtLocked"/>
                          <w:richText/>
                        </w:sdtPr>
                        <w:sdtContent>
                          <w:r>
                            <w:rPr>
                              <w:szCs w:val="24"/>
                            </w:rPr>
                            <w:t>80.2</w:t>
                          </w:r>
                        </w:sdtContent>
                      </w:sdt>
                      <w:r>
                        <w:rPr>
                          <w:szCs w:val="24"/>
                        </w:rPr>
                        <w:t xml:space="preserve">.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ilgalaikį turtą (didžiausiu ilgalaikio turto atkuriamosios vertės draudimu nuo visų galimų rizikos atvejų), kuriam įsigyti ar sukurti bus naudojamos VPS administravimui skirtos paramos VPS įgyvendinti lėšos; </w:t>
                      </w:r>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pgMar w:top="567" w:right="567" w:bottom="709" w:left="1701" w:header="567"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3E5542A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aaae13423bc94c33895638db10464d36">
    <Part Type="preambule" DocPartId="920f740019e34d2986753684e6deee2c" PartId="cdc99731149543bb892caa3d5ed56e2a"/>
    <Part Type="pastraipa" DocPartId="106cbe009d6f4e909e7fecdcd9959fd0" PartId="24bc26798a6d4834b667e8d1ba6984a8"/>
    <Part Type="signatura" DocPartId="8a5fc50f98724f8d9331772d1d355d76" PartId="480bed3fa3694502bd512d8120aaf8d5"/>
  </Part>
  <Part Type="patvirtinta" Title="VIETOS PLĖTROS STRATEGIJŲ, ĮGYVENDINAMŲ BENDRUOMENIŲ INICIJUOTOS VIETOS PLĖTROS BŪDU, ATRANKOS TAISYKLĖS" DocPartId="f744acb63f7947c8b89e9642517dcb30" PartId="e59269a3996c4b3f8318327ed99e2973">
    <Part Type="skyrius" Nr="1" Title="BENDROSIOS NUOSTATOS" DocPartId="c01518aded364af09cb1a4ad1f50b1f3" PartId="4dcb8a3e1eb74a48b468287933e500c9">
      <Part Type="punktas" Nr="1" Abbr="1 p." DocPartId="415278aaf1884cf092225080c0af3bb2" PartId="f74a7bd31e7e4e1a807279d0c90bc9d4"/>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81139e1adc07453087bcf518a1fb2c47"/>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53151ee4d0e344dcb95544927b8088dd"/>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7a02c0b084674595921d60ead1e25a91"/>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1cb870c015b4e1dba35a447fd1534fe"/>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a058f62b08d34a5c82a52be366d7efad"/>
          <Part Type="punktas" Nr="15.2.2" Abbr="15.2.2 p." DocPartId="cb8f0f01e3ef4e848875ef151aea3e57" PartId="0be8f1b071ce44108176e9dd4129ceb6"/>
          <Part Type="punktas" Nr="15.2.3" Abbr="15.2.3 p." DocPartId="c4cb08dcfd434a51aa40ee7a7f53c48b" PartId="1e8f4538679e4a728c0188a03dbd970c"/>
          <Part Type="punktas" Nr="15.2.4" Abbr="15.2.4 p." DocPartId="000299bebbf14538b6ee07f781f916ac" PartId="de13aebdd8f148ea9dc17b1ab6b7cbb6"/>
        </Part>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7d3f3b107dd840de8e32d57a1ab3dd1b"/>
          <Part Type="punktas" Nr="15.3.4" Abbr="15.3.4 p." DocPartId="5b056fd6a4764ac68840157e2778b166" PartId="9e1c5e7f0a1742c1873a18aac2941839"/>
        </Part>
        <Part Type="punktas" Nr="15.4" Abbr="15.4 p." DocPartId="b96f45851fad49d38a2d5a872c74923f" PartId="2046999489fc4d4995a2fa546bffb008"/>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2d18cf745b7e424080f9ad4cc2863caa"/>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390dd69e61564f188b6328648279d812"/>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1cb1684e157a4970ad7cea797ea00d92"/>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516547682ba74431ac14a8e8071a27ec">
            <Part Type="papunktis" Nr="27.1.3.1" Abbr="27.1.3.1 pp." DocPartId="b489a0dce0894d3190dcd8e9799cb4ad" PartId="57f1806126534da4901421112c247c83"/>
            <Part Type="papunktis" Nr="27.1.3.2" Abbr="27.1.3.2 pp." DocPartId="53a11109d721494e9e3cb60706dd546c" PartId="e0db30c7410d4d67b6028947009f4958"/>
            <Part Type="papunktis" Nr="27.1.3.3" Abbr="27.1.3.3 pp." DocPartId="5a65dc85741e44adbd75259a70910758" PartId="72d71f123d7945fa90a6a129c3c83b8b"/>
            <Part Type="papunktis" Nr="27.1.3.4" Abbr="27.1.3.4 pp." DocPartId="6f94b042be91410f9a4903d0fe1364a1" PartId="9f061fe5fdb2434b896c3bfa127fe00c"/>
            <Part Type="papunktis" Nr="27.1.3.5" Abbr="27.1.3.5 pp." DocPartId="2644da050e34435cbd390d23083ef29e" PartId="8432e2d6307c480a8e497e2affe323d0"/>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9123f32e45434af1883fa08965c17b59">
              <Part Type="punktas" Nr="28.1.3.2.1" Abbr="28.1.3.2.1 p." DocPartId="dcdb0a42bfac4571995af97e6dffbf13" PartId="aac049370dd84eaaaab0c71963eb3e48"/>
              <Part Type="punktas" Nr="28.1.3.2.2" Abbr="28.1.3.2.2 p." DocPartId="ce453d3b914646ca8542697a352d9a51" PartId="915501209f034732898f5776c6990fc8"/>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c97a340dc15c45f8912d7413f432a26d"/>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73703780-01CA-410C-9587-4A444B06C641}">
  <ds:schemaRefs>
    <ds:schemaRef ds:uri="http://lrs.lt/TAIS/DocParts"/>
  </ds:schemaRefs>
</ds:datastoreItem>
</file>

<file path=docProps/app.xml><?xml version="1.0" encoding="utf-8"?>
<Properties xmlns="http://schemas.openxmlformats.org/officeDocument/2006/extended-properties">
  <Template>Normal.dotm</Template>
  <TotalTime>0</TotalTime>
  <Pages>26</Pages>
  <Words>66404</Words>
  <Characters>37851</Characters>
  <Application>Microsoft Office Word</Application>
  <DocSecurity>0</DocSecurity>
  <Lines>315</Lines>
  <Paragraphs>208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104047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2016-06-16T11:11:00Z</dcterms:modified>
  <revision>1</revision>
</coreProperties>
</file>