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e13423bc94c33895638db10464d36"/>
        <w:lock w:val="sdtLocked"/>
        <w:richText/>
      </w:sdtPr>
      <w:sdtContent>
        <w:p>
          <w:pPr>
            <w:jc w:val="both"/>
            <w:rPr>
              <w:rFonts w:ascii="Times New Roman" w:hAnsi="Times New Roman"/>
            </w:rPr>
          </w:pPr>
          <w:r>
            <w:rPr>
              <w:rFonts w:ascii="Times New Roman" w:hAnsi="Times New Roman"/>
              <w:b/>
              <w:i/>
            </w:rPr>
            <w:t>Suvestinė redakcija nuo 2016-02-12 iki 2016-04-29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ind w:left="6804" w:firstLine="36"/>
            <w:jc w:val="both"/>
          </w:pPr>
          <w:r>
            <w:br w:type="page"/>
          </w:r>
        </w:p>
        <w:p>
          <w:pPr>
            <w:ind w:left="6804" w:firstLine="36"/>
            <w:jc w:val="both"/>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e16fe1b81c1a460397cb55b5d3c9ba04"/>
                        <w:lock w:val="sdtLocked"/>
                        <w:richText/>
                      </w:sdtPr>
                      <w:sdtContent>
                        <w:p>
                          <w:pPr>
                            <w:tabs>
                              <w:tab w:val="left" w:pos="567"/>
                            </w:tabs>
                            <w:ind w:firstLine="567"/>
                            <w:jc w:val="both"/>
                            <w:rPr>
                              <w:szCs w:val="24"/>
                            </w:rPr>
                          </w:pPr>
                          <w:sdt>
                            <w:sdtPr>
                              <w:alias w:val="Numeris"/>
                              <w:tag w:val="nr_e16fe1b81c1a460397cb55b5d3c9ba04"/>
                              <w:lock w:val="sdtLocked"/>
                              <w:richText/>
                            </w:sdtPr>
                            <w:sdtContent>
                              <w:r>
                                <w:rPr>
                                  <w:szCs w:val="24"/>
                                </w:rPr>
                                <w:t>27.1.3</w:t>
                              </w:r>
                            </w:sdtContent>
                          </w:sdt>
                          <w:r>
                            <w:rPr>
                              <w:szCs w:val="24"/>
                            </w:rPr>
                            <w:t>. didžiausia paramos vietos projektui įgyvendinti lyginamoji dalis:</w:t>
                          </w:r>
                        </w:p>
                        <w:sdt>
                          <w:sdtPr>
                            <w:alias w:val="27.1.3.1 p."/>
                            <w:tag w:val="part_41c49f21a695438caa5bddd66ece7f6d"/>
                            <w:lock w:val="sdtLocked"/>
                            <w:richText/>
                          </w:sdtPr>
                          <w:sdtContent>
                            <w:p>
                              <w:pPr>
                                <w:tabs>
                                  <w:tab w:val="left" w:pos="567"/>
                                </w:tabs>
                                <w:ind w:firstLine="567"/>
                                <w:jc w:val="both"/>
                                <w:rPr>
                                  <w:szCs w:val="24"/>
                                </w:rPr>
                              </w:pPr>
                              <w:sdt>
                                <w:sdtPr>
                                  <w:alias w:val="Numeris"/>
                                  <w:tag w:val="nr_41c49f21a695438caa5bddd66ece7f6d"/>
                                  <w:lock w:val="sdtLocked"/>
                                  <w:richText/>
                                </w:sdtPr>
                                <w:sdtContent>
                                  <w:r>
                                    <w:rPr>
                                      <w:szCs w:val="24"/>
                                    </w:rPr>
                                    <w:t>27.1.3.1</w:t>
                                  </w:r>
                                </w:sdtContent>
                              </w:sdt>
                              <w:r>
                                <w:rPr>
                                  <w:szCs w:val="24"/>
                                </w:rPr>
                                <w:t>. 80 proc. tinkamų finansuoti išlaidų, kai vietos projektas yra ne pelno arba socialinio verslo pobūdžio, arba jį teikia NVO ar kitas viešasis juridinis asmuo;</w:t>
                              </w:r>
                            </w:p>
                          </w:sdtContent>
                        </w:sdt>
                        <w:sdt>
                          <w:sdtPr>
                            <w:alias w:val="27.1.3.2 p."/>
                            <w:tag w:val="part_7f88683eee9947b1a91d9db00f6443e3"/>
                            <w:lock w:val="sdtLocked"/>
                            <w:richText/>
                          </w:sdtPr>
                          <w:sdtContent>
                            <w:p>
                              <w:pPr>
                                <w:tabs>
                                  <w:tab w:val="left" w:pos="567"/>
                                </w:tabs>
                                <w:ind w:firstLine="567"/>
                                <w:jc w:val="both"/>
                                <w:rPr>
                                  <w:szCs w:val="24"/>
                                </w:rPr>
                              </w:pPr>
                              <w:sdt>
                                <w:sdtPr>
                                  <w:alias w:val="Numeris"/>
                                  <w:tag w:val="nr_7f88683eee9947b1a91d9db00f6443e3"/>
                                  <w:lock w:val="sdtLocked"/>
                                  <w:richText/>
                                </w:sdtPr>
                                <w:sdtContent>
                                  <w:r>
                                    <w:rPr>
                                      <w:szCs w:val="24"/>
                                    </w:rPr>
                                    <w:t>27.1.3.2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
                          <w:sdtPr>
                            <w:alias w:val="27.1.3.3 p."/>
                            <w:tag w:val="part_96b0bf6b5e374c0288095ce4d38a1007"/>
                            <w:lock w:val="sdtLocked"/>
                            <w:richText/>
                          </w:sdtPr>
                          <w:sdtContent>
                            <w:p>
                              <w:pPr>
                                <w:tabs>
                                  <w:tab w:val="left" w:pos="567"/>
                                </w:tabs>
                                <w:ind w:firstLine="567"/>
                                <w:jc w:val="both"/>
                                <w:rPr>
                                  <w:szCs w:val="24"/>
                                </w:rPr>
                              </w:pPr>
                              <w:sdt>
                                <w:sdtPr>
                                  <w:alias w:val="Numeris"/>
                                  <w:tag w:val="nr_96b0bf6b5e374c0288095ce4d38a1007"/>
                                  <w:lock w:val="sdtLocked"/>
                                  <w:richText/>
                                </w:sdtPr>
                                <w:sdtContent>
                                  <w:r>
                                    <w:rPr>
                                      <w:szCs w:val="24"/>
                                    </w:rPr>
                                    <w:t>27.1.3.3</w:t>
                                  </w:r>
                                </w:sdtContent>
                              </w:sdt>
                              <w:r>
                                <w:rPr>
                                  <w:szCs w:val="24"/>
                                </w:rPr>
                                <w:t>. VVG turi teisę sumažinti didžiausią paramos lyginamąją dalį, nurodytą 27.1.3.1 ir 27.1.3.2 papunkčiuose;</w:t>
                              </w:r>
                            </w:p>
                          </w:sdtContent>
                        </w:sdt>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aac049370dd84eaaaab0c71963eb3e48"/>
                                <w:lock w:val="sdtLocked"/>
                                <w:richText/>
                              </w:sdtPr>
                              <w:sdtContent>
                                <w:p>
                                  <w:pPr>
                                    <w:tabs>
                                      <w:tab w:val="left" w:pos="567"/>
                                    </w:tabs>
                                    <w:ind w:firstLine="567"/>
                                    <w:jc w:val="both"/>
                                    <w:rPr>
                                      <w:szCs w:val="24"/>
                                    </w:rPr>
                                  </w:pPr>
                                  <w:sdt>
                                    <w:sdtPr>
                                      <w:alias w:val="Numeris"/>
                                      <w:tag w:val="nr_aac049370dd84eaaaab0c71963eb3e48"/>
                                      <w:lock w:val="sdtLocked"/>
                                      <w:richText/>
                                    </w:sdtPr>
                                    <w:sdtContent>
                                      <w:r>
                                        <w:rPr>
                                          <w:szCs w:val="24"/>
                                        </w:rPr>
                                        <w:t>28.1.3.2.1</w:t>
                                      </w:r>
                                    </w:sdtContent>
                                  </w:sdt>
                                  <w:r>
                                    <w:rPr>
                                      <w:szCs w:val="24"/>
                                    </w:rPr>
                                    <w:t>. 80 proc. tinkamų finansuoti išlaidų, kai vietos projektas yra ne pelno arba socialinio verslo pobūdžio, arba jį teikia NVO arba kitas viešasis juridinis asmuo;</w:t>
                                  </w:r>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93"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14:docId w14:val="19F743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aaae13423bc94c33895638db10464d36">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e16fe1b81c1a460397cb55b5d3c9ba04">
            <Part Type="punktas" Nr="27.1.3.1" Abbr="27.1.3.1 p." DocPartId="0f3cc8405162411a9bf4758666fed3f3" PartId="41c49f21a695438caa5bddd66ece7f6d"/>
            <Part Type="punktas" Nr="27.1.3.2" Abbr="27.1.3.2 p." DocPartId="fb0053b7f6b24db080ab8aeb9073b3f3" PartId="7f88683eee9947b1a91d9db00f6443e3"/>
            <Part Type="punktas" Nr="27.1.3.3" Abbr="27.1.3.3 p." DocPartId="84e96b64f6f642d0a9bca669e5031707" PartId="96b0bf6b5e374c0288095ce4d38a1007"/>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aac049370dd84eaaaab0c71963eb3e48"/>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E6BFDFCF-F8AD-493B-8D97-2A36A00D399E}">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65378</Words>
  <Characters>37266</Characters>
  <Application>Microsoft Office Word</Application>
  <DocSecurity>0</DocSecurity>
  <Lines>310</Lines>
  <Paragraphs>204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102440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2016-02-23T09:33:00Z</dcterms:modified>
  <revision>1</revision>
</coreProperties>
</file>