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787268df4eea45ae984690ac9957b80f"/>
        <w:lock w:val="sdtLocked"/>
        <w:richText/>
      </w:sdtPr>
      <w:sdtContent>
        <w:p>
          <w:pPr>
            <w:jc w:val="both"/>
            <w:rPr>
              <w:rFonts w:ascii="Times New Roman" w:hAnsi="Times New Roman"/>
            </w:rPr>
          </w:pPr>
          <w:r>
            <w:rPr>
              <w:rFonts w:ascii="Times New Roman" w:hAnsi="Times New Roman"/>
              <w:b/>
              <w:i/>
            </w:rPr>
            <w:t>Suvestinė redakcija nuo 2021-06-12 iki 2022-04-14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2021-05-04:</w:t>
          </w:r>
        </w:p>
        <w:p>
          <w:pPr>
            <w:rPr>
              <w:rFonts w:ascii="Times New Roman" w:hAnsi="Times New Roman"/>
              <w:sz w:val="20"/>
              <w:i/>
            </w:rPr>
          </w:pPr>
          <w:r>
            <w:rPr>
              <w:rFonts w:ascii="Times New Roman" w:hAnsi="Times New Roman"/>
              <w:sz w:val="20"/>
              <w:i/>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pPr>
            <w:rPr>
              <w:rFonts w:ascii="Times New Roman" w:hAnsi="Times New Roman"/>
              <w:sz w:val="22"/>
            </w:rPr>
          </w:pPr>
        </w:p>
        <w:p>
          <w:pPr>
            <w:overflowPunct w:val="0"/>
            <w:jc w:val="center"/>
            <w:textAlignment w:val="baseline"/>
            <w:rPr>
              <w:b/>
              <w:bCs/>
              <w:sz w:val="28"/>
              <w:szCs w:val="28"/>
            </w:rPr>
          </w:pPr>
          <w:r>
            <w:rPr>
              <w:b/>
              <w:bCs/>
              <w:sz w:val="28"/>
              <w:szCs w:val="28"/>
            </w:rPr>
            <w:t>LIETUVOS RESPUBLIKOS ŽEMĖS ŪKIO MINISTRAS</w:t>
          </w:r>
        </w:p>
        <w:p>
          <w:pPr>
            <w:overflowPunct w:val="0"/>
            <w:jc w:val="center"/>
            <w:textAlignment w:val="baseline"/>
            <w:rPr>
              <w:b/>
              <w:bCs/>
              <w:spacing w:val="60"/>
              <w:sz w:val="28"/>
              <w:szCs w:val="28"/>
            </w:rPr>
          </w:pPr>
        </w:p>
        <w:p>
          <w:pPr>
            <w:overflowPunct w:val="0"/>
            <w:jc w:val="center"/>
            <w:textAlignment w:val="baseline"/>
            <w:rPr>
              <w:b/>
              <w:bCs/>
              <w:szCs w:val="24"/>
            </w:rPr>
          </w:pPr>
          <w:r>
            <w:rPr>
              <w:b/>
              <w:bCs/>
              <w:spacing w:val="60"/>
              <w:szCs w:val="24"/>
            </w:rPr>
            <w:t>ĮSAKYMA</w:t>
          </w:r>
          <w:r>
            <w:rPr>
              <w:b/>
              <w:bCs/>
              <w:szCs w:val="24"/>
            </w:rPr>
            <w:t>S</w:t>
          </w:r>
        </w:p>
        <w:p>
          <w:pPr>
            <w:overflowPunct w:val="0"/>
            <w:jc w:val="center"/>
            <w:textAlignment w:val="baseline"/>
            <w:rPr>
              <w:b/>
            </w:rPr>
          </w:pPr>
          <w:r>
            <w:rPr>
              <w:b/>
            </w:rPr>
            <w:t>DĖL VIETOS PLĖTROS STRATEGIJŲ, ĮGYVENDINAMŲ BENDRUOMENIŲ INICIJUOTOS VIETOS PLĖTROS BŪDU, ATRANKOS TAISYKLIŲ PATVIRTINIMO</w:t>
          </w:r>
        </w:p>
        <w:p>
          <w:pPr>
            <w:overflowPunct w:val="0"/>
            <w:jc w:val="center"/>
            <w:textAlignment w:val="baseline"/>
            <w:rPr>
              <w:b/>
            </w:rPr>
          </w:pPr>
        </w:p>
        <w:p>
          <w:pPr>
            <w:overflowPunct w:val="0"/>
            <w:jc w:val="center"/>
            <w:textAlignment w:val="baseline"/>
            <w:rPr>
              <w:b/>
            </w:rPr>
          </w:pPr>
          <w:r>
            <w:t>2015 m. gegužės 4 d. Nr. 3D-343</w:t>
          </w:r>
        </w:p>
        <w:p>
          <w:pPr>
            <w:overflowPunct w:val="0"/>
            <w:jc w:val="center"/>
            <w:textAlignment w:val="baseline"/>
            <w:rPr>
              <w:b/>
            </w:rPr>
          </w:pPr>
          <w:r>
            <w:t>Vilnius</w:t>
          </w:r>
        </w:p>
        <w:p>
          <w:pPr>
            <w:overflowPunct w:val="0"/>
            <w:textAlignment w:val="baseline"/>
          </w:pPr>
        </w:p>
        <w:p>
          <w:pPr>
            <w:overflowPunct w:val="0"/>
            <w:jc w:val="both"/>
            <w:textAlignment w:val="baseline"/>
          </w:pPr>
        </w:p>
        <w:sdt>
          <w:sdtPr>
            <w:alias w:val="preambule"/>
            <w:tag w:val="part_336a757bd5ed41b583253515b9380264"/>
            <w:lock w:val="sdtLocked"/>
            <w:richText/>
          </w:sdtPr>
          <w:sdtContent>
            <w:p>
              <w:pPr>
                <w:overflowPunct w:val="0"/>
                <w:spacing w:line="360" w:lineRule="auto"/>
                <w:ind w:firstLine="709"/>
                <w:jc w:val="both"/>
                <w:textAlignment w:val="baseline"/>
                <w:rPr>
                  <w:color w:val="000000"/>
                  <w:szCs w:val="24"/>
                </w:rPr>
              </w:pPr>
              <w:r>
                <w:rPr>
                  <w:color w:val="000000"/>
                  <w:szCs w:val="24"/>
                </w:rPr>
                <w:t xml:space="preserve">Vadovaudamasis </w:t>
              </w:r>
              <w:r>
                <w:rPr>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2020 m. gruodžio 23 d. Europos Parlamento ir Tarybos reglamentu (ES) Nr. 2020/2221,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2014 m. liepos 17 d. Komisijos reglamentu (ES) Nr. 808/2014, nustatančiu Europos Parlamento ir Tarybos reglamento (ES) Nr. 1305/2013 dėl paramos kaimo plėtrai, teikiamos Europos žemės ūkio fondo kaimo plėtrai (EŽŪFKP) lėšomis, taikymo taisykles, su paskutiniais pakeitimais, padarytais 2021 m. sausio 26 d. Komisijos įgyvendinimo reglamentu (ES) Nr. 2021/73,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dbc5cfbc37b84f8ab0872e7c6519b432"/>
            <w:lock w:val="sdtLocked"/>
            <w:richText/>
          </w:sdtPr>
          <w:sdtContent>
            <w:p>
              <w:pPr>
                <w:tabs>
                  <w:tab w:val="left" w:pos="993"/>
                </w:tabs>
                <w:overflowPunct w:val="0"/>
                <w:spacing w:line="360" w:lineRule="auto"/>
                <w:ind w:firstLine="709"/>
                <w:jc w:val="both"/>
                <w:textAlignment w:val="baseline"/>
              </w:pPr>
              <w:r>
                <w:rPr>
                  <w:spacing w:val="60"/>
                  <w:szCs w:val="24"/>
                </w:rPr>
                <w:t>tvirtinu</w:t>
              </w:r>
              <w:r>
                <w:rPr>
                  <w:szCs w:val="24"/>
                </w:rPr>
                <w:t xml:space="preserve"> Vietos plėtros strategijų, įgyvendinamų bendruomenių inicijuotos vietos plėtros būdu, </w:t>
              </w:r>
              <w:r>
                <w:rPr>
                  <w:bCs/>
                  <w:szCs w:val="24"/>
                </w:rPr>
                <w:t>atrankos</w:t>
              </w:r>
              <w:r>
                <w:rPr>
                  <w:szCs w:val="24"/>
                </w:rPr>
                <w:t xml:space="preserve"> taisykles (pridedama).</w:t>
              </w:r>
            </w:p>
          </w:sdtContent>
        </w:sdt>
        <w:sdt>
          <w:sdtPr>
            <w:alias w:val="signatura"/>
            <w:tag w:val="part_86a02715861944e2ab393cf281a4f942"/>
            <w:lock w:val="sdtLocked"/>
            <w:richText/>
          </w:sdtPr>
          <w:sdtContent>
            <w:p/>
            <w:p/>
            <w:p/>
            <w:p>
              <w:r>
                <w:rPr>
                  <w:szCs w:val="24"/>
                  <w:lang w:eastAsia="lt-LT"/>
                </w:rPr>
                <w:t>Žemės ūkio ministrė</w:t>
                <w:tab/>
                <w:tab/>
                <w:tab/>
                <w:tab/>
                <w:tab/>
                <w:tab/>
                <w:tab/>
                <w:tab/>
                <w:t xml:space="preserve">     Virginija Baltraitienė</w:t>
              </w:r>
            </w:p>
          </w:sdtContent>
        </w:sdt>
        <w:p/>
      </w:sdtContent>
    </w:sdt>
    <w:sdt>
      <w:sdtPr>
        <w:alias w:val="patvirtinta"/>
        <w:tag w:val="part_d1d9afa1d9944e82bc2843ae5fcd551a"/>
        <w:lock w:val="sdtLocked"/>
        <w:richText/>
      </w:sdtPr>
      <w:sdtContent>
        <w:p>
          <w:pPr>
            <w:jc w:val="both"/>
            <w:sectPr>
              <w:headerReference w:type="even" r:id="rId9"/>
              <w:headerReference w:type="default" r:id="rId10"/>
              <w:footerReference w:type="even" r:id="rId11"/>
              <w:footerReference w:type="default" r:id="rId12"/>
              <w:headerReference w:type="first" r:id="rId13"/>
              <w:footerReference w:type="first" r:id="rId14"/>
              <w:pgSz w:w="11907" w:h="16840"/>
              <w:pgMar w:top="1701" w:right="567" w:bottom="1134" w:left="1701" w:header="567" w:footer="567" w:gutter="0"/>
              <w:cols w:space="1296"/>
              <w:titlePg/>
              <w:docGrid w:linePitch="326"/>
            </w:sectPr>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d1d9afa1d9944e82bc2843ae5fcd551a"/>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c785f5b0d28c4c54872572d881b32f3f"/>
                <w:lock w:val="sdtLocked"/>
                <w:richText/>
              </w:sdtPr>
              <w:sdtContent>
                <w:p>
                  <w:pPr>
                    <w:tabs>
                      <w:tab w:val="left" w:pos="540"/>
                      <w:tab w:val="left" w:pos="709"/>
                    </w:tabs>
                    <w:overflowPunct w:val="0"/>
                    <w:ind w:firstLine="539"/>
                    <w:jc w:val="both"/>
                    <w:textAlignment w:val="baseline"/>
                    <w:rPr>
                      <w:szCs w:val="24"/>
                    </w:rPr>
                  </w:pPr>
                  <w:sdt>
                    <w:sdtPr>
                      <w:alias w:val="Numeris"/>
                      <w:tag w:val="nr_c785f5b0d28c4c54872572d881b32f3f"/>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Europos Parlamento ir Tarybos reglamentu (ES) Nr. 2020/2221 (toliau – Reglamentas (ES) Nr. 1303/2013),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(toliau – Reglamentas (ES) Nr. 508/2014), 2014 m. liepos 17 d. Komisijos reglamentu (ES) Nr. 808/2014, nustatančiu Europos Parlamento ir Tarybos reglamento (ES) Nr. 1305/2013 dėl paramos kaimo plėtrai, teikiamos Europos žemės ūkio fondo kaimo plėtrai (EŽŪFKP) lėšomis, taikymo taisykles,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4-1 pp."/>
                    <w:tag w:val="part_2685ac547db547759c2271b78d76b554"/>
                    <w:lock w:val="sdtLocked"/>
                    <w:richText/>
                  </w:sdtPr>
                  <w:sdtContent>
                    <w:p>
                      <w:pPr>
                        <w:tabs>
                          <w:tab w:val="left" w:pos="720"/>
                        </w:tabs>
                        <w:overflowPunct w:val="0"/>
                        <w:ind w:firstLine="567"/>
                        <w:jc w:val="both"/>
                        <w:textAlignment w:val="baseline"/>
                        <w:rPr>
                          <w:szCs w:val="24"/>
                        </w:rPr>
                      </w:pPr>
                      <w:sdt>
                        <w:sdtPr>
                          <w:alias w:val="Numeris"/>
                          <w:tag w:val="nr_2685ac547db547759c2271b78d76b554"/>
                          <w:lock w:val="sdtLocked"/>
                          <w:richText/>
                        </w:sdtPr>
                        <w:sdtContent>
                          <w:r>
                            <w:rPr>
                              <w:szCs w:val="24"/>
                            </w:rPr>
                            <w:t>3.4</w:t>
                          </w:r>
                          <w:r>
                            <w:rPr>
                              <w:szCs w:val="24"/>
                              <w:vertAlign w:val="superscript"/>
                            </w:rPr>
                            <w:t>1</w:t>
                          </w:r>
                        </w:sdtContent>
                      </w:sdt>
                      <w:r>
                        <w:rPr>
                          <w:szCs w:val="24"/>
                        </w:rPr>
                        <w:t xml:space="preserve">. EURI – Europos Sąjungos ekonomikos gaivinimo priemonė </w:t>
                      </w:r>
                      <w:r>
                        <w:rPr>
                          <w:i/>
                          <w:iCs/>
                          <w:szCs w:val="24"/>
                        </w:rPr>
                        <w:t>(angl. European Union Recovery instrument)</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cf41a4eaf8ac4877bda04ae7b8758a42"/>
                    <w:lock w:val="sdtLocked"/>
                    <w:richText/>
                  </w:sdtPr>
                  <w:sdtContent>
                    <w:p>
                      <w:pPr>
                        <w:tabs>
                          <w:tab w:val="left" w:pos="1134"/>
                        </w:tabs>
                        <w:overflowPunct w:val="0"/>
                        <w:ind w:firstLine="567"/>
                        <w:jc w:val="both"/>
                        <w:textAlignment w:val="baseline"/>
                        <w:rPr>
                          <w:szCs w:val="24"/>
                        </w:rPr>
                      </w:pPr>
                      <w:sdt>
                        <w:sdtPr>
                          <w:alias w:val="Numeris"/>
                          <w:tag w:val="nr_cf41a4eaf8ac4877bda04ae7b8758a42"/>
                          <w:lock w:val="sdtLocked"/>
                          <w:richText/>
                        </w:sdtPr>
                        <w:sdtContent>
                          <w:r>
                            <w:t>4.2</w:t>
                          </w:r>
                        </w:sdtContent>
                      </w:sdt>
                      <w:r>
                        <w:t xml:space="preserve">. </w:t>
                      </w:r>
                      <w:r>
                        <w:rPr>
                          <w:b/>
                          <w:bCs/>
                        </w:rPr>
                        <w:t>bendruomeninė organizacija</w:t>
                      </w:r>
                      <w:r>
                        <w:t xml:space="preserve"> – asociacija, kurios steigėjai ir nariai yra tam tikros gyvenamosios vietovės (jos dalies arba kelių gyvenamųjų vietovių) gyventojai (jų atstovai) ir kurios paskirtis – per inicijuotus projektus įgyvendinti viešuosius interesus, susijusius su gyvenimu kaimynystėje;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ebdc438bc1e94ce1b13615ca2ea61683"/>
                    <w:lock w:val="sdtLocked"/>
                    <w:richText/>
                  </w:sdtPr>
                  <w:sdtContent>
                    <w:p>
                      <w:pPr>
                        <w:tabs>
                          <w:tab w:val="left" w:pos="720"/>
                        </w:tabs>
                        <w:overflowPunct w:val="0"/>
                        <w:ind w:firstLine="567"/>
                        <w:jc w:val="both"/>
                        <w:textAlignment w:val="baseline"/>
                      </w:pPr>
                      <w:sdt>
                        <w:sdtPr>
                          <w:alias w:val="Numeris"/>
                          <w:tag w:val="nr_ebdc438bc1e94ce1b13615ca2ea61683"/>
                          <w:lock w:val="sdtLocked"/>
                          <w:richText/>
                        </w:sdtPr>
                        <w:sdtContent>
                          <w:r>
                            <w:t>4.24</w:t>
                          </w:r>
                        </w:sdtContent>
                      </w:sdt>
                      <w:r>
                        <w:t xml:space="preserve">. </w:t>
                      </w:r>
                      <w:r>
                        <w:rPr>
                          <w:b/>
                          <w:bCs/>
                        </w:rPr>
                        <w:t>vietos valdžios atstovas</w:t>
                      </w:r>
                      <w:r>
                        <w:t xml:space="preserve"> – VVG teritorijoje veikiančios savivaldybės, kuri yra VVG narė, mero ar tarybos paskirtas asmuo, tos savivaldybės valdomos įmonės, administravimo subjekto ar kitos VVG teritorijoje veikiančios valstybės įstaigos, organizacijos, kurios yra VVG narės, atstovas (išskyrus savivaldybės politikus ir politinio (asmeninio) pasitikėjimo valstybės tarnautojus),</w:t>
                      </w:r>
                      <w:r>
                        <w:rPr>
                          <w:b/>
                          <w:bCs/>
                        </w:rPr>
                        <w:t xml:space="preserve"> </w:t>
                      </w:r>
                      <w:r>
                        <w:t xml:space="preserve">kurio dalyvavimo kolegialaus VVG valdymo organo veikloje tikslas – atstovauti viešajam interesui; </w:t>
                      </w:r>
                    </w:p>
                    <w:p>
                      <w:pPr>
                        <w:tabs>
                          <w:tab w:val="left" w:pos="720"/>
                        </w:tabs>
                        <w:overflowPunct w:val="0"/>
                        <w:jc w:val="both"/>
                        <w:textAlignment w:val="baseline"/>
                        <w:rPr>
                          <w:i/>
                          <w:sz w:val="20"/>
                        </w:rPr>
                      </w:pPr>
                      <w:r>
                        <w:rPr>
                          <w:b/>
                          <w:i/>
                          <w:sz w:val="20"/>
                        </w:rPr>
                        <w:t>TAR pastaba.</w:t>
                      </w:r>
                      <w:r>
                        <w:rPr>
                          <w:i/>
                          <w:sz w:val="20"/>
                        </w:rPr>
                        <w:t xml:space="preserve"> 4.24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6907ea9d37c54972a8fefa916db218c8"/>
                        <w:lock w:val="sdtLocked"/>
                        <w:richText/>
                      </w:sdtPr>
                      <w:sdtContent>
                        <w:p>
                          <w:pPr>
                            <w:tabs>
                              <w:tab w:val="left" w:pos="720"/>
                            </w:tabs>
                            <w:overflowPunct w:val="0"/>
                            <w:ind w:firstLine="567"/>
                            <w:jc w:val="both"/>
                            <w:textAlignment w:val="baseline"/>
                          </w:pPr>
                          <w:sdt>
                            <w:sdtPr>
                              <w:alias w:val="Numeris"/>
                              <w:tag w:val="nr_6907ea9d37c54972a8fefa916db218c8"/>
                              <w:lock w:val="sdtLocked"/>
                              <w:richText/>
                            </w:sdtPr>
                            <w:sdtContent>
                              <w:r>
                                <w:t>12.4.3</w:t>
                              </w:r>
                            </w:sdtContent>
                          </w:sdt>
                          <w:r>
                            <w:t xml:space="preserve">. vietos valdžiai – iki 30 proc. narių; </w:t>
                          </w:r>
                        </w:p>
                        <w:p>
                          <w:pPr>
                            <w:tabs>
                              <w:tab w:val="left" w:pos="720"/>
                            </w:tabs>
                            <w:overflowPunct w:val="0"/>
                            <w:jc w:val="both"/>
                            <w:textAlignment w:val="baseline"/>
                            <w:rPr>
                              <w:i/>
                              <w:sz w:val="20"/>
                            </w:rPr>
                          </w:pPr>
                          <w:r>
                            <w:rPr>
                              <w:b/>
                              <w:i/>
                              <w:sz w:val="20"/>
                            </w:rPr>
                            <w:t>TAR pastaba.</w:t>
                          </w:r>
                          <w:r>
                            <w:rPr>
                              <w:i/>
                              <w:sz w:val="20"/>
                            </w:rPr>
                            <w:t xml:space="preserve"> 12.4.3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f1a544d46af4bc1830f0b3156065376"/>
                        <w:lock w:val="sdtLocked"/>
                        <w:richText/>
                      </w:sdtPr>
                      <w:sdtContent>
                        <w:p>
                          <w:pPr>
                            <w:tabs>
                              <w:tab w:val="left" w:pos="720"/>
                            </w:tabs>
                            <w:overflowPunct w:val="0"/>
                            <w:ind w:firstLine="567"/>
                            <w:jc w:val="both"/>
                            <w:textAlignment w:val="baseline"/>
                          </w:pPr>
                          <w:sdt>
                            <w:sdtPr>
                              <w:alias w:val="Numeris"/>
                              <w:tag w:val="nr_1f1a544d46af4bc1830f0b3156065376"/>
                              <w:lock w:val="sdtLocked"/>
                              <w:richText/>
                            </w:sdtPr>
                            <w:sdtContent>
                              <w:r>
                                <w:t>13.4.3</w:t>
                              </w:r>
                            </w:sdtContent>
                          </w:sdt>
                          <w:r>
                            <w:t xml:space="preserve">. vietos valdžiai– iki 30 proc. narių; </w:t>
                          </w:r>
                        </w:p>
                        <w:p>
                          <w:pPr>
                            <w:tabs>
                              <w:tab w:val="left" w:pos="720"/>
                            </w:tabs>
                            <w:overflowPunct w:val="0"/>
                            <w:jc w:val="both"/>
                            <w:textAlignment w:val="baseline"/>
                            <w:rPr>
                              <w:i/>
                              <w:sz w:val="20"/>
                            </w:rPr>
                          </w:pPr>
                          <w:r>
                            <w:rPr>
                              <w:b/>
                              <w:i/>
                              <w:sz w:val="20"/>
                            </w:rPr>
                            <w:t>TAR pastaba.</w:t>
                          </w:r>
                          <w:r>
                            <w:rPr>
                              <w:i/>
                              <w:sz w:val="20"/>
                            </w:rPr>
                            <w:t xml:space="preserve"> 13.4.3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862b9bf548a04d0f8f4cd0a2370eb2a6"/>
                        <w:lock w:val="sdtLocked"/>
                        <w:richText/>
                      </w:sdtPr>
                      <w:sdtContent>
                        <w:p>
                          <w:pPr>
                            <w:tabs>
                              <w:tab w:val="left" w:pos="1276"/>
                            </w:tabs>
                            <w:overflowPunct w:val="0"/>
                            <w:ind w:firstLine="567"/>
                            <w:jc w:val="both"/>
                            <w:textAlignment w:val="baseline"/>
                          </w:pPr>
                          <w:sdt>
                            <w:sdtPr>
                              <w:alias w:val="Numeris"/>
                              <w:tag w:val="nr_862b9bf548a04d0f8f4cd0a2370eb2a6"/>
                              <w:lock w:val="sdtLocked"/>
                              <w:richText/>
                            </w:sdtPr>
                            <w:sdtContent>
                              <w:r>
                                <w:t>15.2.1</w:t>
                              </w:r>
                            </w:sdtContent>
                          </w:sdt>
                          <w:r>
                            <w:t xml:space="preserve">. VPS administravimo vadovui – turėti aukštąjį išsilavinimą ir ne mažesnę nei            3 m. darbo patirtį projektų valdymo srityje; arba turėti ne mažesnę negu 5 m. darbo patirtį VPS administravimo ir įgyvendinimo srityje. VPS administravimo vadovo pareigų negali eiti asmuo, tuo pat metu esantis VVG kolegialaus organo nariu; </w:t>
                          </w:r>
                        </w:p>
                        <w:p>
                          <w:pPr>
                            <w:tabs>
                              <w:tab w:val="left" w:pos="1276"/>
                            </w:tabs>
                            <w:overflowPunct w:val="0"/>
                            <w:jc w:val="both"/>
                            <w:textAlignment w:val="baseline"/>
                            <w:rPr>
                              <w:i/>
                              <w:sz w:val="20"/>
                            </w:rPr>
                          </w:pPr>
                          <w:r>
                            <w:rPr>
                              <w:b/>
                              <w:i/>
                              <w:sz w:val="20"/>
                            </w:rPr>
                            <w:t xml:space="preserve">TAR pastaba. </w:t>
                          </w:r>
                          <w:r>
                            <w:rPr>
                              <w:i/>
                              <w:sz w:val="20"/>
                            </w:rPr>
                            <w:t>15.2.1 papunktyje nustatyti reikalavimai taikomi tik naujai į darbą priimamiems VPS vykdytojos darbuotojams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2.2 p."/>
                        <w:tag w:val="part_22e31c399327454bb36f144bc7cafab5"/>
                        <w:lock w:val="sdtLocked"/>
                        <w:richText/>
                      </w:sdtPr>
                      <w:sdtContent>
                        <w:p>
                          <w:pPr>
                            <w:tabs>
                              <w:tab w:val="left" w:pos="720"/>
                            </w:tabs>
                            <w:overflowPunct w:val="0"/>
                            <w:ind w:firstLine="567"/>
                            <w:jc w:val="both"/>
                            <w:textAlignment w:val="baseline"/>
                            <w:rPr>
                              <w:szCs w:val="24"/>
                            </w:rPr>
                          </w:pPr>
                          <w:sdt>
                            <w:sdtPr>
                              <w:alias w:val="Numeris"/>
                              <w:tag w:val="nr_22e31c399327454bb36f144bc7cafab5"/>
                              <w:lock w:val="sdtLocked"/>
                              <w:richText/>
                            </w:sdtPr>
                            <w:sdtContent>
                              <w:r>
                                <w:rPr>
                                  <w:szCs w:val="24"/>
                                </w:rPr>
                                <w:t>15.2.2</w:t>
                              </w:r>
                            </w:sdtContent>
                          </w:sdt>
                          <w:r>
                            <w:rPr>
                              <w:szCs w:val="24"/>
                            </w:rPr>
                            <w:t>. VPS buhalterinės apskaitos specialistui ir (arba) finansininkui – turėti aukštąjį išsilavinimą ir ne mažesnę nei 2 m. darbo patirtį buhalterinės apskaitos tvarkymo ir (arba) finansų valdymo srityje (šis reikalavimas netaikomas, jeigu VPS finansų valdymui pasitelkiama buhalterinės apskaitos paslaugas teikianti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2.3 p."/>
                        <w:tag w:val="part_e790510b5dd74aa89490cbbf787f7d9d"/>
                        <w:lock w:val="sdtLocked"/>
                        <w:richText/>
                      </w:sdtPr>
                      <w:sdtContent>
                        <w:p>
                          <w:pPr>
                            <w:overflowPunct w:val="0"/>
                            <w:ind w:firstLine="567"/>
                            <w:jc w:val="both"/>
                            <w:textAlignment w:val="baseline"/>
                            <w:rPr>
                              <w:szCs w:val="24"/>
                            </w:rPr>
                          </w:pPr>
                          <w:sdt>
                            <w:sdtPr>
                              <w:alias w:val="Numeris"/>
                              <w:tag w:val="nr_e790510b5dd74aa89490cbbf787f7d9d"/>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2-1 pp."/>
                    <w:tag w:val="part_cf0a50dd68ff467f98ae5a4c4a329c3d"/>
                    <w:lock w:val="sdtLocked"/>
                    <w:richText/>
                  </w:sdtPr>
                  <w:sdtContent>
                    <w:p>
                      <w:pPr>
                        <w:tabs>
                          <w:tab w:val="left" w:pos="993"/>
                        </w:tabs>
                        <w:overflowPunct w:val="0"/>
                        <w:ind w:firstLine="567"/>
                        <w:jc w:val="both"/>
                        <w:textAlignment w:val="baseline"/>
                        <w:rPr>
                          <w:szCs w:val="24"/>
                        </w:rPr>
                      </w:pPr>
                      <w:sdt>
                        <w:sdtPr>
                          <w:alias w:val="Numeris"/>
                          <w:tag w:val="nr_cf0a50dd68ff467f98ae5a4c4a329c3d"/>
                          <w:lock w:val="sdtLocked"/>
                          <w:richText/>
                        </w:sdtPr>
                        <w:sdtContent>
                          <w:r>
                            <w:t>15.2</w:t>
                          </w:r>
                          <w:r>
                            <w:rPr>
                              <w:vertAlign w:val="superscript"/>
                            </w:rPr>
                            <w:t>1</w:t>
                          </w:r>
                        </w:sdtContent>
                      </w:sdt>
                      <w:r>
                        <w:t xml:space="preserve">. Formuojant ar keičiant VPS administraciją (įskaitant VPS administravimo vadovą) turi būti užtikrintas viešųjų ir privačių interesų derinimas, imamasi kitų korupcijos prevencijos priemonių vadovaujantis Lietuvos Respublikos korupcijos prevencijos įstatymu;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b55cebcb72694ec386969e07406bbdf8"/>
                        <w:lock w:val="sdtLocked"/>
                        <w:richText/>
                      </w:sdtPr>
                      <w:sdtContent>
                        <w:p>
                          <w:pPr>
                            <w:tabs>
                              <w:tab w:val="left" w:pos="720"/>
                            </w:tabs>
                            <w:overflowPunct w:val="0"/>
                            <w:ind w:firstLine="567"/>
                            <w:jc w:val="both"/>
                            <w:textAlignment w:val="baseline"/>
                          </w:pPr>
                          <w:sdt>
                            <w:sdtPr>
                              <w:alias w:val="Numeris"/>
                              <w:tag w:val="nr_b55cebcb72694ec386969e07406bbdf8"/>
                              <w:lock w:val="sdtLocked"/>
                              <w:richText/>
                            </w:sdtPr>
                            <w:sdtContent>
                              <w:r>
                                <w:t>15.3.3</w:t>
                              </w:r>
                            </w:sdtContent>
                          </w:sdt>
                          <w:r>
                            <w:t>. užtikrintų tinkamą viešųjų ir privačių interesų derinimą, t. y. Lietuvos Respublikos viešųjų ir privačių interesų derinimo valstybės tarnyboje įstatymo nustatyta tvarka deklaruotų privačius interesus ir sutiktų teikti minėtas deklaracijas (jeigu šios nėra viešai prieinamos) bei jų pakeitimus VVG ir Agentūrai. Savivaldybės administracijos struktūrinių padalinių vadovai, kiti</w:t>
                          </w:r>
                          <w:r>
                            <w:rPr>
                              <w:b/>
                              <w:bCs/>
                            </w:rPr>
                            <w:t xml:space="preserve"> </w:t>
                          </w:r>
                          <w:r>
                            <w:t xml:space="preserve">darbuotojai, jos valdomų įmonių, savivaldybės administravimo subjektų ar kitos VVG teritorijoje veikiančios valstybės įstaigos, organizacijos, kurios yra VVG narės, </w:t>
                          </w:r>
                          <w:r>
                            <w:rPr>
                              <w:b/>
                              <w:bCs/>
                            </w:rPr>
                            <w:t xml:space="preserve"> </w:t>
                          </w:r>
                          <w:r>
                            <w:t xml:space="preserve">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 </w:t>
                          </w:r>
                        </w:p>
                        <w:p>
                          <w:pPr>
                            <w:tabs>
                              <w:tab w:val="left" w:pos="720"/>
                            </w:tabs>
                            <w:overflowPunct w:val="0"/>
                            <w:jc w:val="both"/>
                            <w:textAlignment w:val="baseline"/>
                            <w:rPr>
                              <w:i/>
                              <w:sz w:val="20"/>
                            </w:rPr>
                          </w:pPr>
                          <w:r>
                            <w:rPr>
                              <w:b/>
                              <w:i/>
                              <w:sz w:val="20"/>
                            </w:rPr>
                            <w:t>TAR pastaba.</w:t>
                          </w:r>
                          <w:r>
                            <w:rPr>
                              <w:i/>
                              <w:sz w:val="20"/>
                            </w:rPr>
                            <w:t xml:space="preserve"> 15.3.3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4 p."/>
                        <w:tag w:val="part_8946148b354240d586d9e8224eb3b59a"/>
                        <w:lock w:val="sdtLocked"/>
                        <w:richText/>
                      </w:sdtPr>
                      <w:sdtContent>
                        <w:p>
                          <w:pPr>
                            <w:tabs>
                              <w:tab w:val="left" w:pos="720"/>
                            </w:tabs>
                            <w:overflowPunct w:val="0"/>
                            <w:ind w:firstLine="567"/>
                            <w:jc w:val="both"/>
                            <w:textAlignment w:val="baseline"/>
                          </w:pPr>
                          <w:sdt>
                            <w:sdtPr>
                              <w:alias w:val="Numeris"/>
                              <w:tag w:val="nr_8946148b354240d586d9e8224eb3b59a"/>
                              <w:lock w:val="sdtLocked"/>
                              <w:richText/>
                            </w:sdtPr>
                            <w:sdtContent>
                              <w:r>
                                <w:rPr>
                                  <w:szCs w:val="24"/>
                                </w:rPr>
                                <w:t>15.3.4</w:t>
                              </w:r>
                            </w:sdtContent>
                          </w:sdt>
                          <w:r>
                            <w:rPr>
                              <w:szCs w:val="24"/>
                            </w:rPr>
                            <w:t>. būtų išklausę iki visuotinio narių susirinkimo rinkimų į vienasmenį ir (ar) kolegialų valdymo organą, arba įsipareigotų per 6 mėn. nuo išrinkimo į vienasmenį ir (ar) kolegialų VVG valdymo organą dienos išklausyti mokymo kursus, tiesiogiai susijusius su BIVP metodo taikymu (reikalavimas taikomas mažiausiai 1/3 kolegialaus VVG valdymo organo narių). Tinkamais pripažįstami mokymo kursai, kurių kodai yra 596131007, 596131008 ir 396131007;</w:t>
                          </w:r>
                          <w:r>
                            <w:t xml:space="preserve"> </w:t>
                          </w:r>
                        </w:p>
                        <w:p>
                          <w:pPr>
                            <w:tabs>
                              <w:tab w:val="left" w:pos="720"/>
                            </w:tabs>
                            <w:overflowPunct w:val="0"/>
                            <w:jc w:val="both"/>
                            <w:textAlignment w:val="baseline"/>
                            <w:rPr>
                              <w:i/>
                              <w:sz w:val="20"/>
                            </w:rPr>
                          </w:pPr>
                          <w:r>
                            <w:rPr>
                              <w:b/>
                              <w:i/>
                              <w:sz w:val="20"/>
                            </w:rPr>
                            <w:t>TAR pastaba.</w:t>
                          </w:r>
                          <w:r>
                            <w:rPr>
                              <w:i/>
                              <w:sz w:val="20"/>
                            </w:rPr>
                            <w:t xml:space="preserve"> 15.3.4 papunkčio nuostatos taikomos po 2021 m. birželio 11 d. įsakymo Nr. 3D-389 įsigaliojimo datos (2021-06-12) naujai renkamiems vienasmenio ir (ar) kolegialaus valdymo organams. Tuo atveju, jeigu iki vienasmenio ir (ar) kolegialaus organų rinkimų liko mažiau nei 30 kalendorinių dienų, reikalavimams įgyvendinti taikomas 6 mėnesių laikotarpis, skaičiuojant jį nuo faktinių rinkimų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5 pp."/>
                        <w:tag w:val="part_8422539073564605955e09e5c44ed92f"/>
                        <w:lock w:val="sdtLocked"/>
                        <w:richText/>
                      </w:sdtPr>
                      <w:sdtContent>
                        <w:p>
                          <w:pPr>
                            <w:tabs>
                              <w:tab w:val="left" w:pos="720"/>
                            </w:tabs>
                            <w:overflowPunct w:val="0"/>
                            <w:ind w:firstLine="567"/>
                            <w:jc w:val="both"/>
                            <w:textAlignment w:val="baseline"/>
                          </w:pPr>
                          <w:sdt>
                            <w:sdtPr>
                              <w:alias w:val="Numeris"/>
                              <w:tag w:val="nr_8422539073564605955e09e5c44ed92f"/>
                              <w:lock w:val="sdtLocked"/>
                              <w:richText/>
                            </w:sdtPr>
                            <w:sdtContent>
                              <w:r>
                                <w:rPr>
                                  <w:szCs w:val="24"/>
                                </w:rPr>
                                <w:t>15.3.5</w:t>
                              </w:r>
                            </w:sdtContent>
                          </w:sdt>
                          <w:r>
                            <w:rPr>
                              <w:szCs w:val="24"/>
                            </w:rPr>
                            <w:t>. būtų išklausę iki visuotinio narių susirinkimo rinkimų į vienasmenį ir (ar) kolegialų valdymo organą, arba įsipareigotų per 6 mėn. nuo išrinkimo į vienasmenį ir (ar) kolegialų VVG valdymo organą dienos išklausyti viešųjų ir privačių interesų derinimo ir deklaravimo bei korupcijos prevencijos kursus;</w:t>
                          </w:r>
                          <w:r>
                            <w:t xml:space="preserve"> </w:t>
                          </w:r>
                        </w:p>
                        <w:p>
                          <w:pPr>
                            <w:tabs>
                              <w:tab w:val="left" w:pos="720"/>
                            </w:tabs>
                            <w:overflowPunct w:val="0"/>
                            <w:jc w:val="both"/>
                            <w:textAlignment w:val="baseline"/>
                            <w:rPr>
                              <w:szCs w:val="24"/>
                            </w:rPr>
                          </w:pPr>
                          <w:r>
                            <w:rPr>
                              <w:b/>
                              <w:i/>
                              <w:sz w:val="20"/>
                            </w:rPr>
                            <w:t>TAR pastaba</w:t>
                          </w:r>
                          <w:r>
                            <w:rPr>
                              <w:i/>
                              <w:sz w:val="20"/>
                            </w:rPr>
                            <w:t>. 15.3.5 papunkčio nuostatos taikomos išrinktiems iki 2021 m. birželio 11 d. įsakymo Nr. 3D-389 įsigaliojimo datos (2021-06-12) ir veikiantiems vienasmeniams ir kolegialiems valdymo organams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Content>
                </w:sdt>
                <w:sdt>
                  <w:sdtPr>
                    <w:alias w:val="15.4 p."/>
                    <w:tag w:val="part_fa5d1df5ffe84a82844264517d840489"/>
                    <w:lock w:val="sdtLocked"/>
                    <w:richText/>
                  </w:sdtPr>
                  <w:sdtContent>
                    <w:p>
                      <w:pPr>
                        <w:tabs>
                          <w:tab w:val="left" w:pos="720"/>
                        </w:tabs>
                        <w:overflowPunct w:val="0"/>
                        <w:ind w:firstLine="567"/>
                        <w:jc w:val="both"/>
                        <w:textAlignment w:val="baseline"/>
                        <w:rPr>
                          <w:szCs w:val="24"/>
                        </w:rPr>
                      </w:pPr>
                      <w:sdt>
                        <w:sdtPr>
                          <w:alias w:val="Numeris"/>
                          <w:tag w:val="nr_fa5d1df5ffe84a82844264517d840489"/>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„Dėl Suteiktos paramos pagal Lietuvos kaimo plėtros 2014–2020 metų programą viešinimo taisyklių patvirtinimo“, ir VPS administravimo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10cb83adb5974aab92242dfac98bb0ac"/>
                <w:lock w:val="sdtLocked"/>
                <w:richText/>
              </w:sdtPr>
              <w:sdtContent>
                <w:p>
                  <w:pPr>
                    <w:ind w:firstLine="567"/>
                    <w:jc w:val="both"/>
                  </w:pPr>
                  <w:sdt>
                    <w:sdtPr>
                      <w:alias w:val="Numeris"/>
                      <w:tag w:val="nr_10cb83adb5974aab92242dfac98bb0ac"/>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sdtContent>
            </w:sdt>
            <w:sdt>
              <w:sdtPr>
                <w:alias w:val="22-1 p."/>
                <w:tag w:val="part_aac5c436cdaa4b429c33eb86df2c12a5"/>
                <w:lock w:val="sdtLocked"/>
                <w:richText/>
              </w:sdtPr>
              <w:sdtContent>
                <w:p>
                  <w:pPr>
                    <w:tabs>
                      <w:tab w:val="left" w:pos="720"/>
                    </w:tabs>
                    <w:overflowPunct w:val="0"/>
                    <w:ind w:firstLine="567"/>
                    <w:jc w:val="both"/>
                    <w:textAlignment w:val="baseline"/>
                    <w:rPr>
                      <w:kern w:val="28"/>
                      <w:szCs w:val="24"/>
                    </w:rPr>
                  </w:pPr>
                  <w:sdt>
                    <w:sdtPr>
                      <w:alias w:val="Numeris"/>
                      <w:tag w:val="nr_aac5c436cdaa4b429c33eb86df2c12a5"/>
                      <w:lock w:val="sdtLocked"/>
                      <w:richText/>
                    </w:sdtPr>
                    <w:sdtContent>
                      <w:r>
                        <w:rPr>
                          <w:szCs w:val="24"/>
                        </w:rPr>
                        <w:t>22</w:t>
                      </w:r>
                      <w:r>
                        <w:rPr>
                          <w:szCs w:val="24"/>
                          <w:vertAlign w:val="superscript"/>
                        </w:rPr>
                        <w:t>1</w:t>
                      </w:r>
                    </w:sdtContent>
                  </w:sdt>
                  <w:r>
                    <w:rPr>
                      <w:szCs w:val="24"/>
                    </w:rPr>
                    <w:t>. Pereinamuoju laikotarpiu EURI ir pereinamojo laikotarpio lėšomis gali būti papildyti visų VPS priemonių ir (ar) veiklos sričių biudžetai arba pasirinktos konkrečios VPS priemonės ir (ar) veiklos sritys, kurių įgyvendinimas pratęsiamas, nepažeidžiant EURI lėšų naudojimo ir VPS tikslų.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a6c2a41e76e3474e88fd13cec990e08a"/>
                <w:lock w:val="sdtLocked"/>
                <w:richText/>
              </w:sdtPr>
              <w:sdtContent>
                <w:p>
                  <w:pPr>
                    <w:tabs>
                      <w:tab w:val="left" w:pos="567"/>
                    </w:tabs>
                    <w:ind w:firstLine="567"/>
                    <w:jc w:val="both"/>
                  </w:pPr>
                  <w:sdt>
                    <w:sdtPr>
                      <w:alias w:val="Numeris"/>
                      <w:tag w:val="nr_a6c2a41e76e3474e88fd13cec990e08a"/>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sdtContent>
            </w:sdt>
            <w:sdt>
              <w:sdtPr>
                <w:alias w:val="25-1 p."/>
                <w:tag w:val="part_d4b50c40e7ec40debdbb254a58abb751"/>
                <w:lock w:val="sdtLocked"/>
                <w:richText/>
              </w:sdtPr>
              <w:sdtContent>
                <w:p>
                  <w:pPr>
                    <w:tabs>
                      <w:tab w:val="left" w:pos="720"/>
                    </w:tabs>
                    <w:overflowPunct w:val="0"/>
                    <w:ind w:firstLine="567"/>
                    <w:jc w:val="both"/>
                    <w:textAlignment w:val="baseline"/>
                    <w:rPr>
                      <w:b/>
                      <w:szCs w:val="24"/>
                    </w:rPr>
                  </w:pPr>
                  <w:sdt>
                    <w:sdtPr>
                      <w:alias w:val="Numeris"/>
                      <w:tag w:val="nr_d4b50c40e7ec40debdbb254a58abb751"/>
                      <w:lock w:val="sdtLocked"/>
                      <w:richText/>
                    </w:sdtPr>
                    <w:sdtContent>
                      <w:r>
                        <w:rPr>
                          <w:szCs w:val="24"/>
                        </w:rPr>
                        <w:t>25</w:t>
                      </w:r>
                      <w:r>
                        <w:rPr>
                          <w:szCs w:val="24"/>
                          <w:vertAlign w:val="superscript"/>
                        </w:rPr>
                        <w:t>1</w:t>
                      </w:r>
                    </w:sdtContent>
                  </w:sdt>
                  <w:r>
                    <w:rPr>
                      <w:szCs w:val="24"/>
                    </w:rPr>
                    <w:t>. Pereinamuoju laikotarpiu skiriant EURI ir pereinamojo laikotarpio lėšas VPS įgyvendinti atranka netaikoma, tačiau atliekant pereinamojo laikotarpio ir EURI lėšų integravimą į VPS turi būti išsaugoma atitiktis VPS kriterijams.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4f7ab48768bf4fa58c5eca445531d63d"/>
                <w:lock w:val="sdtLocked"/>
                <w:richText/>
              </w:sdtPr>
              <w:sdtContent>
                <w:p>
                  <w:pPr>
                    <w:tabs>
                      <w:tab w:val="left" w:pos="567"/>
                    </w:tabs>
                    <w:overflowPunct w:val="0"/>
                    <w:ind w:firstLine="567"/>
                    <w:jc w:val="both"/>
                    <w:textAlignment w:val="baseline"/>
                  </w:pPr>
                  <w:sdt>
                    <w:sdtPr>
                      <w:alias w:val="Numeris"/>
                      <w:tag w:val="nr_4f7ab48768bf4fa58c5eca445531d63d"/>
                      <w:lock w:val="sdtLocked"/>
                      <w:richText/>
                    </w:sdtPr>
                    <w:sdtContent>
                      <w:r>
                        <w:rPr>
                          <w:szCs w:val="24"/>
                        </w:rPr>
                        <w:t>26</w:t>
                      </w:r>
                    </w:sdtContent>
                  </w:sdt>
                  <w:r>
                    <w:rPr>
                      <w:szCs w:val="24"/>
                    </w:rPr>
                    <w:t>. Paramos dydis kaimo vietovių VPS ir dvisektorei VPS įgyvendinti apskaičiuojamas vadovaujantis paramos VPS įgyvendinti bendruomenių inicijuotos vietos plėtros būdu skyrimo ir skaičiavimo metodikomis, patvirtintomis Lietuvos Respublikos</w:t>
                  </w:r>
                  <w:r>
                    <w:t xml:space="preserve"> </w:t>
                  </w:r>
                  <w:r>
                    <w:rPr>
                      <w:szCs w:val="24"/>
                    </w:rPr>
                    <w:t xml:space="preserve">žemės ūkio ministro 2015 m. rugpjūčio 20 d. įsakymu Nr. 3D-647 „Dėl Paramos vietos plėtros strategijoms įgyvendinti bendruomenių inicijuotos vietos plėtros būdu skyrimo ir skaičiavimo metodikų patvirtinimo“ (toliau – VPS lėšų metodikų patvirtinimo įsakymas).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6-1 p."/>
                <w:tag w:val="part_93ff524e5152484a8ed0dcc9ccb9826e"/>
                <w:lock w:val="sdtLocked"/>
                <w:richText/>
              </w:sdtPr>
              <w:sdtContent>
                <w:p>
                  <w:pPr>
                    <w:tabs>
                      <w:tab w:val="left" w:pos="720"/>
                    </w:tabs>
                    <w:overflowPunct w:val="0"/>
                    <w:ind w:firstLine="567"/>
                    <w:jc w:val="both"/>
                    <w:textAlignment w:val="baseline"/>
                    <w:rPr>
                      <w:szCs w:val="24"/>
                    </w:rPr>
                  </w:pPr>
                  <w:sdt>
                    <w:sdtPr>
                      <w:alias w:val="Numeris"/>
                      <w:tag w:val="nr_93ff524e5152484a8ed0dcc9ccb9826e"/>
                      <w:lock w:val="sdtLocked"/>
                      <w:richText/>
                    </w:sdtPr>
                    <w:sdtContent>
                      <w:r>
                        <w:rPr>
                          <w:szCs w:val="24"/>
                        </w:rPr>
                        <w:t>26</w:t>
                      </w:r>
                      <w:r>
                        <w:rPr>
                          <w:szCs w:val="24"/>
                          <w:vertAlign w:val="superscript"/>
                        </w:rPr>
                        <w:t>1</w:t>
                      </w:r>
                    </w:sdtContent>
                  </w:sdt>
                  <w:r>
                    <w:rPr>
                      <w:szCs w:val="24"/>
                    </w:rPr>
                    <w:t>. paramos dydis kaimo vietovių VPS ir dvisektorėms VPS kaimo vietovėse įgyvendinti apskaičiuojamas vadovaujantis VPS lėšų metodikų patvirtinimo įsakymo priede pateikta Paramos kaimo vietovių ir dvisektorėms vietos plėtros strategijoms įgyvendinti bendruomenių inicijuotos vietos plėtros būdu pereinamuoju laikotarpiu (2021 m. ir 2022 m.) skyrimo ir skaičiavimo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c7f192633f1a4d0988c2f272d06b0fa1"/>
                        <w:lock w:val="sdtLocked"/>
                        <w:richText/>
                      </w:sdtPr>
                      <w:sdtContent>
                        <w:p>
                          <w:pPr>
                            <w:overflowPunct w:val="0"/>
                            <w:ind w:firstLine="567"/>
                            <w:jc w:val="both"/>
                            <w:textAlignment w:val="baseline"/>
                          </w:pPr>
                          <w:sdt>
                            <w:sdtPr>
                              <w:alias w:val="Numeris"/>
                              <w:tag w:val="nr_c7f192633f1a4d0988c2f272d06b0fa1"/>
                              <w:lock w:val="sdtLocked"/>
                              <w:richText/>
                            </w:sdtPr>
                            <w:sdtContent>
                              <w:r>
                                <w:t>27.1.3</w:t>
                              </w:r>
                            </w:sdtContent>
                          </w:sdt>
                          <w:r>
                            <w:t>. didžiausia paramos vietos projektui įgyvendinti lyginamoji dalis:</w:t>
                          </w:r>
                        </w:p>
                        <w:sdt>
                          <w:sdtPr>
                            <w:alias w:val="27.1.3.1 pp."/>
                            <w:tag w:val="part_fdbed9796c8d499fb0a4a4dbee1cfab2"/>
                            <w:lock w:val="sdtLocked"/>
                            <w:richText/>
                          </w:sdtPr>
                          <w:sdtContent>
                            <w:p>
                              <w:pPr>
                                <w:tabs>
                                  <w:tab w:val="left" w:pos="1134"/>
                                </w:tabs>
                                <w:overflowPunct w:val="0"/>
                                <w:ind w:firstLine="567"/>
                                <w:jc w:val="both"/>
                                <w:textAlignment w:val="baseline"/>
                              </w:pPr>
                              <w:sdt>
                                <w:sdtPr>
                                  <w:alias w:val="Numeris"/>
                                  <w:tag w:val="nr_fdbed9796c8d499fb0a4a4dbee1cfab2"/>
                                  <w:lock w:val="sdtLocked"/>
                                  <w:richText/>
                                </w:sdtPr>
                                <w:sdtContent>
                                  <w:r>
                                    <w:t>27.1.3.1</w:t>
                                  </w:r>
                                </w:sdtContent>
                              </w:sdt>
                              <w:r>
                                <w:t xml:space="preserve">. 80 proc. tinkamų finansuoti išlaidų, kai vietos projektas yra ne pelno;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27.1.3.2 pp."/>
                            <w:tag w:val="part_371d45ce391c49fead45223b185b6e7d"/>
                            <w:lock w:val="sdtLocked"/>
                            <w:richText/>
                          </w:sdtPr>
                          <w:sdtContent>
                            <w:p>
                              <w:pPr>
                                <w:overflowPunct w:val="0"/>
                                <w:ind w:firstLine="567"/>
                                <w:jc w:val="both"/>
                                <w:textAlignment w:val="baseline"/>
                              </w:pPr>
                              <w:sdt>
                                <w:sdtPr>
                                  <w:alias w:val="Numeris"/>
                                  <w:tag w:val="nr_371d45ce391c49fead45223b185b6e7d"/>
                                  <w:lock w:val="sdtLocked"/>
                                  <w:richText/>
                                </w:sdtPr>
                                <w:sdtContent>
                                  <w:r>
                                    <w:t>27.1.3.2</w:t>
                                  </w:r>
                                </w:sdtContent>
                              </w:sdt>
                              <w:r>
                                <w:t>. 80 proc. tinkamų finansuoti išlaidų, kai vietos projektas yra privataus socialinio verslo, atitinkančio Socialinio verslo vykdymo pagal Lietuvos kaimo plėtros 2014–2020 metų programos priemones gairių, patvirtintų Lietuvos Respublikos žemės ūkio ministro 2017 m. lapkričio 9 d. įsakymu Nr. 3D-720 „Dėl Socialinio verslo vykdymo pagal Lietuvos kaimo plėtros 2014–2020 metų programos priemones gairių patvirtinimo“ (toliau – Socialinio verslo gairės), nuostatas, pobūdžio;</w:t>
                              </w:r>
                            </w:p>
                          </w:sdtContent>
                        </w:sdt>
                        <w:sdt>
                          <w:sdtPr>
                            <w:alias w:val="27.1.3.3 pp."/>
                            <w:tag w:val="part_ff927e32e65f45dbb20739eb56192183"/>
                            <w:lock w:val="sdtLocked"/>
                            <w:richText/>
                          </w:sdtPr>
                          <w:sdtContent>
                            <w:p>
                              <w:pPr>
                                <w:overflowPunct w:val="0"/>
                                <w:ind w:firstLine="567"/>
                                <w:jc w:val="both"/>
                                <w:textAlignment w:val="baseline"/>
                              </w:pPr>
                              <w:sdt>
                                <w:sdtPr>
                                  <w:alias w:val="Numeris"/>
                                  <w:tag w:val="nr_ff927e32e65f45dbb20739eb56192183"/>
                                  <w:lock w:val="sdtLocked"/>
                                  <w:richText/>
                                </w:sdtPr>
                                <w:sdtContent>
                                  <w:r>
                                    <w:t>27.1.3.3</w:t>
                                  </w:r>
                                </w:sdtContent>
                              </w:sdt>
                              <w:r>
                                <w:t>. 95 proc. tinkamų finansuoti išlaidų, kai vietos projektas yra bendruomeninio, kaip apibrėžta Socialinio verslo gairėse, arba NVO socialinio verslo, atitinkančio Socialinio verslo gairių nuostatas, pobūdžio;</w:t>
                              </w:r>
                            </w:p>
                          </w:sdtContent>
                        </w:sdt>
                        <w:sdt>
                          <w:sdtPr>
                            <w:alias w:val="27.1.3.4 pp."/>
                            <w:tag w:val="part_cdd1ea51860d4f98983f102deadae565"/>
                            <w:lock w:val="sdtLocked"/>
                            <w:richText/>
                          </w:sdtPr>
                          <w:sdtContent>
                            <w:p>
                              <w:pPr>
                                <w:overflowPunct w:val="0"/>
                                <w:ind w:firstLine="567"/>
                                <w:jc w:val="both"/>
                                <w:textAlignment w:val="baseline"/>
                              </w:pPr>
                              <w:sdt>
                                <w:sdtPr>
                                  <w:alias w:val="Numeris"/>
                                  <w:tag w:val="nr_cdd1ea51860d4f98983f102deadae565"/>
                                  <w:lock w:val="sdtLocked"/>
                                  <w:richText/>
                                </w:sdtPr>
                                <w:sdtContent>
                                  <w:r>
                                    <w:t>27.1.3.4</w:t>
                                  </w:r>
                                </w:sdtContent>
                              </w:sdt>
                              <w:r>
                                <w:t>. kai ne pelno vietos projektas susijęs su investicijomis į žmogiškąjį kapitalą ir jį teikia viešasis juridinis asmuo arba NVO, yra:</w:t>
                              </w:r>
                            </w:p>
                            <w:sdt>
                              <w:sdtPr>
                                <w:alias w:val="27.1.3.4.1 pp."/>
                                <w:tag w:val="part_ae6ea9aec4a440eda02d586a4af97d44"/>
                                <w:lock w:val="sdtLocked"/>
                                <w:richText/>
                              </w:sdtPr>
                              <w:sdtContent>
                                <w:p>
                                  <w:pPr>
                                    <w:overflowPunct w:val="0"/>
                                    <w:ind w:firstLine="567"/>
                                    <w:jc w:val="both"/>
                                    <w:textAlignment w:val="baseline"/>
                                  </w:pPr>
                                  <w:sdt>
                                    <w:sdtPr>
                                      <w:alias w:val="Numeris"/>
                                      <w:tag w:val="nr_ae6ea9aec4a440eda02d586a4af97d44"/>
                                      <w:lock w:val="sdtLocked"/>
                                      <w:richText/>
                                    </w:sdtPr>
                                    <w:sdtContent>
                                      <w:r>
                                        <w:t>27.1.3.4.1</w:t>
                                      </w:r>
                                    </w:sdtContent>
                                  </w:sdt>
                                  <w: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4.2 pp."/>
                                <w:tag w:val="part_e634e676fd9b4e96ba541e4cec590ad9"/>
                                <w:lock w:val="sdtLocked"/>
                                <w:richText/>
                              </w:sdtPr>
                              <w:sdtContent>
                                <w:p>
                                  <w:pPr>
                                    <w:overflowPunct w:val="0"/>
                                    <w:ind w:firstLine="567"/>
                                    <w:jc w:val="both"/>
                                    <w:textAlignment w:val="baseline"/>
                                  </w:pPr>
                                  <w:sdt>
                                    <w:sdtPr>
                                      <w:alias w:val="Numeris"/>
                                      <w:tag w:val="nr_e634e676fd9b4e96ba541e4cec590ad9"/>
                                      <w:lock w:val="sdtLocked"/>
                                      <w:richText/>
                                    </w:sdtPr>
                                    <w:sdtContent>
                                      <w:r>
                                        <w:t>27.1.3.4.2</w:t>
                                      </w:r>
                                    </w:sdtContent>
                                  </w:sdt>
                                  <w:r>
                                    <w:t>. mokymų, didžiausia paramos lyginamoji dalis – 100 proc. tinkamų finansuoti išlaidų;</w:t>
                                  </w:r>
                                </w:p>
                              </w:sdtContent>
                            </w:sdt>
                          </w:sdtContent>
                        </w:sdt>
                        <w:sdt>
                          <w:sdtPr>
                            <w:alias w:val="27.1.3.5 pp."/>
                            <w:tag w:val="part_bf1700c4b2c549fab8c0f05ecfbc0201"/>
                            <w:lock w:val="sdtLocked"/>
                            <w:richText/>
                          </w:sdtPr>
                          <w:sdtContent>
                            <w:p>
                              <w:pPr>
                                <w:overflowPunct w:val="0"/>
                                <w:ind w:firstLine="567"/>
                                <w:jc w:val="both"/>
                                <w:textAlignment w:val="baseline"/>
                              </w:pPr>
                              <w:sdt>
                                <w:sdtPr>
                                  <w:alias w:val="Numeris"/>
                                  <w:tag w:val="nr_bf1700c4b2c549fab8c0f05ecfbc0201"/>
                                  <w:lock w:val="sdtLocked"/>
                                  <w:richText/>
                                </w:sdtPr>
                                <w:sdtContent>
                                  <w:r>
                                    <w:t>27.1.3.5</w:t>
                                  </w:r>
                                </w:sdtContent>
                              </w:sdt>
                              <w: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p>
                          </w:sdtContent>
                        </w:sdt>
                        <w:sdt>
                          <w:sdtPr>
                            <w:alias w:val="27.1.3.6 pp."/>
                            <w:tag w:val="part_aff9e752410e492095814543fcc9a01f"/>
                            <w:lock w:val="sdtLocked"/>
                            <w:richText/>
                          </w:sdtPr>
                          <w:sdtContent>
                            <w:p>
                              <w:pPr>
                                <w:overflowPunct w:val="0"/>
                                <w:ind w:firstLine="567"/>
                                <w:jc w:val="both"/>
                                <w:textAlignment w:val="baseline"/>
                              </w:pPr>
                              <w:sdt>
                                <w:sdtPr>
                                  <w:alias w:val="Numeris"/>
                                  <w:tag w:val="nr_aff9e752410e492095814543fcc9a01f"/>
                                  <w:lock w:val="sdtLocked"/>
                                  <w:richText/>
                                </w:sdtPr>
                                <w:sdtContent>
                                  <w:r>
                                    <w:t>27.1.3.6</w:t>
                                  </w:r>
                                </w:sdtContent>
                              </w:sdt>
                              <w: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7 pp."/>
                            <w:tag w:val="part_3f0cb32bc9834e69a4ebc0412c69afd6"/>
                            <w:lock w:val="sdtLocked"/>
                            <w:richText/>
                          </w:sdtPr>
                          <w:sdtContent>
                            <w:p>
                              <w:pPr>
                                <w:overflowPunct w:val="0"/>
                                <w:ind w:firstLine="567"/>
                                <w:jc w:val="both"/>
                                <w:textAlignment w:val="baseline"/>
                              </w:pPr>
                              <w:sdt>
                                <w:sdtPr>
                                  <w:alias w:val="Numeris"/>
                                  <w:tag w:val="nr_3f0cb32bc9834e69a4ebc0412c69afd6"/>
                                  <w:lock w:val="sdtLocked"/>
                                  <w:richText/>
                                </w:sdtPr>
                                <w:sdtContent>
                                  <w:r>
                                    <w:t>27.1.3.7</w:t>
                                  </w:r>
                                </w:sdtContent>
                              </w:sdt>
                              <w: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8 pp."/>
                            <w:tag w:val="part_2ebb3bab0fba449b8b785909c4618da8"/>
                            <w:lock w:val="sdtLocked"/>
                            <w:richText/>
                          </w:sdtPr>
                          <w:sdtContent>
                            <w:p>
                              <w:pPr>
                                <w:overflowPunct w:val="0"/>
                                <w:ind w:firstLine="567"/>
                                <w:jc w:val="both"/>
                                <w:textAlignment w:val="baseline"/>
                                <w:rPr>
                                  <w:szCs w:val="24"/>
                                </w:rPr>
                              </w:pPr>
                              <w:sdt>
                                <w:sdtPr>
                                  <w:alias w:val="Numeris"/>
                                  <w:tag w:val="nr_2ebb3bab0fba449b8b785909c4618da8"/>
                                  <w:lock w:val="sdtLocked"/>
                                  <w:richText/>
                                </w:sdtPr>
                                <w:sdtContent>
                                  <w:r>
                                    <w:t>27.1.3.8</w:t>
                                  </w:r>
                                </w:sdtContent>
                              </w:sdt>
                              <w:r>
                                <w:t xml:space="preserve">. VVG turi teisę sumažinti didžiausią paramos lyginamąją dalį, nurodytą Taisyklių 27.1.3.1–27.1.3.6. papunkčiuose;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cb10fd1c11e8a969c20aa4d38bd4">
                            <w:r w:rsidRPr="00532B9F">
                              <w:rPr>
                                <w:rFonts w:ascii="Times New Roman" w:eastAsia="MS Mincho" w:hAnsi="Times New Roman"/>
                                <w:sz w:val="20"/>
                                <w:i/>
                                <w:iCs/>
                                <w:color w:val="0000FF" w:themeColor="hyperlink"/>
                                <w:u w:val="single"/>
                              </w:rPr>
                              <w:t>3D-887</w:t>
                            </w:r>
                          </w:fldSimple>
                          <w:r>
                            <w:rPr>
                              <w:rFonts w:ascii="Times New Roman" w:eastAsia="MS Mincho" w:hAnsi="Times New Roman"/>
                              <w:sz w:val="20"/>
                              <w:i/>
                              <w:iCs/>
                            </w:rPr>
                            <w:t>,
2018-12-11,
paskelbta TAR 2018-12-11, i. k. 2018-20230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2c2337b6ccb04aaf976fc190b8853ed0"/>
                                <w:lock w:val="sdtLocked"/>
                                <w:richText/>
                              </w:sdtPr>
                              <w:sdtContent>
                                <w:p>
                                  <w:pPr>
                                    <w:tabs>
                                      <w:tab w:val="left" w:pos="993"/>
                                    </w:tabs>
                                    <w:overflowPunct w:val="0"/>
                                    <w:ind w:firstLine="567"/>
                                    <w:jc w:val="both"/>
                                    <w:textAlignment w:val="baseline"/>
                                  </w:pPr>
                                  <w:sdt>
                                    <w:sdtPr>
                                      <w:alias w:val="Numeris"/>
                                      <w:tag w:val="nr_2c2337b6ccb04aaf976fc190b8853ed0"/>
                                      <w:lock w:val="sdtLocked"/>
                                      <w:richText/>
                                    </w:sdtPr>
                                    <w:sdtContent>
                                      <w:r>
                                        <w:rPr>
                                          <w:szCs w:val="24"/>
                                        </w:rPr>
                                        <w:t>28.1.3.2.3</w:t>
                                      </w:r>
                                    </w:sdtContent>
                                  </w:sdt>
                                  <w:r>
                                    <w:rPr>
                                      <w:szCs w:val="24"/>
                                    </w:rPr>
                                    <w:t>. 50 proc. tinkamų finansuoti išlaidų, kai vietos projektas yra skirtas žuvininkystės verslui plėtoti arba pradėti, jį teikia juridinis arba fizinis asmuo.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Šiame papunktyje nurodyta paramos lyginamoji dalis vietos projektams didinama arba mažinama vadovaujantis Reglamento (ES) Nr. 508/2014 I priedu;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sdt>
                              <w:sdtPr>
                                <w:alias w:val="28.1.3.2.4 pp."/>
                                <w:tag w:val="part_4c150a8405f0401ba2edae1783163eed"/>
                                <w:lock w:val="sdtLocked"/>
                                <w:richText/>
                              </w:sdtPr>
                              <w:sdtContent>
                                <w:p>
                                  <w:pPr>
                                    <w:tabs>
                                      <w:tab w:val="left" w:pos="567"/>
                                    </w:tabs>
                                    <w:overflowPunct w:val="0"/>
                                    <w:ind w:firstLine="567"/>
                                    <w:jc w:val="both"/>
                                    <w:textAlignment w:val="baseline"/>
                                    <w:rPr>
                                      <w:szCs w:val="24"/>
                                    </w:rPr>
                                  </w:pPr>
                                  <w:sdt>
                                    <w:sdtPr>
                                      <w:alias w:val="Numeris"/>
                                      <w:tag w:val="nr_4c150a8405f0401ba2edae1783163eed"/>
                                      <w:lock w:val="sdtLocked"/>
                                      <w:richText/>
                                    </w:sdtPr>
                                    <w:sdtContent>
                                      <w:r>
                                        <w:rPr>
                                          <w:szCs w:val="24"/>
                                        </w:rPr>
                                        <w:t>28.1.3.2.4</w:t>
                                      </w:r>
                                    </w:sdtContent>
                                  </w:sdt>
                                  <w:r>
                                    <w:rPr>
                                      <w:szCs w:val="24"/>
                                    </w:rPr>
                                    <w:t>. 80 proc. tinkamų finansuoti išlaidų, kai vietos projektas yra skirtas žuvininkystės verslui plėtoti arba pradėti, jį teikia juridinis arba fizinis asmuo, ir pareiškėjas įrodo, kad</w:t>
                                  </w:r>
                                  <w:r>
                                    <w:rPr>
                                      <w:b/>
                                      <w:bCs/>
                                      <w:szCs w:val="24"/>
                                    </w:rPr>
                                    <w:t xml:space="preserve"> </w:t>
                                  </w:r>
                                  <w:r>
                                    <w:rPr>
                                      <w:szCs w:val="24"/>
                                    </w:rPr>
                                    <w:t>vietos projektas yra inovatyvus vietos lygiu vadovaujantis Lietuvos žuvininkystės sektoriaus 2014–2020 metų veiksmų programos priemonių projektuose diegiamų inovacijų vertinimo metodika, patvirtinta Lietuvos Respublikos žemės ūkio ministro 2016 m. sausio 29 d. įsakymu Nr. 3D42 „Dėl Lietuvos žuvininkystės sektoriaus 2014–2020 metų veiksmų programos priemonių projektuose diegiamų inovacijų vertinimo metodikos patvirtinimo“. Visuomenei turi būti suteikiama galimybė susipažinti su vietos projekto veiksmais ir rezultatais.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c9f10a1e611e8b93ad15b34c9248c">
            <w:r w:rsidRPr="00532B9F">
              <w:rPr>
                <w:rFonts w:ascii="Times New Roman" w:eastAsia="MS Mincho" w:hAnsi="Times New Roman"/>
                <w:sz w:val="20"/>
                <w:iCs/>
                <w:color w:val="0000FF" w:themeColor="hyperlink"/>
                <w:u w:val="single"/>
              </w:rPr>
              <w:t>3D-559</w:t>
            </w:r>
          </w:fldSimple>
          <w:r>
            <w:rPr>
              <w:rFonts w:ascii="Times New Roman" w:eastAsia="MS Mincho" w:hAnsi="Times New Roman"/>
              <w:sz w:val="20"/>
              <w:iCs/>
            </w:rPr>
            <w:t>,
2018-08-17,
paskelbta TAR 2018-08-17, i. k. 2018-13170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cb10fd1c11e8a969c20aa4d38bd4">
            <w:r w:rsidRPr="00532B9F">
              <w:rPr>
                <w:rFonts w:ascii="Times New Roman" w:eastAsia="MS Mincho" w:hAnsi="Times New Roman"/>
                <w:sz w:val="20"/>
                <w:iCs/>
                <w:color w:val="0000FF" w:themeColor="hyperlink"/>
                <w:u w:val="single"/>
              </w:rPr>
              <w:t>3D-887</w:t>
            </w:r>
          </w:fldSimple>
          <w:r>
            <w:rPr>
              <w:rFonts w:ascii="Times New Roman" w:eastAsia="MS Mincho" w:hAnsi="Times New Roman"/>
              <w:sz w:val="20"/>
              <w:iCs/>
            </w:rPr>
            <w:t>,
2018-12-11,
paskelbta TAR 2018-12-11, i. k. 2018-20230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dbf2601b0f11ea8e248c77339e1836">
            <w:r w:rsidRPr="00532B9F">
              <w:rPr>
                <w:rFonts w:ascii="Times New Roman" w:eastAsia="MS Mincho" w:hAnsi="Times New Roman"/>
                <w:sz w:val="20"/>
                <w:iCs/>
                <w:color w:val="0000FF" w:themeColor="hyperlink"/>
                <w:u w:val="single"/>
              </w:rPr>
              <w:t>3D-681</w:t>
            </w:r>
          </w:fldSimple>
          <w:r>
            <w:rPr>
              <w:rFonts w:ascii="Times New Roman" w:eastAsia="MS Mincho" w:hAnsi="Times New Roman"/>
              <w:sz w:val="20"/>
              <w:iCs/>
            </w:rPr>
            <w:t>,
2019-12-09,
paskelbta TAR 2019-12-10, i. k. 2019-19872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fbcb0dd6c11eaabd5b5599dd4eebe">
            <w:r w:rsidRPr="00532B9F">
              <w:rPr>
                <w:rFonts w:ascii="Times New Roman" w:eastAsia="MS Mincho" w:hAnsi="Times New Roman"/>
                <w:sz w:val="20"/>
                <w:iCs/>
                <w:color w:val="0000FF" w:themeColor="hyperlink"/>
                <w:u w:val="single"/>
              </w:rPr>
              <w:t>3D-596</w:t>
            </w:r>
          </w:fldSimple>
          <w:r>
            <w:rPr>
              <w:rFonts w:ascii="Times New Roman" w:eastAsia="MS Mincho" w:hAnsi="Times New Roman"/>
              <w:sz w:val="20"/>
              <w:iCs/>
            </w:rPr>
            <w:t>,
2020-08-13,
paskelbta TAR 2020-08-13, i. k. 2020-17326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43e4abeb11eb8bc8b1cdd5d7f785">
            <w:r w:rsidRPr="00532B9F">
              <w:rPr>
                <w:rFonts w:ascii="Times New Roman" w:eastAsia="MS Mincho" w:hAnsi="Times New Roman"/>
                <w:sz w:val="20"/>
                <w:iCs/>
                <w:color w:val="0000FF" w:themeColor="hyperlink"/>
                <w:u w:val="single"/>
              </w:rPr>
              <w:t>3D-295</w:t>
            </w:r>
          </w:fldSimple>
          <w:r>
            <w:rPr>
              <w:rFonts w:ascii="Times New Roman" w:eastAsia="MS Mincho" w:hAnsi="Times New Roman"/>
              <w:sz w:val="20"/>
              <w:iCs/>
            </w:rPr>
            <w:t>,
2021-05-03,
paskelbta TAR 2021-05-03, i. k. 2021-09427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7500c0caa011eba2bad9a0748ee64d">
            <w:r w:rsidRPr="00532B9F">
              <w:rPr>
                <w:rFonts w:ascii="Times New Roman" w:eastAsia="MS Mincho" w:hAnsi="Times New Roman"/>
                <w:sz w:val="20"/>
                <w:iCs/>
                <w:color w:val="0000FF" w:themeColor="hyperlink"/>
                <w:u w:val="single"/>
              </w:rPr>
              <w:t>3D-389</w:t>
            </w:r>
          </w:fldSimple>
          <w:r>
            <w:rPr>
              <w:rFonts w:ascii="Times New Roman" w:eastAsia="MS Mincho" w:hAnsi="Times New Roman"/>
              <w:sz w:val="20"/>
              <w:iCs/>
            </w:rPr>
            <w:t>,
2021-06-11,
paskelbta TAR 2021-06-11, i. k. 2021-13417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706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065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787268df4eea45ae984690ac9957b80f">
    <Part Type="preambule" DocPartId="af42e7d89ace42059efe92e1b9a29b06" PartId="336a757bd5ed41b583253515b9380264"/>
    <Part Type="pastraipa" DocPartId="6f5761f1eb824bc48b5d46692f448920" PartId="dbc5cfbc37b84f8ab0872e7c6519b432"/>
    <Part Type="signatura" DocPartId="2a537c2818ab48f5890ced98e7d77c96" PartId="86a02715861944e2ab393cf281a4f942"/>
  </Part>
  <Part Type="patvirtinta" Title="VIETOS PLĖTROS STRATEGIJŲ, ĮGYVENDINAMŲ BENDRUOMENIŲ INICIJUOTOS VIETOS PLĖTROS BŪDU, ATRANKOS TAISYKLĖS" DocPartId="f744acb63f7947c8b89e9642517dcb30" PartId="d1d9afa1d9944e82bc2843ae5fcd551a">
    <Part Type="skyrius" Nr="1" Title="BENDROSIOS NUOSTATOS" DocPartId="c01518aded364af09cb1a4ad1f50b1f3" PartId="4dcb8a3e1eb74a48b468287933e500c9">
      <Part Type="punktas" Nr="1" Abbr="1 p." DocPartId="415278aaf1884cf092225080c0af3bb2" PartId="c785f5b0d28c4c54872572d881b32f3f"/>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apunktis" Nr="3.4-1" Abbr="3.4-1 pp." DocPartId="a90eea2dace24106a4579383c0575000" PartId="2685ac547db547759c2271b78d76b554"/>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cf41a4eaf8ac4877bda04ae7b8758a42"/>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ebdc438bc1e94ce1b13615ca2ea61683"/>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6907ea9d37c54972a8fefa916db218c8"/>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f1a544d46af4bc1830f0b3156065376"/>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862b9bf548a04d0f8f4cd0a2370eb2a6"/>
          <Part Type="punktas" Nr="15.2.2" Abbr="15.2.2 p." DocPartId="cb8f0f01e3ef4e848875ef151aea3e57" PartId="22e31c399327454bb36f144bc7cafab5"/>
          <Part Type="punktas" Nr="15.2.3" Abbr="15.2.3 p." DocPartId="c4cb08dcfd434a51aa40ee7a7f53c48b" PartId="e790510b5dd74aa89490cbbf787f7d9d"/>
          <Part Type="punktas" Nr="15.2.4" Abbr="15.2.4 p." DocPartId="000299bebbf14538b6ee07f781f916ac" PartId="de13aebdd8f148ea9dc17b1ab6b7cbb6"/>
        </Part>
        <Part Type="papunktis" Nr="15.2-1" Abbr="15.2-1 pp." DocPartId="d7b2a8c805784ea29619da7bd2253922" PartId="cf0a50dd68ff467f98ae5a4c4a329c3d"/>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b55cebcb72694ec386969e07406bbdf8"/>
          <Part Type="punktas" Nr="15.3.4" Abbr="15.3.4 p." DocPartId="5b056fd6a4764ac68840157e2778b166" PartId="8946148b354240d586d9e8224eb3b59a"/>
          <Part Type="papunktis" Nr="15.3.5" Abbr="15.3.5 pp." DocPartId="7e462e35deaa4cbb8aace5081d00a64a" PartId="8422539073564605955e09e5c44ed92f"/>
        </Part>
        <Part Type="punktas" Nr="15.4" Abbr="15.4 p." DocPartId="b96f45851fad49d38a2d5a872c74923f" PartId="fa5d1df5ffe84a82844264517d840489"/>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10cb83adb5974aab92242dfac98bb0ac"/>
      <Part Type="punktas" Nr="22-1" Abbr="22-1 p." DocPartId="0fcd4e6be1a741f0ab50dc8ce2de0fae" PartId="aac5c436cdaa4b429c33eb86df2c12a5"/>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a6c2a41e76e3474e88fd13cec990e08a"/>
      <Part Type="punktas" Nr="25-1" Abbr="25-1 p." DocPartId="770b6849e09d4687ab211d2749800dbc" PartId="d4b50c40e7ec40debdbb254a58abb751"/>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4f7ab48768bf4fa58c5eca445531d63d"/>
      <Part Type="punktas" Nr="26-1" Abbr="26-1 p." DocPartId="e3f5c0de70894c9f8bfc841ac8627ae4" PartId="93ff524e5152484a8ed0dcc9ccb9826e"/>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c7f192633f1a4d0988c2f272d06b0fa1">
            <Part Type="papunktis" Nr="27.1.3.1" Abbr="27.1.3.1 pp." DocPartId="ef88efdc12064b619b7df476452c366f" PartId="fdbed9796c8d499fb0a4a4dbee1cfab2"/>
            <Part Type="papunktis" Nr="27.1.3.2" Abbr="27.1.3.2 pp." DocPartId="944ad7eeb38041e3b0a9a9cc9de3ed43" PartId="371d45ce391c49fead45223b185b6e7d"/>
            <Part Type="papunktis" Nr="27.1.3.3" Abbr="27.1.3.3 pp." DocPartId="cd3facd66ad34d86822072a415c5f75f" PartId="ff927e32e65f45dbb20739eb56192183"/>
            <Part Type="papunktis" Nr="27.1.3.4" Abbr="27.1.3.4 pp." DocPartId="b0b3d1e0eb094b7292a7cd12489d17c4" PartId="cdd1ea51860d4f98983f102deadae565">
              <Part Type="papunktis" Nr="27.1.3.4.1" Abbr="27.1.3.4.1 pp." DocPartId="9682dbd3506145f7837e2114ce6ff138" PartId="ae6ea9aec4a440eda02d586a4af97d44"/>
              <Part Type="papunktis" Nr="27.1.3.4.2" Abbr="27.1.3.4.2 pp." DocPartId="0f292d426e514f6a907540d27488c6a6" PartId="e634e676fd9b4e96ba541e4cec590ad9"/>
            </Part>
            <Part Type="papunktis" Nr="27.1.3.5" Abbr="27.1.3.5 pp." DocPartId="d535492d315c4bde9698f300c47be17a" PartId="bf1700c4b2c549fab8c0f05ecfbc0201"/>
            <Part Type="papunktis" Nr="27.1.3.6" Abbr="27.1.3.6 pp." DocPartId="b4474d27f6784ebab308c8e14f1548c4" PartId="aff9e752410e492095814543fcc9a01f"/>
            <Part Type="papunktis" Nr="27.1.3.7" Abbr="27.1.3.7 pp." DocPartId="54c14896c5804414969e6d4cc00fb400" PartId="3f0cb32bc9834e69a4ebc0412c69afd6"/>
            <Part Type="papunktis" Nr="27.1.3.8" Abbr="27.1.3.8 pp." DocPartId="d575e0e40df241588e194249b2c96979" PartId="2ebb3bab0fba449b8b785909c4618da8"/>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2c2337b6ccb04aaf976fc190b8853ed0"/>
              <Part Type="papunktis" Nr="28.1.3.2.4" Abbr="28.1.3.2.4 pp." DocPartId="91328e094f3d4141a6ceac1a7a6c606e" PartId="4c150a8405f0401ba2edae1783163eed"/>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BD1EDC59-A7F8-4B0A-BD24-E0D7BD0796E0}">
  <ds:schemaRefs>
    <ds:schemaRef ds:uri="http://lrs.lt/TAIS/DocParts"/>
  </ds:schemaRefs>
</ds:datastoreItem>
</file>

<file path=docProps/app.xml><?xml version="1.0" encoding="utf-8"?>
<Properties xmlns="http://schemas.openxmlformats.org/officeDocument/2006/extended-properties">
  <Template>Normal.dotm</Template>
  <TotalTime>0</TotalTime>
  <Pages>31</Pages>
  <Words>14606</Words>
  <Characters>99501</Characters>
  <Application>Microsoft Office Word</Application>
  <DocSecurity>0</DocSecurity>
  <Lines>829</Lines>
  <Paragraphs>227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113880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2021-06-15T06:21:00Z</dcterms:modified>
  <revision>1</revision>
</coreProperties>
</file>