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8bad1097414e658fbb3449ef7fc452"/>
        <w:lock w:val="sdtLocked"/>
        <w:richText/>
      </w:sdtPr>
      <w:sdtContent>
        <w:p>
          <w:pPr>
            <w:jc w:val="both"/>
            <w:rPr>
              <w:rFonts w:ascii="Times New Roman" w:hAnsi="Times New Roman"/>
            </w:rPr>
          </w:pPr>
          <w:r>
            <w:rPr>
              <w:rFonts w:ascii="Times New Roman" w:hAnsi="Times New Roman"/>
              <w:b/>
              <w:i/>
            </w:rPr>
            <w:t>Suvestinė redakcija nuo 2018-08-18 iki 2018-12-11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0535cace435415b9d5eeecd0f1e2a52"/>
            <w:lock w:val="sdtLocked"/>
            <w:richText/>
          </w:sdtPr>
          <w:sdtContent>
            <w:p>
              <w:pPr>
                <w:overflowPunct w:val="0"/>
                <w:spacing w:line="360" w:lineRule="auto"/>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8c78687ddef14cc490bb57d0e530b408"/>
            <w:lock w:val="sdtLocked"/>
            <w:richText/>
          </w:sdtPr>
          <w:sdtContent>
            <w:p>
              <w:pPr>
                <w:tabs>
                  <w:tab w:val="left" w:pos="993"/>
                </w:tabs>
                <w:spacing w:line="360" w:lineRule="auto"/>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73ff4be2d94647deb79259dcd46f21d4"/>
        <w:lock w:val="sdtLocked"/>
        <w:richText/>
      </w:sdtPr>
      <w:sdtContent>
        <w:p>
          <w:pPr>
            <w:jc w:val="both"/>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73ff4be2d94647deb79259dcd46f21d4"/>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ac345276025b4572bdb6d32a914522d8"/>
                        <w:lock w:val="sdtLocked"/>
                        <w:richText/>
                      </w:sdtPr>
                      <w:sdtContent>
                        <w:p>
                          <w:pPr>
                            <w:overflowPunct w:val="0"/>
                            <w:ind w:firstLine="567"/>
                            <w:jc w:val="both"/>
                            <w:textAlignment w:val="baseline"/>
                            <w:rPr>
                              <w:szCs w:val="24"/>
                            </w:rPr>
                          </w:pPr>
                          <w:sdt>
                            <w:sdtPr>
                              <w:alias w:val="Numeris"/>
                              <w:tag w:val="nr_ac345276025b4572bdb6d32a914522d8"/>
                              <w:lock w:val="sdtLocked"/>
                              <w:richText/>
                            </w:sdtPr>
                            <w:sdtContent>
                              <w:r>
                                <w:t>15.2.2</w:t>
                              </w:r>
                            </w:sdtContent>
                          </w:sdt>
                          <w:r>
                            <w:t xml:space="preserve">. VPS buhalterinės apskaitos specialistui ir (arba) finansininkui – turėti aukštąjį išsilavinimą ir  ne mažesnę nei 2 m. darbo patirtį buhalterinės apskaitos tvarkymo ir (arba) finansų valdymo srityje;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516547682ba74431ac14a8e8071a27ec"/>
                        <w:lock w:val="sdtLocked"/>
                        <w:richText/>
                      </w:sdtPr>
                      <w:sdtContent>
                        <w:p>
                          <w:pPr>
                            <w:tabs>
                              <w:tab w:val="left" w:pos="567"/>
                            </w:tabs>
                            <w:overflowPunct w:val="0"/>
                            <w:ind w:firstLine="567"/>
                            <w:jc w:val="both"/>
                            <w:textAlignment w:val="baseline"/>
                            <w:rPr>
                              <w:szCs w:val="24"/>
                            </w:rPr>
                          </w:pPr>
                          <w:sdt>
                            <w:sdtPr>
                              <w:alias w:val="Numeris"/>
                              <w:tag w:val="nr_516547682ba74431ac14a8e8071a27ec"/>
                              <w:lock w:val="sdtLocked"/>
                              <w:richText/>
                            </w:sdtPr>
                            <w:sdtContent>
                              <w:r>
                                <w:rPr>
                                  <w:szCs w:val="24"/>
                                </w:rPr>
                                <w:t>27.1.3</w:t>
                              </w:r>
                            </w:sdtContent>
                          </w:sdt>
                          <w:r>
                            <w:rPr>
                              <w:szCs w:val="24"/>
                            </w:rPr>
                            <w:t>. didžiausia paramos vietos projektui įgyvendinti lyginamoji dalis:</w:t>
                          </w:r>
                        </w:p>
                        <w:sdt>
                          <w:sdtPr>
                            <w:alias w:val="27.1.3.1 pp."/>
                            <w:tag w:val="part_57f1806126534da4901421112c247c83"/>
                            <w:lock w:val="sdtLocked"/>
                            <w:richText/>
                          </w:sdtPr>
                          <w:sdtContent>
                            <w:p>
                              <w:pPr>
                                <w:tabs>
                                  <w:tab w:val="left" w:pos="567"/>
                                </w:tabs>
                                <w:overflowPunct w:val="0"/>
                                <w:ind w:firstLine="567"/>
                                <w:jc w:val="both"/>
                                <w:textAlignment w:val="baseline"/>
                                <w:rPr>
                                  <w:szCs w:val="24"/>
                                </w:rPr>
                              </w:pPr>
                              <w:sdt>
                                <w:sdtPr>
                                  <w:alias w:val="Numeris"/>
                                  <w:tag w:val="nr_57f1806126534da4901421112c247c83"/>
                                  <w:lock w:val="sdtLocked"/>
                                  <w:richText/>
                                </w:sdtPr>
                                <w:sdtContent>
                                  <w:r>
                                    <w:rPr>
                                      <w:szCs w:val="24"/>
                                    </w:rPr>
                                    <w:t>27.1.3.1</w:t>
                                  </w:r>
                                </w:sdtContent>
                              </w:sdt>
                              <w:r>
                                <w:rPr>
                                  <w:szCs w:val="24"/>
                                </w:rPr>
                                <w:t>. 80 proc. tinkamų finansuoti išlaidų, kai vietos projektas yra ne pelno arba socialinio verslo pobūdžio arba, kai jį teikia NVO ar kitas viešasis juridinis asmuo;</w:t>
                              </w:r>
                            </w:p>
                          </w:sdtContent>
                        </w:sdt>
                        <w:sdt>
                          <w:sdtPr>
                            <w:alias w:val="27.1.3.1-1 pp."/>
                            <w:tag w:val="part_dbc840b631be41afb587bc6df69c6252"/>
                            <w:lock w:val="sdtLocked"/>
                            <w:richText/>
                          </w:sdtPr>
                          <w:sdtContent>
                            <w:p>
                              <w:pPr>
                                <w:tabs>
                                  <w:tab w:val="left" w:pos="567"/>
                                </w:tabs>
                                <w:overflowPunct w:val="0"/>
                                <w:ind w:firstLine="567"/>
                                <w:jc w:val="both"/>
                                <w:textAlignment w:val="baseline"/>
                                <w:rPr>
                                  <w:szCs w:val="24"/>
                                </w:rPr>
                              </w:pPr>
                              <w:sdt>
                                <w:sdtPr>
                                  <w:alias w:val="Numeris"/>
                                  <w:tag w:val="nr_dbc840b631be41afb587bc6df69c6252"/>
                                  <w:lock w:val="sdtLocked"/>
                                  <w:richText/>
                                </w:sdtPr>
                                <w:sdtContent>
                                  <w:r>
                                    <w:rPr>
                                      <w:szCs w:val="24"/>
                                    </w:rPr>
                                    <w:t>27.1.3.1</w:t>
                                  </w:r>
                                  <w:r>
                                    <w:rPr>
                                      <w:szCs w:val="24"/>
                                      <w:vertAlign w:val="superscript"/>
                                    </w:rPr>
                                    <w:t>1</w:t>
                                  </w:r>
                                </w:sdtContent>
                              </w:sdt>
                              <w:r>
                                <w:rPr>
                                  <w:szCs w:val="24"/>
                                </w:rPr>
                                <w:t>. kai ne pelno vietos projektas susijęs su investicijomis į žmogiškąjį kapitalą ir jį teikia viešasis juridinis asmuo arba NVO, yra:</w:t>
                              </w:r>
                            </w:p>
                            <w:sdt>
                              <w:sdtPr>
                                <w:alias w:val="27.1.3.1-1.1 pp."/>
                                <w:tag w:val="part_10052cb3b7de443cbf1e033b63930f2e"/>
                                <w:lock w:val="sdtLocked"/>
                                <w:richText/>
                              </w:sdtPr>
                              <w:sdtContent>
                                <w:p>
                                  <w:pPr>
                                    <w:tabs>
                                      <w:tab w:val="left" w:pos="567"/>
                                    </w:tabs>
                                    <w:overflowPunct w:val="0"/>
                                    <w:ind w:firstLine="567"/>
                                    <w:jc w:val="both"/>
                                    <w:textAlignment w:val="baseline"/>
                                    <w:rPr>
                                      <w:szCs w:val="24"/>
                                    </w:rPr>
                                  </w:pPr>
                                  <w:sdt>
                                    <w:sdtPr>
                                      <w:alias w:val="Numeris"/>
                                      <w:tag w:val="nr_10052cb3b7de443cbf1e033b63930f2e"/>
                                      <w:lock w:val="sdtLocked"/>
                                      <w:richText/>
                                    </w:sdtPr>
                                    <w:sdtContent>
                                      <w:r>
                                        <w:rPr>
                                          <w:szCs w:val="24"/>
                                        </w:rPr>
                                        <w:t>27.1.3.1</w:t>
                                      </w:r>
                                      <w:r>
                                        <w:rPr>
                                          <w:szCs w:val="24"/>
                                          <w:vertAlign w:val="superscript"/>
                                        </w:rPr>
                                        <w:t>1</w:t>
                                      </w:r>
                                      <w:r>
                                        <w:rPr>
                                          <w:szCs w:val="24"/>
                                        </w:rPr>
                                        <w:t>.1</w:t>
                                      </w:r>
                                    </w:sdtContent>
                                  </w:sdt>
                                  <w:r>
                                    <w:rPr>
                                      <w:szCs w:val="24"/>
                                    </w:rP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1-1.2 pp."/>
                                <w:tag w:val="part_8202178e6a574f609a097061f5042076"/>
                                <w:lock w:val="sdtLocked"/>
                                <w:richText/>
                              </w:sdtPr>
                              <w:sdtContent>
                                <w:p>
                                  <w:pPr>
                                    <w:tabs>
                                      <w:tab w:val="left" w:pos="567"/>
                                    </w:tabs>
                                    <w:overflowPunct w:val="0"/>
                                    <w:ind w:firstLine="567"/>
                                    <w:jc w:val="both"/>
                                    <w:textAlignment w:val="baseline"/>
                                    <w:rPr>
                                      <w:szCs w:val="24"/>
                                    </w:rPr>
                                  </w:pPr>
                                  <w:sdt>
                                    <w:sdtPr>
                                      <w:alias w:val="Numeris"/>
                                      <w:tag w:val="nr_8202178e6a574f609a097061f5042076"/>
                                      <w:lock w:val="sdtLocked"/>
                                      <w:richText/>
                                    </w:sdtPr>
                                    <w:sdtContent>
                                      <w:r>
                                        <w:rPr>
                                          <w:szCs w:val="24"/>
                                        </w:rPr>
                                        <w:t>27.1.3.1</w:t>
                                      </w:r>
                                      <w:r>
                                        <w:rPr>
                                          <w:szCs w:val="24"/>
                                          <w:vertAlign w:val="superscript"/>
                                        </w:rPr>
                                        <w:t>1</w:t>
                                      </w:r>
                                      <w:r>
                                        <w:rPr>
                                          <w:szCs w:val="24"/>
                                        </w:rPr>
                                        <w:t>.2</w:t>
                                      </w:r>
                                    </w:sdtContent>
                                  </w:sdt>
                                  <w:r>
                                    <w:rPr>
                                      <w:szCs w:val="24"/>
                                    </w:rPr>
                                    <w:t>. mokymų, didžiausia paramos lyginamoji dalis – 100 proc. tinkamų finansuoti išlaidų;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
                          <w:sdtPr>
                            <w:alias w:val="27.1.3.2 pp."/>
                            <w:tag w:val="part_e0db30c7410d4d67b6028947009f4958"/>
                            <w:lock w:val="sdtLocked"/>
                            <w:richText/>
                          </w:sdtPr>
                          <w:sdtContent>
                            <w:p>
                              <w:pPr>
                                <w:tabs>
                                  <w:tab w:val="left" w:pos="567"/>
                                </w:tabs>
                                <w:overflowPunct w:val="0"/>
                                <w:ind w:firstLine="567"/>
                                <w:jc w:val="both"/>
                                <w:textAlignment w:val="baseline"/>
                                <w:rPr>
                                  <w:szCs w:val="24"/>
                                </w:rPr>
                              </w:pPr>
                              <w:sdt>
                                <w:sdtPr>
                                  <w:alias w:val="Numeris"/>
                                  <w:tag w:val="nr_e0db30c7410d4d67b6028947009f4958"/>
                                  <w:lock w:val="sdtLocked"/>
                                  <w:richText/>
                                </w:sdtPr>
                                <w:sdtContent>
                                  <w:r>
                                    <w:rPr>
                                      <w:szCs w:val="24"/>
                                    </w:rPr>
                                    <w:t>27.1.3.2</w:t>
                                  </w:r>
                                </w:sdtContent>
                              </w:sdt>
                              <w:r>
                                <w:rPr>
                                  <w:szCs w:val="24"/>
                                </w:rP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asmenis) ir Europos Komisijos 2003 m. gegužės 3 d. rekomendacijoje Nr. 2003/361/EC dėl labai mažos, mažos ir vidutinės įmonės apibrėžimo (taikoma fiziniams asmenims);</w:t>
                              </w:r>
                            </w:p>
                          </w:sdtContent>
                        </w:sdt>
                        <w:sdt>
                          <w:sdtPr>
                            <w:alias w:val="27.1.3.3 pp."/>
                            <w:tag w:val="part_72d71f123d7945fa90a6a129c3c83b8b"/>
                            <w:lock w:val="sdtLocked"/>
                            <w:richText/>
                          </w:sdtPr>
                          <w:sdtContent>
                            <w:p>
                              <w:pPr>
                                <w:tabs>
                                  <w:tab w:val="left" w:pos="567"/>
                                </w:tabs>
                                <w:overflowPunct w:val="0"/>
                                <w:ind w:firstLine="567"/>
                                <w:jc w:val="both"/>
                                <w:textAlignment w:val="baseline"/>
                                <w:rPr>
                                  <w:szCs w:val="24"/>
                                </w:rPr>
                              </w:pPr>
                              <w:sdt>
                                <w:sdtPr>
                                  <w:alias w:val="Numeris"/>
                                  <w:tag w:val="nr_72d71f123d7945fa90a6a129c3c83b8b"/>
                                  <w:lock w:val="sdtLocked"/>
                                  <w:richText/>
                                </w:sdtPr>
                                <w:sdtContent>
                                  <w:r>
                                    <w:rPr>
                                      <w:szCs w:val="24"/>
                                    </w:rPr>
                                    <w:t>27.1.3.3</w:t>
                                  </w:r>
                                </w:sdtContent>
                              </w:sdt>
                              <w:r>
                                <w:rPr>
                                  <w:szCs w:val="24"/>
                                </w:rP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4 pp."/>
                            <w:tag w:val="part_9f061fe5fdb2434b896c3bfa127fe00c"/>
                            <w:lock w:val="sdtLocked"/>
                            <w:richText/>
                          </w:sdtPr>
                          <w:sdtContent>
                            <w:p>
                              <w:pPr>
                                <w:tabs>
                                  <w:tab w:val="left" w:pos="567"/>
                                </w:tabs>
                                <w:overflowPunct w:val="0"/>
                                <w:ind w:firstLine="567"/>
                                <w:jc w:val="both"/>
                                <w:textAlignment w:val="baseline"/>
                                <w:rPr>
                                  <w:szCs w:val="24"/>
                                </w:rPr>
                              </w:pPr>
                              <w:sdt>
                                <w:sdtPr>
                                  <w:alias w:val="Numeris"/>
                                  <w:tag w:val="nr_9f061fe5fdb2434b896c3bfa127fe00c"/>
                                  <w:lock w:val="sdtLocked"/>
                                  <w:richText/>
                                </w:sdtPr>
                                <w:sdtContent>
                                  <w:r>
                                    <w:rPr>
                                      <w:szCs w:val="24"/>
                                    </w:rPr>
                                    <w:t>27.1.3.4</w:t>
                                  </w:r>
                                </w:sdtContent>
                              </w:sdt>
                              <w:r>
                                <w:rPr>
                                  <w:szCs w:val="24"/>
                                </w:rP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5 pp."/>
                            <w:tag w:val="part_8432e2d6307c480a8e497e2affe323d0"/>
                            <w:lock w:val="sdtLocked"/>
                            <w:richText/>
                          </w:sdtPr>
                          <w:sdtContent>
                            <w:p>
                              <w:pPr>
                                <w:tabs>
                                  <w:tab w:val="left" w:pos="567"/>
                                </w:tabs>
                                <w:overflowPunct w:val="0"/>
                                <w:ind w:firstLine="567"/>
                                <w:jc w:val="both"/>
                                <w:textAlignment w:val="baseline"/>
                                <w:rPr>
                                  <w:szCs w:val="24"/>
                                </w:rPr>
                              </w:pPr>
                              <w:sdt>
                                <w:sdtPr>
                                  <w:alias w:val="Numeris"/>
                                  <w:tag w:val="nr_8432e2d6307c480a8e497e2affe323d0"/>
                                  <w:lock w:val="sdtLocked"/>
                                  <w:richText/>
                                </w:sdtPr>
                                <w:sdtContent>
                                  <w:r>
                                    <w:rPr>
                                      <w:szCs w:val="24"/>
                                    </w:rPr>
                                    <w:t>27.1.3.5</w:t>
                                  </w:r>
                                </w:sdtContent>
                              </w:sdt>
                              <w:r>
                                <w:rPr>
                                  <w:szCs w:val="24"/>
                                </w:rPr>
                                <w:t>. VVG turi teisę sumažinti didžiausią paramos lyginamąją dalį, nurodytą Taisyklių 27.1.3.1–27.1.3.3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44f890314d564ddcb5254ffb9253a35e"/>
                                <w:lock w:val="sdtLocked"/>
                                <w:richText/>
                              </w:sdtPr>
                              <w:sdtContent>
                                <w:p>
                                  <w:pPr>
                                    <w:overflowPunct w:val="0"/>
                                    <w:ind w:firstLine="567"/>
                                    <w:jc w:val="both"/>
                                    <w:textAlignment w:val="baseline"/>
                                  </w:pPr>
                                  <w:sdt>
                                    <w:sdtPr>
                                      <w:alias w:val="Numeris"/>
                                      <w:tag w:val="nr_44f890314d564ddcb5254ffb9253a35e"/>
                                      <w:lock w:val="sdtLocked"/>
                                      <w:richText/>
                                    </w:sdtPr>
                                    <w:sdtContent>
                                      <w:r>
                                        <w:rPr>
                                          <w:szCs w:val="24"/>
                                        </w:rPr>
                                        <w:t>28.1.3.2.3</w:t>
                                      </w:r>
                                    </w:sdtContent>
                                  </w:sdt>
                                  <w:r>
                                    <w:rPr>
                                      <w:szCs w:val="24"/>
                                    </w:rPr>
                                    <w:t>. 50 proc. tinkamų finansuoti išlaidų, kai vietos projektas yra privataus žuvininkystės verslo pobūdžio (įsipareigojama įgyvendinus projektą gauti grynųjų pajamų) ir jį teikia privatus juridinis arba fizinis asmuo. Fizinių asmenų vietos projektai gali būti remiami tik tuo atveju, jeigu jie yra privataus žuvininkystės verslo pobūdžio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28.1.3.2.4 pp."/>
                                <w:tag w:val="part_466c3173c13d4be2b298299ed82f9c11"/>
                                <w:lock w:val="sdtLocked"/>
                                <w:richText/>
                              </w:sdtPr>
                              <w:sdtContent>
                                <w:p>
                                  <w:pPr>
                                    <w:overflowPunct w:val="0"/>
                                    <w:ind w:firstLine="567"/>
                                    <w:jc w:val="both"/>
                                    <w:textAlignment w:val="baseline"/>
                                    <w:rPr>
                                      <w:szCs w:val="24"/>
                                    </w:rPr>
                                  </w:pPr>
                                  <w:sdt>
                                    <w:sdtPr>
                                      <w:alias w:val="Numeris"/>
                                      <w:tag w:val="nr_466c3173c13d4be2b298299ed82f9c11"/>
                                      <w:lock w:val="sdtLocked"/>
                                      <w:richText/>
                                    </w:sdtPr>
                                    <w:sdtContent>
                                      <w:r>
                                        <w:rPr>
                                          <w:szCs w:val="24"/>
                                        </w:rPr>
                                        <w:t>28.1.3.2.4</w:t>
                                      </w:r>
                                    </w:sdtContent>
                                  </w:sdt>
                                  <w:r>
                                    <w:rPr>
                                      <w:szCs w:val="24"/>
                                    </w:rPr>
                                    <w:t xml:space="preserve">. 70 proc. tinkamų finansuoti išlaidų, kai vietos projektas yra privataus žuvininkystės verslo pobūdžio (įsipareigojama gauti grynųjų pajamų) ir jį teikia juridinis (privatus arba viešas) arba fizinis asmuo, ir vietos projektas yra inovatyvus vietos lygiu (nauji (iki vietos projekto paraiškos pateikimo dienos dvisektorės VVG teritorijoje neįgyvendinti) gamybos būdai ir (ar) produktai, ir (ar) aplinkosaugos, ir (ar) technologiniai, ir (ar) socialiniai sprendimai) ir visuomenei turi būti suteikiama galimybė susipažinti su vietos projekto veiksmais ir rezultatais. Vietos projekto inovatyvumas vertinamas pagal Lietuvos žuvininkystės sektoriaus 2014–2020 metų veiksmų programos priemonių projektuose diegiamų inovacijų vertinimo metodiką, patvirtintą Lietuvos Respublikos žemės ūkio ministro 2016 m. sausio 29 d. įsakymu Nr. 3D-42 „Dėl Lietuvos žuvininkystės sektoriaus 2014–2020 metų veiksmų programos priemonių projektuose diegiamų inovacijų vertinimo metodikos patvirtinimo“.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 ir kuriuos įgyvendinus įsipareigojama gauti grynųjų pajamų;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177"/>
    <o:shapelayout v:ext="edit">
      <o:idmap v:ext="edit" data="1"/>
    </o:shapelayout>
  </w:shapeDefaults>
  <w:decimalSymbol w:val=","/>
  <w:listSeparator w:val=";"/>
  <w14:docId w14:val="195C66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188bad1097414e658fbb3449ef7fc452">
    <Part Type="preambule" DocPartId="920f740019e34d2986753684e6deee2c" PartId="80535cace435415b9d5eeecd0f1e2a52"/>
    <Part Type="pastraipa" DocPartId="106cbe009d6f4e909e7fecdcd9959fd0" PartId="8c78687ddef14cc490bb57d0e530b40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73ff4be2d94647deb79259dcd46f21d4">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ac345276025b4572bdb6d32a914522d8"/>
          <Part Type="punktas" Nr="15.2.3" Abbr="15.2.3 p." DocPartId="c4cb08dcfd434a51aa40ee7a7f53c48b" PartId="e790510b5dd74aa89490cbbf787f7d9d"/>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516547682ba74431ac14a8e8071a27ec">
            <Part Type="papunktis" Nr="27.1.3.1" Abbr="27.1.3.1 pp." DocPartId="b489a0dce0894d3190dcd8e9799cb4ad" PartId="57f1806126534da4901421112c247c83"/>
            <Part Type="papunktis" Nr="27.1.3.1-1" Abbr="27.1.3.1-1 pp." DocPartId="1cf9d69a78654d3bb2b90e0e2c5b6518" PartId="dbc840b631be41afb587bc6df69c6252">
              <Part Type="papunktis" Nr="27.1.3.1-1.1" Abbr="27.1.3.1-1.1 pp." DocPartId="41cd0cad1b0e414c9e09ace6d85abe7c" PartId="10052cb3b7de443cbf1e033b63930f2e"/>
              <Part Type="papunktis" Nr="27.1.3.1-1.2" Abbr="27.1.3.1-1.2 pp." DocPartId="679479f920c04da68b3da8d723ef9bb4" PartId="8202178e6a574f609a097061f5042076"/>
            </Part>
            <Part Type="papunktis" Nr="27.1.3.2" Abbr="27.1.3.2 pp." DocPartId="53a11109d721494e9e3cb60706dd546c" PartId="e0db30c7410d4d67b6028947009f4958"/>
            <Part Type="papunktis" Nr="27.1.3.3" Abbr="27.1.3.3 pp." DocPartId="5a65dc85741e44adbd75259a70910758" PartId="72d71f123d7945fa90a6a129c3c83b8b"/>
            <Part Type="papunktis" Nr="27.1.3.4" Abbr="27.1.3.4 pp." DocPartId="6f94b042be91410f9a4903d0fe1364a1" PartId="9f061fe5fdb2434b896c3bfa127fe00c"/>
            <Part Type="papunktis" Nr="27.1.3.5" Abbr="27.1.3.5 pp." DocPartId="2644da050e34435cbd390d23083ef29e" PartId="8432e2d6307c480a8e497e2affe323d0"/>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44f890314d564ddcb5254ffb9253a35e"/>
              <Part Type="papunktis" Nr="28.1.3.2.4" Abbr="28.1.3.2.4 pp." DocPartId="91328e094f3d4141a6ceac1a7a6c606e" PartId="466c3173c13d4be2b298299ed82f9c11"/>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A3D1F3D7-B253-41B2-9AC8-08F5290E9776}">
  <ds:schemaRefs>
    <ds:schemaRef ds:uri="http://lrs.lt/TAIS/DocParts"/>
  </ds:schemaRefs>
</ds:datastoreItem>
</file>

<file path=docProps/app.xml><?xml version="1.0" encoding="utf-8"?>
<Properties xmlns="http://schemas.openxmlformats.org/officeDocument/2006/extended-properties">
  <Template>Normal.dotm</Template>
  <TotalTime>0</TotalTime>
  <Pages>30</Pages>
  <Words>67801</Words>
  <Characters>38647</Characters>
  <Application>Microsoft Office Word</Application>
  <DocSecurity>0</DocSecurity>
  <Lines>322</Lines>
  <Paragraphs>212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106236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2018-08-20T07:11:00Z</dcterms:modified>
  <revision>1</revision>
</coreProperties>
</file>