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8bad1097414e658fbb3449ef7fc452"/>
        <w:lock w:val="sdtLocked"/>
        <w:richText/>
      </w:sdtPr>
      <w:sdtContent>
        <w:p>
          <w:pPr>
            <w:jc w:val="both"/>
            <w:rPr>
              <w:rFonts w:ascii="Times New Roman" w:hAnsi="Times New Roman"/>
            </w:rPr>
          </w:pPr>
          <w:r>
            <w:rPr>
              <w:rFonts w:ascii="Times New Roman" w:hAnsi="Times New Roman"/>
              <w:b/>
              <w:i/>
            </w:rPr>
            <w:t>Suvestinė redakcija nuo 2020-08-14 iki 2021-05-03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80535cace435415b9d5eeecd0f1e2a52"/>
            <w:lock w:val="sdtLocked"/>
            <w:richText/>
          </w:sdtPr>
          <w:sdtContent>
            <w:p>
              <w:pPr>
                <w:overflowPunct w:val="0"/>
                <w:spacing w:line="360" w:lineRule="auto"/>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8c78687ddef14cc490bb57d0e530b408"/>
            <w:lock w:val="sdtLocked"/>
            <w:richText/>
          </w:sdtPr>
          <w:sdtContent>
            <w:p>
              <w:pPr>
                <w:tabs>
                  <w:tab w:val="left" w:pos="993"/>
                </w:tabs>
                <w:spacing w:line="360" w:lineRule="auto"/>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p>
              <w:r>
                <w:rPr>
                  <w:szCs w:val="24"/>
                  <w:lang w:eastAsia="lt-LT"/>
                </w:rPr>
                <w:t>Žemės ūkio ministrė</w:t>
                <w:tab/>
                <w:tab/>
                <w:tab/>
                <w:tab/>
                <w:tab/>
                <w:tab/>
                <w:tab/>
                <w:tab/>
                <w:t xml:space="preserve">     Virginija Baltraitienė</w:t>
              </w:r>
            </w:p>
          </w:sdtContent>
        </w:sdt>
      </w:sdtContent>
    </w:sdt>
    <w:sdt>
      <w:sdtPr>
        <w:alias w:val="patvirtinta"/>
        <w:tag w:val="part_914869eff6e34c1fbf4ff717e5d2154e"/>
        <w:lock w:val="sdtLocked"/>
        <w:richText/>
      </w:sdtPr>
      <w:sdtContent>
        <w:p>
          <w:pPr>
            <w:jc w:val="both"/>
            <w:sectPr>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cols w:space="1296"/>
              <w:titlePg/>
              <w:docGrid w:linePitch="326"/>
            </w:sectPr>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914869eff6e34c1fbf4ff717e5d2154e"/>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cf41a4eaf8ac4877bda04ae7b8758a42"/>
                    <w:lock w:val="sdtLocked"/>
                    <w:richText/>
                  </w:sdtPr>
                  <w:sdtContent>
                    <w:p>
                      <w:pPr>
                        <w:tabs>
                          <w:tab w:val="left" w:pos="1134"/>
                        </w:tabs>
                        <w:overflowPunct w:val="0"/>
                        <w:ind w:firstLine="567"/>
                        <w:jc w:val="both"/>
                        <w:textAlignment w:val="baseline"/>
                        <w:rPr>
                          <w:szCs w:val="24"/>
                        </w:rPr>
                      </w:pPr>
                      <w:sdt>
                        <w:sdtPr>
                          <w:alias w:val="Numeris"/>
                          <w:tag w:val="nr_cf41a4eaf8ac4877bda04ae7b8758a42"/>
                          <w:lock w:val="sdtLocked"/>
                          <w:richText/>
                        </w:sdtPr>
                        <w:sdtContent>
                          <w:r>
                            <w:t>4.2</w:t>
                          </w:r>
                        </w:sdtContent>
                      </w:sdt>
                      <w:r>
                        <w:t xml:space="preserve">. </w:t>
                      </w:r>
                      <w:r>
                        <w:rPr>
                          <w:b/>
                          <w:bCs/>
                        </w:rPr>
                        <w:t>bendruomeninė organizacija</w:t>
                      </w:r>
                      <w:r>
                        <w:t xml:space="preserve"> – asociacija, kurios steigėjai ir nariai yra tam tikros gyvenamosios vietovės (jos dalies arba kelių gyvenamųjų vietovių) gyventojai (jų atstovai) ir kurios paskirtis – per inicijuotus projektus įgyvendinti viešuosius interesus, susijusius su gyvenimu kaimynystėje;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ac345276025b4572bdb6d32a914522d8"/>
                        <w:lock w:val="sdtLocked"/>
                        <w:richText/>
                      </w:sdtPr>
                      <w:sdtContent>
                        <w:p>
                          <w:pPr>
                            <w:overflowPunct w:val="0"/>
                            <w:ind w:firstLine="567"/>
                            <w:jc w:val="both"/>
                            <w:textAlignment w:val="baseline"/>
                            <w:rPr>
                              <w:szCs w:val="24"/>
                            </w:rPr>
                          </w:pPr>
                          <w:sdt>
                            <w:sdtPr>
                              <w:alias w:val="Numeris"/>
                              <w:tag w:val="nr_ac345276025b4572bdb6d32a914522d8"/>
                              <w:lock w:val="sdtLocked"/>
                              <w:richText/>
                            </w:sdtPr>
                            <w:sdtContent>
                              <w:r>
                                <w:t>15.2.2</w:t>
                              </w:r>
                            </w:sdtContent>
                          </w:sdt>
                          <w:r>
                            <w:t xml:space="preserve">. VPS buhalterinės apskaitos specialistui ir (arba) finansininkui – turėti aukštąjį išsilavinimą ir  ne mažesnę nei 2 m. darbo patirtį buhalterinės apskaitos tvarkymo ir (arba) finansų valdymo srityje;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sdtContent>
                    </w:sdt>
                    <w:sdt>
                      <w:sdtPr>
                        <w:alias w:val="15.2.3 p."/>
                        <w:tag w:val="part_e790510b5dd74aa89490cbbf787f7d9d"/>
                        <w:lock w:val="sdtLocked"/>
                        <w:richText/>
                      </w:sdtPr>
                      <w:sdtContent>
                        <w:p>
                          <w:pPr>
                            <w:overflowPunct w:val="0"/>
                            <w:ind w:firstLine="567"/>
                            <w:jc w:val="both"/>
                            <w:textAlignment w:val="baseline"/>
                            <w:rPr>
                              <w:szCs w:val="24"/>
                            </w:rPr>
                          </w:pPr>
                          <w:sdt>
                            <w:sdtPr>
                              <w:alias w:val="Numeris"/>
                              <w:tag w:val="nr_e790510b5dd74aa89490cbbf787f7d9d"/>
                              <w:lock w:val="sdtLocked"/>
                              <w:richText/>
                            </w:sdtPr>
                            <w:sdtContent>
                              <w:r>
                                <w:rPr>
                                  <w:szCs w:val="24"/>
                                </w:rPr>
                                <w:t>15.2.3</w:t>
                              </w:r>
                            </w:sdtContent>
                          </w:sdt>
                          <w:r>
                            <w:rPr>
                              <w:szCs w:val="24"/>
                            </w:rPr>
                            <w:t>.</w:t>
                          </w:r>
                          <w:r>
                            <w:rPr>
                              <w:b/>
                              <w:szCs w:val="24"/>
                            </w:rPr>
                            <w:t xml:space="preserve"> </w:t>
                          </w:r>
                          <w:r>
                            <w:rPr>
                              <w:szCs w:val="24"/>
                            </w:rPr>
                            <w:t>VPS administratoriui – turėti aukštąjį išsilavinimą arba ne mažesnę negu 2 m. darbo ir (arba) savanoriško darbo patirtį projektų valdymo arba VPS administravimo ir įgyvendinimo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5191d0c52711e79122ea2db7aeb5f0">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2017-11-09,
paskelbta TAR 2017-11-09, i. k. 2017-17663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c7f192633f1a4d0988c2f272d06b0fa1"/>
                        <w:lock w:val="sdtLocked"/>
                        <w:richText/>
                      </w:sdtPr>
                      <w:sdtContent>
                        <w:p>
                          <w:pPr>
                            <w:overflowPunct w:val="0"/>
                            <w:ind w:firstLine="567"/>
                            <w:jc w:val="both"/>
                            <w:textAlignment w:val="baseline"/>
                          </w:pPr>
                          <w:sdt>
                            <w:sdtPr>
                              <w:alias w:val="Numeris"/>
                              <w:tag w:val="nr_c7f192633f1a4d0988c2f272d06b0fa1"/>
                              <w:lock w:val="sdtLocked"/>
                              <w:richText/>
                            </w:sdtPr>
                            <w:sdtContent>
                              <w:r>
                                <w:t>27.1.3</w:t>
                              </w:r>
                            </w:sdtContent>
                          </w:sdt>
                          <w:r>
                            <w:t>. didžiausia paramos vietos projektui įgyvendinti lyginamoji dalis:</w:t>
                          </w:r>
                        </w:p>
                        <w:sdt>
                          <w:sdtPr>
                            <w:alias w:val="27.1.3.1 pp."/>
                            <w:tag w:val="part_fdbed9796c8d499fb0a4a4dbee1cfab2"/>
                            <w:lock w:val="sdtLocked"/>
                            <w:richText/>
                          </w:sdtPr>
                          <w:sdtContent>
                            <w:p>
                              <w:pPr>
                                <w:tabs>
                                  <w:tab w:val="left" w:pos="1134"/>
                                </w:tabs>
                                <w:overflowPunct w:val="0"/>
                                <w:ind w:firstLine="567"/>
                                <w:jc w:val="both"/>
                                <w:textAlignment w:val="baseline"/>
                              </w:pPr>
                              <w:sdt>
                                <w:sdtPr>
                                  <w:alias w:val="Numeris"/>
                                  <w:tag w:val="nr_fdbed9796c8d499fb0a4a4dbee1cfab2"/>
                                  <w:lock w:val="sdtLocked"/>
                                  <w:richText/>
                                </w:sdtPr>
                                <w:sdtContent>
                                  <w:r>
                                    <w:t>27.1.3.1</w:t>
                                  </w:r>
                                </w:sdtContent>
                              </w:sdt>
                              <w:r>
                                <w:t xml:space="preserve">. 80 proc. tinkamų finansuoti išlaidų, kai vietos projektas yra ne pelno;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27.1.3.2 pp."/>
                            <w:tag w:val="part_371d45ce391c49fead45223b185b6e7d"/>
                            <w:lock w:val="sdtLocked"/>
                            <w:richText/>
                          </w:sdtPr>
                          <w:sdtContent>
                            <w:p>
                              <w:pPr>
                                <w:overflowPunct w:val="0"/>
                                <w:ind w:firstLine="567"/>
                                <w:jc w:val="both"/>
                                <w:textAlignment w:val="baseline"/>
                              </w:pPr>
                              <w:sdt>
                                <w:sdtPr>
                                  <w:alias w:val="Numeris"/>
                                  <w:tag w:val="nr_371d45ce391c49fead45223b185b6e7d"/>
                                  <w:lock w:val="sdtLocked"/>
                                  <w:richText/>
                                </w:sdtPr>
                                <w:sdtContent>
                                  <w:r>
                                    <w:t>27.1.3.2</w:t>
                                  </w:r>
                                </w:sdtContent>
                              </w:sdt>
                              <w:r>
                                <w:t>. 80 proc. tinkamų finansuoti išlaidų, kai vietos projektas yra privataus socialinio verslo, atitinkančio Socialinio verslo vykdymo pagal Lietuvos kaimo plėtros 2014–2020 metų programos priemones gairių, patvirtintų Lietuvos Respublikos žemės ūkio ministro 2017 m. lapkričio 9 d. įsakymu Nr. 3D-720 „Dėl Socialinio verslo vykdymo pagal Lietuvos kaimo plėtros 2014–2020 metų programos priemones gairių patvirtinimo“ (toliau – Socialinio verslo gairės), nuostatas, pobūdžio;</w:t>
                              </w:r>
                            </w:p>
                          </w:sdtContent>
                        </w:sdt>
                        <w:sdt>
                          <w:sdtPr>
                            <w:alias w:val="27.1.3.3 pp."/>
                            <w:tag w:val="part_ff927e32e65f45dbb20739eb56192183"/>
                            <w:lock w:val="sdtLocked"/>
                            <w:richText/>
                          </w:sdtPr>
                          <w:sdtContent>
                            <w:p>
                              <w:pPr>
                                <w:overflowPunct w:val="0"/>
                                <w:ind w:firstLine="567"/>
                                <w:jc w:val="both"/>
                                <w:textAlignment w:val="baseline"/>
                              </w:pPr>
                              <w:sdt>
                                <w:sdtPr>
                                  <w:alias w:val="Numeris"/>
                                  <w:tag w:val="nr_ff927e32e65f45dbb20739eb56192183"/>
                                  <w:lock w:val="sdtLocked"/>
                                  <w:richText/>
                                </w:sdtPr>
                                <w:sdtContent>
                                  <w:r>
                                    <w:t>27.1.3.3</w:t>
                                  </w:r>
                                </w:sdtContent>
                              </w:sdt>
                              <w:r>
                                <w:t>. 95 proc. tinkamų finansuoti išlaidų, kai vietos projektas yra bendruomeninio, kaip apibrėžta Socialinio verslo gairėse, arba NVO socialinio verslo, atitinkančio Socialinio verslo gairių nuostatas, pobūdžio;</w:t>
                              </w:r>
                            </w:p>
                          </w:sdtContent>
                        </w:sdt>
                        <w:sdt>
                          <w:sdtPr>
                            <w:alias w:val="27.1.3.4 pp."/>
                            <w:tag w:val="part_cdd1ea51860d4f98983f102deadae565"/>
                            <w:lock w:val="sdtLocked"/>
                            <w:richText/>
                          </w:sdtPr>
                          <w:sdtContent>
                            <w:p>
                              <w:pPr>
                                <w:overflowPunct w:val="0"/>
                                <w:ind w:firstLine="567"/>
                                <w:jc w:val="both"/>
                                <w:textAlignment w:val="baseline"/>
                              </w:pPr>
                              <w:sdt>
                                <w:sdtPr>
                                  <w:alias w:val="Numeris"/>
                                  <w:tag w:val="nr_cdd1ea51860d4f98983f102deadae565"/>
                                  <w:lock w:val="sdtLocked"/>
                                  <w:richText/>
                                </w:sdtPr>
                                <w:sdtContent>
                                  <w:r>
                                    <w:t>27.1.3.4</w:t>
                                  </w:r>
                                </w:sdtContent>
                              </w:sdt>
                              <w:r>
                                <w:t>. kai ne pelno vietos projektas susijęs su investicijomis į žmogiškąjį kapitalą ir jį teikia viešasis juridinis asmuo arba NVO, yra:</w:t>
                              </w:r>
                            </w:p>
                            <w:sdt>
                              <w:sdtPr>
                                <w:alias w:val="27.1.3.4.1 pp."/>
                                <w:tag w:val="part_ae6ea9aec4a440eda02d586a4af97d44"/>
                                <w:lock w:val="sdtLocked"/>
                                <w:richText/>
                              </w:sdtPr>
                              <w:sdtContent>
                                <w:p>
                                  <w:pPr>
                                    <w:overflowPunct w:val="0"/>
                                    <w:ind w:firstLine="567"/>
                                    <w:jc w:val="both"/>
                                    <w:textAlignment w:val="baseline"/>
                                  </w:pPr>
                                  <w:sdt>
                                    <w:sdtPr>
                                      <w:alias w:val="Numeris"/>
                                      <w:tag w:val="nr_ae6ea9aec4a440eda02d586a4af97d44"/>
                                      <w:lock w:val="sdtLocked"/>
                                      <w:richText/>
                                    </w:sdtPr>
                                    <w:sdtContent>
                                      <w:r>
                                        <w:t>27.1.3.4.1</w:t>
                                      </w:r>
                                    </w:sdtContent>
                                  </w:sdt>
                                  <w:r>
                                    <w:t>. veiklos (vietos veiklos projektu laikomas toks vietos projektas, kurio galutinis rezultatas pats savaime nėra materialusis turtas. Esmė yra pats projektas, o ne nuolatinė veikla), didžiausia paramos lyginamoji dalis – 95 proc. tinkamų finansuoti išlaidų;</w:t>
                                  </w:r>
                                </w:p>
                              </w:sdtContent>
                            </w:sdt>
                            <w:sdt>
                              <w:sdtPr>
                                <w:alias w:val="27.1.3.4.2 pp."/>
                                <w:tag w:val="part_e634e676fd9b4e96ba541e4cec590ad9"/>
                                <w:lock w:val="sdtLocked"/>
                                <w:richText/>
                              </w:sdtPr>
                              <w:sdtContent>
                                <w:p>
                                  <w:pPr>
                                    <w:overflowPunct w:val="0"/>
                                    <w:ind w:firstLine="567"/>
                                    <w:jc w:val="both"/>
                                    <w:textAlignment w:val="baseline"/>
                                  </w:pPr>
                                  <w:sdt>
                                    <w:sdtPr>
                                      <w:alias w:val="Numeris"/>
                                      <w:tag w:val="nr_e634e676fd9b4e96ba541e4cec590ad9"/>
                                      <w:lock w:val="sdtLocked"/>
                                      <w:richText/>
                                    </w:sdtPr>
                                    <w:sdtContent>
                                      <w:r>
                                        <w:t>27.1.3.4.2</w:t>
                                      </w:r>
                                    </w:sdtContent>
                                  </w:sdt>
                                  <w:r>
                                    <w:t>. mokymų, didžiausia paramos lyginamoji dalis – 100 proc. tinkamų finansuoti išlaidų;</w:t>
                                  </w:r>
                                </w:p>
                              </w:sdtContent>
                            </w:sdt>
                          </w:sdtContent>
                        </w:sdt>
                        <w:sdt>
                          <w:sdtPr>
                            <w:alias w:val="27.1.3.5 pp."/>
                            <w:tag w:val="part_bf1700c4b2c549fab8c0f05ecfbc0201"/>
                            <w:lock w:val="sdtLocked"/>
                            <w:richText/>
                          </w:sdtPr>
                          <w:sdtContent>
                            <w:p>
                              <w:pPr>
                                <w:overflowPunct w:val="0"/>
                                <w:ind w:firstLine="567"/>
                                <w:jc w:val="both"/>
                                <w:textAlignment w:val="baseline"/>
                              </w:pPr>
                              <w:sdt>
                                <w:sdtPr>
                                  <w:alias w:val="Numeris"/>
                                  <w:tag w:val="nr_bf1700c4b2c549fab8c0f05ecfbc0201"/>
                                  <w:lock w:val="sdtLocked"/>
                                  <w:richText/>
                                </w:sdtPr>
                                <w:sdtContent>
                                  <w:r>
                                    <w:t>27.1.3.5</w:t>
                                  </w:r>
                                </w:sdtContent>
                              </w:sdt>
                              <w: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w:t>
                              </w:r>
                            </w:p>
                          </w:sdtContent>
                        </w:sdt>
                        <w:sdt>
                          <w:sdtPr>
                            <w:alias w:val="27.1.3.6 pp."/>
                            <w:tag w:val="part_aff9e752410e492095814543fcc9a01f"/>
                            <w:lock w:val="sdtLocked"/>
                            <w:richText/>
                          </w:sdtPr>
                          <w:sdtContent>
                            <w:p>
                              <w:pPr>
                                <w:overflowPunct w:val="0"/>
                                <w:ind w:firstLine="567"/>
                                <w:jc w:val="both"/>
                                <w:textAlignment w:val="baseline"/>
                              </w:pPr>
                              <w:sdt>
                                <w:sdtPr>
                                  <w:alias w:val="Numeris"/>
                                  <w:tag w:val="nr_aff9e752410e492095814543fcc9a01f"/>
                                  <w:lock w:val="sdtLocked"/>
                                  <w:richText/>
                                </w:sdtPr>
                                <w:sdtContent>
                                  <w:r>
                                    <w:t>27.1.3.6</w:t>
                                  </w:r>
                                </w:sdtContent>
                              </w:sdt>
                              <w: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7 pp."/>
                            <w:tag w:val="part_3f0cb32bc9834e69a4ebc0412c69afd6"/>
                            <w:lock w:val="sdtLocked"/>
                            <w:richText/>
                          </w:sdtPr>
                          <w:sdtContent>
                            <w:p>
                              <w:pPr>
                                <w:overflowPunct w:val="0"/>
                                <w:ind w:firstLine="567"/>
                                <w:jc w:val="both"/>
                                <w:textAlignment w:val="baseline"/>
                              </w:pPr>
                              <w:sdt>
                                <w:sdtPr>
                                  <w:alias w:val="Numeris"/>
                                  <w:tag w:val="nr_3f0cb32bc9834e69a4ebc0412c69afd6"/>
                                  <w:lock w:val="sdtLocked"/>
                                  <w:richText/>
                                </w:sdtPr>
                                <w:sdtContent>
                                  <w:r>
                                    <w:t>27.1.3.7</w:t>
                                  </w:r>
                                </w:sdtContent>
                              </w:sdt>
                              <w: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8 pp."/>
                            <w:tag w:val="part_2ebb3bab0fba449b8b785909c4618da8"/>
                            <w:lock w:val="sdtLocked"/>
                            <w:richText/>
                          </w:sdtPr>
                          <w:sdtContent>
                            <w:p>
                              <w:pPr>
                                <w:overflowPunct w:val="0"/>
                                <w:ind w:firstLine="567"/>
                                <w:jc w:val="both"/>
                                <w:textAlignment w:val="baseline"/>
                                <w:rPr>
                                  <w:szCs w:val="24"/>
                                </w:rPr>
                              </w:pPr>
                              <w:sdt>
                                <w:sdtPr>
                                  <w:alias w:val="Numeris"/>
                                  <w:tag w:val="nr_2ebb3bab0fba449b8b785909c4618da8"/>
                                  <w:lock w:val="sdtLocked"/>
                                  <w:richText/>
                                </w:sdtPr>
                                <w:sdtContent>
                                  <w:r>
                                    <w:t>27.1.3.8</w:t>
                                  </w:r>
                                </w:sdtContent>
                              </w:sdt>
                              <w:r>
                                <w:t xml:space="preserve">. VVG turi teisę sumažinti didžiausią paramos lyginamąją dalį, nurodytą Taisyklių 27.1.3.1–27.1.3.6. papunkčiuose;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cb10fd1c11e8a969c20aa4d38bd4">
                            <w:r w:rsidRPr="00532B9F">
                              <w:rPr>
                                <w:rFonts w:ascii="Times New Roman" w:eastAsia="MS Mincho" w:hAnsi="Times New Roman"/>
                                <w:sz w:val="20"/>
                                <w:i/>
                                <w:iCs/>
                                <w:color w:val="0000FF" w:themeColor="hyperlink"/>
                                <w:u w:val="single"/>
                              </w:rPr>
                              <w:t>3D-887</w:t>
                            </w:r>
                          </w:fldSimple>
                          <w:r>
                            <w:rPr>
                              <w:rFonts w:ascii="Times New Roman" w:eastAsia="MS Mincho" w:hAnsi="Times New Roman"/>
                              <w:sz w:val="20"/>
                              <w:i/>
                              <w:iCs/>
                            </w:rPr>
                            <w:t>,
2018-12-11,
paskelbta TAR 2018-12-11, i. k. 2018-20230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321d3864cee14a78a90d5374380c5747"/>
                            <w:lock w:val="sdtLocked"/>
                            <w:richText/>
                          </w:sdtPr>
                          <w:sdtContent>
                            <w:p>
                              <w:pPr>
                                <w:tabs>
                                  <w:tab w:val="left" w:pos="567"/>
                                </w:tabs>
                                <w:overflowPunct w:val="0"/>
                                <w:ind w:firstLine="567"/>
                                <w:jc w:val="both"/>
                                <w:textAlignment w:val="baseline"/>
                                <w:rPr>
                                  <w:szCs w:val="24"/>
                                </w:rPr>
                              </w:pPr>
                              <w:sdt>
                                <w:sdtPr>
                                  <w:alias w:val="Numeris"/>
                                  <w:tag w:val="nr_321d3864cee14a78a90d5374380c5747"/>
                                  <w:lock w:val="sdtLocked"/>
                                  <w:richText/>
                                </w:sdtPr>
                                <w:sdtContent>
                                  <w:r>
                                    <w:rPr>
                                      <w:szCs w:val="24"/>
                                    </w:rPr>
                                    <w:t>28.1.3.2</w:t>
                                  </w:r>
                                </w:sdtContent>
                              </w:sdt>
                              <w:r>
                                <w:rPr>
                                  <w:szCs w:val="24"/>
                                </w:rPr>
                                <w:t>. didžiausia paramos vietos projektui įgyvendinti lyginamoji dalis:</w:t>
                              </w:r>
                            </w:p>
                            <w:sdt>
                              <w:sdtPr>
                                <w:alias w:val="28.1.3.2.1 pp."/>
                                <w:tag w:val="part_52e431e36f3148c7b0de7d0f65436650"/>
                                <w:lock w:val="sdtLocked"/>
                                <w:richText/>
                              </w:sdtPr>
                              <w:sdtContent>
                                <w:p>
                                  <w:pPr>
                                    <w:tabs>
                                      <w:tab w:val="left" w:pos="567"/>
                                    </w:tabs>
                                    <w:overflowPunct w:val="0"/>
                                    <w:ind w:firstLine="567"/>
                                    <w:jc w:val="both"/>
                                    <w:textAlignment w:val="baseline"/>
                                    <w:rPr>
                                      <w:szCs w:val="24"/>
                                    </w:rPr>
                                  </w:pPr>
                                  <w:sdt>
                                    <w:sdtPr>
                                      <w:alias w:val="Numeris"/>
                                      <w:tag w:val="nr_52e431e36f3148c7b0de7d0f65436650"/>
                                      <w:lock w:val="sdtLocked"/>
                                      <w:richText/>
                                    </w:sdtPr>
                                    <w:sdtContent>
                                      <w:r>
                                        <w:rPr>
                                          <w:szCs w:val="24"/>
                                        </w:rPr>
                                        <w:t>28.1.3.2.1</w:t>
                                      </w:r>
                                    </w:sdtContent>
                                  </w:sdt>
                                  <w:r>
                                    <w:rPr>
                                      <w:szCs w:val="24"/>
                                    </w:rPr>
                                    <w:t xml:space="preserve">. </w:t>
                                  </w:r>
                                  <w:r>
                                    <w:rPr>
                                      <w:bCs/>
                                      <w:szCs w:val="23"/>
                                    </w:rPr>
                                    <w:t>95 proc. tinkamų finansuoti išlaidų, kai vietos projektas yra ne pelno arba socialinio verslo pobūdžio, arba 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Reglamento (ES) Nr. 508/2014 95 straipsnio 3 dalies i ir ii papunkčiuose nurodytų kriterijų</w:t>
                                  </w:r>
                                  <w:r>
                                    <w:rPr>
                                      <w:szCs w:val="24"/>
                                    </w:rPr>
                                    <w:t>;</w:t>
                                  </w:r>
                                </w:p>
                              </w:sdtContent>
                            </w:sdt>
                            <w:sdt>
                              <w:sdtPr>
                                <w:alias w:val="28.1.3.2.2 pp."/>
                                <w:tag w:val="part_450f54b8fc704f66b6f0c2627d0adbc4"/>
                                <w:lock w:val="sdtLocked"/>
                                <w:richText/>
                              </w:sdtPr>
                              <w:sdtContent>
                                <w:p>
                                  <w:pPr>
                                    <w:tabs>
                                      <w:tab w:val="left" w:pos="567"/>
                                    </w:tabs>
                                    <w:overflowPunct w:val="0"/>
                                    <w:ind w:firstLine="567"/>
                                    <w:jc w:val="both"/>
                                    <w:textAlignment w:val="baseline"/>
                                    <w:rPr>
                                      <w:szCs w:val="24"/>
                                    </w:rPr>
                                  </w:pPr>
                                  <w:sdt>
                                    <w:sdtPr>
                                      <w:alias w:val="Numeris"/>
                                      <w:tag w:val="nr_450f54b8fc704f66b6f0c2627d0adbc4"/>
                                      <w:lock w:val="sdtLocked"/>
                                      <w:richText/>
                                    </w:sdt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suteikiama galimybė susipažinti su mokymų, finansuojamų iš EJRŽF lėšų, rezultatais</w:t>
                                  </w:r>
                                  <w:r>
                                    <w:t xml:space="preserve"> </w:t>
                                  </w:r>
                                  <w:r>
                                    <w:rPr>
                                      <w:szCs w:val="24"/>
                                      <w:lang w:eastAsia="lt-LT"/>
                                    </w:rPr>
                                    <w:t>ir vietos projektas turi atitikti vieną iš Reglamento (ES) Nr. 508/2014 95 straipsnio 3 dalies i ir ii papunkčiuose nurodytų kriterijų;</w:t>
                                  </w:r>
                                </w:p>
                              </w:sdtContent>
                            </w:sdt>
                            <w:sdt>
                              <w:sdtPr>
                                <w:alias w:val="28.1.3.2.3 pp."/>
                                <w:tag w:val="part_2c2337b6ccb04aaf976fc190b8853ed0"/>
                                <w:lock w:val="sdtLocked"/>
                                <w:richText/>
                              </w:sdtPr>
                              <w:sdtContent>
                                <w:p>
                                  <w:pPr>
                                    <w:tabs>
                                      <w:tab w:val="left" w:pos="993"/>
                                    </w:tabs>
                                    <w:overflowPunct w:val="0"/>
                                    <w:ind w:firstLine="567"/>
                                    <w:jc w:val="both"/>
                                    <w:textAlignment w:val="baseline"/>
                                  </w:pPr>
                                  <w:sdt>
                                    <w:sdtPr>
                                      <w:alias w:val="Numeris"/>
                                      <w:tag w:val="nr_2c2337b6ccb04aaf976fc190b8853ed0"/>
                                      <w:lock w:val="sdtLocked"/>
                                      <w:richText/>
                                    </w:sdtPr>
                                    <w:sdtContent>
                                      <w:r>
                                        <w:rPr>
                                          <w:szCs w:val="24"/>
                                        </w:rPr>
                                        <w:t>28.1.3.2.3</w:t>
                                      </w:r>
                                    </w:sdtContent>
                                  </w:sdt>
                                  <w:r>
                                    <w:rPr>
                                      <w:szCs w:val="24"/>
                                    </w:rPr>
                                    <w:t>. 50 proc. tinkamų finansuoti išlaidų, kai vietos projektas yra skirtas žuvininkystės verslui plėtoti arba pradėti, jį teikia juridinis arba fizinis asmuo.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Šiame papunktyje nurodyta paramos lyginamoji dalis vietos projektams didinama arba mažinama vadovaujantis Reglamento (ES) Nr. 508/2014 I priedu;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sdt>
                              <w:sdtPr>
                                <w:alias w:val="28.1.3.2.4 pp."/>
                                <w:tag w:val="part_4c150a8405f0401ba2edae1783163eed"/>
                                <w:lock w:val="sdtLocked"/>
                                <w:richText/>
                              </w:sdtPr>
                              <w:sdtContent>
                                <w:p>
                                  <w:pPr>
                                    <w:tabs>
                                      <w:tab w:val="left" w:pos="567"/>
                                    </w:tabs>
                                    <w:overflowPunct w:val="0"/>
                                    <w:ind w:firstLine="567"/>
                                    <w:jc w:val="both"/>
                                    <w:textAlignment w:val="baseline"/>
                                    <w:rPr>
                                      <w:szCs w:val="24"/>
                                    </w:rPr>
                                  </w:pPr>
                                  <w:sdt>
                                    <w:sdtPr>
                                      <w:alias w:val="Numeris"/>
                                      <w:tag w:val="nr_4c150a8405f0401ba2edae1783163eed"/>
                                      <w:lock w:val="sdtLocked"/>
                                      <w:richText/>
                                    </w:sdtPr>
                                    <w:sdtContent>
                                      <w:r>
                                        <w:rPr>
                                          <w:szCs w:val="24"/>
                                        </w:rPr>
                                        <w:t>28.1.3.2.4</w:t>
                                      </w:r>
                                    </w:sdtContent>
                                  </w:sdt>
                                  <w:r>
                                    <w:rPr>
                                      <w:szCs w:val="24"/>
                                    </w:rPr>
                                    <w:t>. 80 proc. tinkamų finansuoti išlaidų, kai vietos projektas yra skirtas žuvininkystės verslui plėtoti arba pradėti, jį teikia juridinis arba fizinis asmuo, ir pareiškėjas įrodo, kad</w:t>
                                  </w:r>
                                  <w:r>
                                    <w:rPr>
                                      <w:b/>
                                      <w:bCs/>
                                      <w:szCs w:val="24"/>
                                    </w:rPr>
                                    <w:t xml:space="preserve"> </w:t>
                                  </w:r>
                                  <w:r>
                                    <w:rPr>
                                      <w:szCs w:val="24"/>
                                    </w:rPr>
                                    <w:t>vietos projektas yra inovatyvus vietos lygiu vadovaujantis Lietuvos žuvininkystės sektoriaus 2014–2020 metų veiksmų programos priemonių projektuose diegiamų inovacijų vertinimo metodika, patvirtinta Lietuvos Respublikos žemės ūkio ministro 2016 m. sausio 29 d. įsakymu Nr. 3D42 „Dėl Lietuvos žuvininkystės sektoriaus 2014–2020 metų veiksmų programos priemonių projektuose diegiamų inovacijų vertinimo metodikos patvirtinimo“. Visuomenei turi būti suteikiama galimybė susipažinti su vietos projekto veiksmais ir rezultatais.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745910a83711e78a4c904b1afa0332">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2017-10-03,
paskelbta TAR 2017-10-04, i. k. 2017-15653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5191d0c52711e79122ea2db7aeb5f0">
            <w:r w:rsidRPr="00532B9F">
              <w:rPr>
                <w:rFonts w:ascii="Times New Roman" w:eastAsia="MS Mincho" w:hAnsi="Times New Roman"/>
                <w:sz w:val="20"/>
                <w:iCs/>
                <w:color w:val="0000FF" w:themeColor="hyperlink"/>
                <w:u w:val="single"/>
              </w:rPr>
              <w:t>3D-715</w:t>
            </w:r>
          </w:fldSimple>
          <w:r>
            <w:rPr>
              <w:rFonts w:ascii="Times New Roman" w:eastAsia="MS Mincho" w:hAnsi="Times New Roman"/>
              <w:sz w:val="20"/>
              <w:iCs/>
            </w:rPr>
            <w:t>,
2017-11-09,
paskelbta TAR 2017-11-09, i. k. 2017-17663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7c9f10a1e611e8b93ad15b34c9248c">
            <w:r w:rsidRPr="00532B9F">
              <w:rPr>
                <w:rFonts w:ascii="Times New Roman" w:eastAsia="MS Mincho" w:hAnsi="Times New Roman"/>
                <w:sz w:val="20"/>
                <w:iCs/>
                <w:color w:val="0000FF" w:themeColor="hyperlink"/>
                <w:u w:val="single"/>
              </w:rPr>
              <w:t>3D-559</w:t>
            </w:r>
          </w:fldSimple>
          <w:r>
            <w:rPr>
              <w:rFonts w:ascii="Times New Roman" w:eastAsia="MS Mincho" w:hAnsi="Times New Roman"/>
              <w:sz w:val="20"/>
              <w:iCs/>
            </w:rPr>
            <w:t>,
2018-08-17,
paskelbta TAR 2018-08-17, i. k. 2018-13170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cb10fd1c11e8a969c20aa4d38bd4">
            <w:r w:rsidRPr="00532B9F">
              <w:rPr>
                <w:rFonts w:ascii="Times New Roman" w:eastAsia="MS Mincho" w:hAnsi="Times New Roman"/>
                <w:sz w:val="20"/>
                <w:iCs/>
                <w:color w:val="0000FF" w:themeColor="hyperlink"/>
                <w:u w:val="single"/>
              </w:rPr>
              <w:t>3D-887</w:t>
            </w:r>
          </w:fldSimple>
          <w:r>
            <w:rPr>
              <w:rFonts w:ascii="Times New Roman" w:eastAsia="MS Mincho" w:hAnsi="Times New Roman"/>
              <w:sz w:val="20"/>
              <w:iCs/>
            </w:rPr>
            <w:t>,
2018-12-11,
paskelbta TAR 2018-12-11, i. k. 2018-20230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dbf2601b0f11ea8e248c77339e1836">
            <w:r w:rsidRPr="00532B9F">
              <w:rPr>
                <w:rFonts w:ascii="Times New Roman" w:eastAsia="MS Mincho" w:hAnsi="Times New Roman"/>
                <w:sz w:val="20"/>
                <w:iCs/>
                <w:color w:val="0000FF" w:themeColor="hyperlink"/>
                <w:u w:val="single"/>
              </w:rPr>
              <w:t>3D-681</w:t>
            </w:r>
          </w:fldSimple>
          <w:r>
            <w:rPr>
              <w:rFonts w:ascii="Times New Roman" w:eastAsia="MS Mincho" w:hAnsi="Times New Roman"/>
              <w:sz w:val="20"/>
              <w:iCs/>
            </w:rPr>
            <w:t>,
2019-12-09,
paskelbta TAR 2019-12-10, i. k. 2019-19872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0fbcb0dd6c11eaabd5b5599dd4eebe">
            <w:r w:rsidRPr="00532B9F">
              <w:rPr>
                <w:rFonts w:ascii="Times New Roman" w:eastAsia="MS Mincho" w:hAnsi="Times New Roman"/>
                <w:sz w:val="20"/>
                <w:iCs/>
                <w:color w:val="0000FF" w:themeColor="hyperlink"/>
                <w:u w:val="single"/>
              </w:rPr>
              <w:t>3D-596</w:t>
            </w:r>
          </w:fldSimple>
          <w:r>
            <w:rPr>
              <w:rFonts w:ascii="Times New Roman" w:eastAsia="MS Mincho" w:hAnsi="Times New Roman"/>
              <w:sz w:val="20"/>
              <w:iCs/>
            </w:rPr>
            <w:t>,
2020-08-13,
paskelbta TAR 2020-08-13, i. k. 2020-17326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563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1"/>
    <o:shapelayout v:ext="edit">
      <o:idmap v:ext="edit" data="1"/>
    </o:shapelayout>
  </w:shapeDefaults>
  <w:decimalSymbol w:val=","/>
  <w:listSeparator w:val=";"/>
  <w14:docId w14:val="5383768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188bad1097414e658fbb3449ef7fc452">
    <Part Type="preambule" DocPartId="920f740019e34d2986753684e6deee2c" PartId="80535cace435415b9d5eeecd0f1e2a52"/>
    <Part Type="pastraipa" DocPartId="106cbe009d6f4e909e7fecdcd9959fd0" PartId="8c78687ddef14cc490bb57d0e530b40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914869eff6e34c1fbf4ff717e5d2154e">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cf41a4eaf8ac4877bda04ae7b8758a42"/>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ac345276025b4572bdb6d32a914522d8"/>
          <Part Type="punktas" Nr="15.2.3" Abbr="15.2.3 p." DocPartId="c4cb08dcfd434a51aa40ee7a7f53c48b" PartId="e790510b5dd74aa89490cbbf787f7d9d"/>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c7f192633f1a4d0988c2f272d06b0fa1">
            <Part Type="papunktis" Nr="27.1.3.1" Abbr="27.1.3.1 pp." DocPartId="ef88efdc12064b619b7df476452c366f" PartId="fdbed9796c8d499fb0a4a4dbee1cfab2"/>
            <Part Type="papunktis" Nr="27.1.3.2" Abbr="27.1.3.2 pp." DocPartId="944ad7eeb38041e3b0a9a9cc9de3ed43" PartId="371d45ce391c49fead45223b185b6e7d"/>
            <Part Type="papunktis" Nr="27.1.3.3" Abbr="27.1.3.3 pp." DocPartId="cd3facd66ad34d86822072a415c5f75f" PartId="ff927e32e65f45dbb20739eb56192183"/>
            <Part Type="papunktis" Nr="27.1.3.4" Abbr="27.1.3.4 pp." DocPartId="b0b3d1e0eb094b7292a7cd12489d17c4" PartId="cdd1ea51860d4f98983f102deadae565">
              <Part Type="papunktis" Nr="27.1.3.4.1" Abbr="27.1.3.4.1 pp." DocPartId="9682dbd3506145f7837e2114ce6ff138" PartId="ae6ea9aec4a440eda02d586a4af97d44"/>
              <Part Type="papunktis" Nr="27.1.3.4.2" Abbr="27.1.3.4.2 pp." DocPartId="0f292d426e514f6a907540d27488c6a6" PartId="e634e676fd9b4e96ba541e4cec590ad9"/>
            </Part>
            <Part Type="papunktis" Nr="27.1.3.5" Abbr="27.1.3.5 pp." DocPartId="d535492d315c4bde9698f300c47be17a" PartId="bf1700c4b2c549fab8c0f05ecfbc0201"/>
            <Part Type="papunktis" Nr="27.1.3.6" Abbr="27.1.3.6 pp." DocPartId="b4474d27f6784ebab308c8e14f1548c4" PartId="aff9e752410e492095814543fcc9a01f"/>
            <Part Type="papunktis" Nr="27.1.3.7" Abbr="27.1.3.7 pp." DocPartId="54c14896c5804414969e6d4cc00fb400" PartId="3f0cb32bc9834e69a4ebc0412c69afd6"/>
            <Part Type="papunktis" Nr="27.1.3.8" Abbr="27.1.3.8 pp." DocPartId="d575e0e40df241588e194249b2c96979" PartId="2ebb3bab0fba449b8b785909c4618da8"/>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321d3864cee14a78a90d5374380c5747">
              <Part Type="papunktis" Nr="28.1.3.2.1" Abbr="28.1.3.2.1 pp." DocPartId="af5d005dcc7148668fd0f97a8adb32dd" PartId="52e431e36f3148c7b0de7d0f65436650"/>
              <Part Type="papunktis" Nr="28.1.3.2.2" Abbr="28.1.3.2.2 pp." DocPartId="b66ec72f543840c094617630065bd343" PartId="450f54b8fc704f66b6f0c2627d0adbc4"/>
              <Part Type="papunktis" Nr="28.1.3.2.3" Abbr="28.1.3.2.3 pp." DocPartId="770c18808d1c431492d1e935a1c2b4e4" PartId="2c2337b6ccb04aaf976fc190b8853ed0"/>
              <Part Type="papunktis" Nr="28.1.3.2.4" Abbr="28.1.3.2.4 pp." DocPartId="91328e094f3d4141a6ceac1a7a6c606e" PartId="4c150a8405f0401ba2edae1783163eed"/>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85368D45-19B3-4B47-9622-CD687CEF581E}">
  <ds:schemaRefs>
    <ds:schemaRef ds:uri="http://lrs.lt/TAIS/DocParts"/>
  </ds:schemaRefs>
</ds:datastoreItem>
</file>

<file path=docProps/app.xml><?xml version="1.0" encoding="utf-8"?>
<Properties xmlns="http://schemas.openxmlformats.org/officeDocument/2006/extended-properties">
  <Template>Normal.dotm</Template>
  <TotalTime>0</TotalTime>
  <Pages>30</Pages>
  <Words>68656</Words>
  <Characters>39135</Characters>
  <Application>Microsoft Office Word</Application>
  <DocSecurity>0</DocSecurity>
  <Lines>326</Lines>
  <Paragraphs>215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107576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2020-09-09T08:57:00Z</dcterms:modified>
  <revision>1</revision>
</coreProperties>
</file>