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8bad1097414e658fbb3449ef7fc452"/>
        <w:lock w:val="sdtLocked"/>
        <w:richText/>
      </w:sdtPr>
      <w:sdtContent>
        <w:p>
          <w:pPr>
            <w:jc w:val="both"/>
            <w:rPr>
              <w:rFonts w:ascii="Times New Roman" w:hAnsi="Times New Roman"/>
            </w:rPr>
          </w:pPr>
          <w:r>
            <w:rPr>
              <w:rFonts w:ascii="Times New Roman" w:hAnsi="Times New Roman"/>
              <w:b/>
              <w:i/>
            </w:rPr>
            <w:t>Suvestinė redakcija nuo 2017-11-10 iki 2018-08-17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jc w:val="both"/>
          </w:pPr>
          <w:r>
            <w:br w:type="page"/>
          </w: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ac345276025b4572bdb6d32a914522d8"/>
                        <w:lock w:val="sdtLocked"/>
                        <w:richText/>
                      </w:sdtPr>
                      <w:sdtContent>
                        <w:p>
                          <w:pPr>
                            <w:overflowPunct w:val="0"/>
                            <w:ind w:firstLine="567"/>
                            <w:jc w:val="both"/>
                            <w:textAlignment w:val="baseline"/>
                            <w:rPr>
                              <w:szCs w:val="24"/>
                            </w:rPr>
                          </w:pPr>
                          <w:sdt>
                            <w:sdtPr>
                              <w:alias w:val="Numeris"/>
                              <w:tag w:val="nr_ac345276025b4572bdb6d32a914522d8"/>
                              <w:lock w:val="sdtLocked"/>
                              <w:richText/>
                            </w:sdtPr>
                            <w:sdtContent>
                              <w:r>
                                <w:t>15.2.2</w:t>
                              </w:r>
                            </w:sdtContent>
                          </w:sdt>
                          <w:r>
                            <w:t xml:space="preserve">. VPS buhalterinės apskaitos specialistui ir (arba) finansininkui – turėti aukštąjį išsilavinimą ir  ne mažesnę nei 2 m. darbo patirtį buhalterinės apskaitos tvarkymo ir (arba) finansų valdymo srityje;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sdtContent>
                    </w:sdt>
                    <w:sdt>
                      <w:sdtPr>
                        <w:alias w:val="15.2.3 p."/>
                        <w:tag w:val="part_e3bc5396b2da4064a8fc556fb93a5df2"/>
                        <w:lock w:val="sdtLocked"/>
                        <w:richText/>
                      </w:sdtPr>
                      <w:sdtContent>
                        <w:p>
                          <w:pPr>
                            <w:overflowPunct w:val="0"/>
                            <w:ind w:firstLine="567"/>
                            <w:jc w:val="both"/>
                            <w:textAlignment w:val="baseline"/>
                            <w:rPr>
                              <w:szCs w:val="24"/>
                            </w:rPr>
                          </w:pPr>
                          <w:sdt>
                            <w:sdtPr>
                              <w:alias w:val="Numeris"/>
                              <w:tag w:val="nr_e3bc5396b2da4064a8fc556fb93a5df2"/>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516547682ba74431ac14a8e8071a27ec"/>
                        <w:lock w:val="sdtLocked"/>
                        <w:richText/>
                      </w:sdtPr>
                      <w:sdtContent>
                        <w:p>
                          <w:pPr>
                            <w:tabs>
                              <w:tab w:val="left" w:pos="567"/>
                            </w:tabs>
                            <w:overflowPunct w:val="0"/>
                            <w:ind w:firstLine="567"/>
                            <w:jc w:val="both"/>
                            <w:textAlignment w:val="baseline"/>
                            <w:rPr>
                              <w:szCs w:val="24"/>
                            </w:rPr>
                          </w:pPr>
                          <w:sdt>
                            <w:sdtPr>
                              <w:alias w:val="Numeris"/>
                              <w:tag w:val="nr_516547682ba74431ac14a8e8071a27ec"/>
                              <w:lock w:val="sdtLocked"/>
                              <w:richText/>
                            </w:sdtPr>
                            <w:sdtContent>
                              <w:r>
                                <w:rPr>
                                  <w:szCs w:val="24"/>
                                </w:rPr>
                                <w:t>27.1.3</w:t>
                              </w:r>
                            </w:sdtContent>
                          </w:sdt>
                          <w:r>
                            <w:rPr>
                              <w:szCs w:val="24"/>
                            </w:rPr>
                            <w:t>. didžiausia paramos vietos projektui įgyvendinti lyginamoji dalis:</w:t>
                          </w:r>
                        </w:p>
                        <w:sdt>
                          <w:sdtPr>
                            <w:alias w:val="27.1.3.1 pp."/>
                            <w:tag w:val="part_57f1806126534da4901421112c247c83"/>
                            <w:lock w:val="sdtLocked"/>
                            <w:richText/>
                          </w:sdtPr>
                          <w:sdtContent>
                            <w:p>
                              <w:pPr>
                                <w:tabs>
                                  <w:tab w:val="left" w:pos="567"/>
                                </w:tabs>
                                <w:overflowPunct w:val="0"/>
                                <w:ind w:firstLine="567"/>
                                <w:jc w:val="both"/>
                                <w:textAlignment w:val="baseline"/>
                                <w:rPr>
                                  <w:szCs w:val="24"/>
                                </w:rPr>
                              </w:pPr>
                              <w:sdt>
                                <w:sdtPr>
                                  <w:alias w:val="Numeris"/>
                                  <w:tag w:val="nr_57f1806126534da4901421112c247c83"/>
                                  <w:lock w:val="sdtLocked"/>
                                  <w:richText/>
                                </w:sdtPr>
                                <w:sdtContent>
                                  <w:r>
                                    <w:rPr>
                                      <w:szCs w:val="24"/>
                                    </w:rPr>
                                    <w:t>27.1.3.1</w:t>
                                  </w:r>
                                </w:sdtContent>
                              </w:sdt>
                              <w:r>
                                <w:rPr>
                                  <w:szCs w:val="24"/>
                                </w:rPr>
                                <w:t>. 80 proc. tinkamų finansuoti išlaidų, kai vietos projektas yra ne pelno arba socialinio verslo pobūdžio arba, kai jį teikia NVO ar kitas viešasis juridinis asmuo;</w:t>
                              </w:r>
                            </w:p>
                          </w:sdtContent>
                        </w:sdt>
                        <w:sdt>
                          <w:sdtPr>
                            <w:alias w:val="27.1.3.1-1 pp."/>
                            <w:tag w:val="part_dbc840b631be41afb587bc6df69c6252"/>
                            <w:lock w:val="sdtLocked"/>
                            <w:richText/>
                          </w:sdtPr>
                          <w:sdtContent>
                            <w:p>
                              <w:pPr>
                                <w:tabs>
                                  <w:tab w:val="left" w:pos="567"/>
                                </w:tabs>
                                <w:overflowPunct w:val="0"/>
                                <w:ind w:firstLine="567"/>
                                <w:jc w:val="both"/>
                                <w:textAlignment w:val="baseline"/>
                                <w:rPr>
                                  <w:szCs w:val="24"/>
                                </w:rPr>
                              </w:pPr>
                              <w:sdt>
                                <w:sdtPr>
                                  <w:alias w:val="Numeris"/>
                                  <w:tag w:val="nr_dbc840b631be41afb587bc6df69c6252"/>
                                  <w:lock w:val="sdtLocked"/>
                                  <w:richText/>
                                </w:sdtPr>
                                <w:sdtContent>
                                  <w:r>
                                    <w:rPr>
                                      <w:szCs w:val="24"/>
                                    </w:rPr>
                                    <w:t>27.1.3.1</w:t>
                                  </w:r>
                                  <w:r>
                                    <w:rPr>
                                      <w:szCs w:val="24"/>
                                      <w:vertAlign w:val="superscript"/>
                                    </w:rPr>
                                    <w:t>1</w:t>
                                  </w:r>
                                </w:sdtContent>
                              </w:sdt>
                              <w:r>
                                <w:rPr>
                                  <w:szCs w:val="24"/>
                                </w:rPr>
                                <w:t>. kai ne pelno vietos projektas susijęs su investicijomis į žmogiškąjį kapitalą ir jį teikia viešasis juridinis asmuo arba NVO, yra:</w:t>
                              </w:r>
                            </w:p>
                            <w:sdt>
                              <w:sdtPr>
                                <w:alias w:val="27.1.3.1-1.1 pp."/>
                                <w:tag w:val="part_10052cb3b7de443cbf1e033b63930f2e"/>
                                <w:lock w:val="sdtLocked"/>
                                <w:richText/>
                              </w:sdtPr>
                              <w:sdtContent>
                                <w:p>
                                  <w:pPr>
                                    <w:tabs>
                                      <w:tab w:val="left" w:pos="567"/>
                                    </w:tabs>
                                    <w:overflowPunct w:val="0"/>
                                    <w:ind w:firstLine="567"/>
                                    <w:jc w:val="both"/>
                                    <w:textAlignment w:val="baseline"/>
                                    <w:rPr>
                                      <w:szCs w:val="24"/>
                                    </w:rPr>
                                  </w:pPr>
                                  <w:sdt>
                                    <w:sdtPr>
                                      <w:alias w:val="Numeris"/>
                                      <w:tag w:val="nr_10052cb3b7de443cbf1e033b63930f2e"/>
                                      <w:lock w:val="sdtLocked"/>
                                      <w:richText/>
                                    </w:sdtPr>
                                    <w:sdtContent>
                                      <w:r>
                                        <w:rPr>
                                          <w:szCs w:val="24"/>
                                        </w:rPr>
                                        <w:t>27.1.3.1</w:t>
                                      </w:r>
                                      <w:r>
                                        <w:rPr>
                                          <w:szCs w:val="24"/>
                                          <w:vertAlign w:val="superscript"/>
                                        </w:rPr>
                                        <w:t>1</w:t>
                                      </w:r>
                                      <w:r>
                                        <w:rPr>
                                          <w:szCs w:val="24"/>
                                        </w:rPr>
                                        <w:t>.1</w:t>
                                      </w:r>
                                    </w:sdtContent>
                                  </w:sdt>
                                  <w:r>
                                    <w:rPr>
                                      <w:szCs w:val="24"/>
                                    </w:rP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1-1.2 pp."/>
                                <w:tag w:val="part_8202178e6a574f609a097061f5042076"/>
                                <w:lock w:val="sdtLocked"/>
                                <w:richText/>
                              </w:sdtPr>
                              <w:sdtContent>
                                <w:p>
                                  <w:pPr>
                                    <w:tabs>
                                      <w:tab w:val="left" w:pos="567"/>
                                    </w:tabs>
                                    <w:overflowPunct w:val="0"/>
                                    <w:ind w:firstLine="567"/>
                                    <w:jc w:val="both"/>
                                    <w:textAlignment w:val="baseline"/>
                                    <w:rPr>
                                      <w:szCs w:val="24"/>
                                    </w:rPr>
                                  </w:pPr>
                                  <w:sdt>
                                    <w:sdtPr>
                                      <w:alias w:val="Numeris"/>
                                      <w:tag w:val="nr_8202178e6a574f609a097061f5042076"/>
                                      <w:lock w:val="sdtLocked"/>
                                      <w:richText/>
                                    </w:sdtPr>
                                    <w:sdtContent>
                                      <w:r>
                                        <w:rPr>
                                          <w:szCs w:val="24"/>
                                        </w:rPr>
                                        <w:t>27.1.3.1</w:t>
                                      </w:r>
                                      <w:r>
                                        <w:rPr>
                                          <w:szCs w:val="24"/>
                                          <w:vertAlign w:val="superscript"/>
                                        </w:rPr>
                                        <w:t>1</w:t>
                                      </w:r>
                                      <w:r>
                                        <w:rPr>
                                          <w:szCs w:val="24"/>
                                        </w:rPr>
                                        <w:t>.2</w:t>
                                      </w:r>
                                    </w:sdtContent>
                                  </w:sdt>
                                  <w:r>
                                    <w:rPr>
                                      <w:szCs w:val="24"/>
                                    </w:rPr>
                                    <w:t>. mokymų, didžiausia paramos lyginamoji dalis – 100 proc. tinkamų finansuoti išlaidų;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
                          <w:sdtPr>
                            <w:alias w:val="27.1.3.2 pp."/>
                            <w:tag w:val="part_e0db30c7410d4d67b6028947009f4958"/>
                            <w:lock w:val="sdtLocked"/>
                            <w:richText/>
                          </w:sdtPr>
                          <w:sdtContent>
                            <w:p>
                              <w:pPr>
                                <w:tabs>
                                  <w:tab w:val="left" w:pos="567"/>
                                </w:tabs>
                                <w:overflowPunct w:val="0"/>
                                <w:ind w:firstLine="567"/>
                                <w:jc w:val="both"/>
                                <w:textAlignment w:val="baseline"/>
                                <w:rPr>
                                  <w:szCs w:val="24"/>
                                </w:rPr>
                              </w:pPr>
                              <w:sdt>
                                <w:sdtPr>
                                  <w:alias w:val="Numeris"/>
                                  <w:tag w:val="nr_e0db30c7410d4d67b6028947009f4958"/>
                                  <w:lock w:val="sdtLocked"/>
                                  <w:richText/>
                                </w:sdtPr>
                                <w:sdtContent>
                                  <w:r>
                                    <w:rPr>
                                      <w:szCs w:val="24"/>
                                    </w:rPr>
                                    <w:t>27.1.3.2</w:t>
                                  </w:r>
                                </w:sdtContent>
                              </w:sdt>
                              <w:r>
                                <w:rPr>
                                  <w:szCs w:val="24"/>
                                </w:rP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asmenis) ir Europos Komisijos 2003 m. gegužės 3 d. rekomendacijoje Nr. 2003/361/EC dėl labai mažos, mažos ir vidutinės įmonės apibrėžimo (taikoma fiziniams asmenims);</w:t>
                              </w:r>
                            </w:p>
                          </w:sdtContent>
                        </w:sdt>
                        <w:sdt>
                          <w:sdtPr>
                            <w:alias w:val="27.1.3.3 pp."/>
                            <w:tag w:val="part_72d71f123d7945fa90a6a129c3c83b8b"/>
                            <w:lock w:val="sdtLocked"/>
                            <w:richText/>
                          </w:sdtPr>
                          <w:sdtContent>
                            <w:p>
                              <w:pPr>
                                <w:tabs>
                                  <w:tab w:val="left" w:pos="567"/>
                                </w:tabs>
                                <w:overflowPunct w:val="0"/>
                                <w:ind w:firstLine="567"/>
                                <w:jc w:val="both"/>
                                <w:textAlignment w:val="baseline"/>
                                <w:rPr>
                                  <w:szCs w:val="24"/>
                                </w:rPr>
                              </w:pPr>
                              <w:sdt>
                                <w:sdtPr>
                                  <w:alias w:val="Numeris"/>
                                  <w:tag w:val="nr_72d71f123d7945fa90a6a129c3c83b8b"/>
                                  <w:lock w:val="sdtLocked"/>
                                  <w:richText/>
                                </w:sdtPr>
                                <w:sdtContent>
                                  <w:r>
                                    <w:rPr>
                                      <w:szCs w:val="24"/>
                                    </w:rPr>
                                    <w:t>27.1.3.3</w:t>
                                  </w:r>
                                </w:sdtContent>
                              </w:sdt>
                              <w:r>
                                <w:rPr>
                                  <w:szCs w:val="24"/>
                                </w:rP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4 pp."/>
                            <w:tag w:val="part_9f061fe5fdb2434b896c3bfa127fe00c"/>
                            <w:lock w:val="sdtLocked"/>
                            <w:richText/>
                          </w:sdtPr>
                          <w:sdtContent>
                            <w:p>
                              <w:pPr>
                                <w:tabs>
                                  <w:tab w:val="left" w:pos="567"/>
                                </w:tabs>
                                <w:overflowPunct w:val="0"/>
                                <w:ind w:firstLine="567"/>
                                <w:jc w:val="both"/>
                                <w:textAlignment w:val="baseline"/>
                                <w:rPr>
                                  <w:szCs w:val="24"/>
                                </w:rPr>
                              </w:pPr>
                              <w:sdt>
                                <w:sdtPr>
                                  <w:alias w:val="Numeris"/>
                                  <w:tag w:val="nr_9f061fe5fdb2434b896c3bfa127fe00c"/>
                                  <w:lock w:val="sdtLocked"/>
                                  <w:richText/>
                                </w:sdtPr>
                                <w:sdtContent>
                                  <w:r>
                                    <w:rPr>
                                      <w:szCs w:val="24"/>
                                    </w:rPr>
                                    <w:t>27.1.3.4</w:t>
                                  </w:r>
                                </w:sdtContent>
                              </w:sdt>
                              <w:r>
                                <w:rPr>
                                  <w:szCs w:val="24"/>
                                </w:rP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5 pp."/>
                            <w:tag w:val="part_8432e2d6307c480a8e497e2affe323d0"/>
                            <w:lock w:val="sdtLocked"/>
                            <w:richText/>
                          </w:sdtPr>
                          <w:sdtContent>
                            <w:p>
                              <w:pPr>
                                <w:tabs>
                                  <w:tab w:val="left" w:pos="567"/>
                                </w:tabs>
                                <w:overflowPunct w:val="0"/>
                                <w:ind w:firstLine="567"/>
                                <w:jc w:val="both"/>
                                <w:textAlignment w:val="baseline"/>
                                <w:rPr>
                                  <w:szCs w:val="24"/>
                                </w:rPr>
                              </w:pPr>
                              <w:sdt>
                                <w:sdtPr>
                                  <w:alias w:val="Numeris"/>
                                  <w:tag w:val="nr_8432e2d6307c480a8e497e2affe323d0"/>
                                  <w:lock w:val="sdtLocked"/>
                                  <w:richText/>
                                </w:sdtPr>
                                <w:sdtContent>
                                  <w:r>
                                    <w:rPr>
                                      <w:szCs w:val="24"/>
                                    </w:rPr>
                                    <w:t>27.1.3.5</w:t>
                                  </w:r>
                                </w:sdtContent>
                              </w:sdt>
                              <w:r>
                                <w:rPr>
                                  <w:szCs w:val="24"/>
                                </w:rPr>
                                <w:t>. VVG turi teisę sumažinti didžiausią paramos lyginamąją dalį, nurodytą Taisyklių 27.1.3.1–27.1.3.3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69b8f67685434b5b877575dbbcf6458b"/>
                                <w:lock w:val="sdtLocked"/>
                                <w:richText/>
                              </w:sdtPr>
                              <w:sdtContent>
                                <w:p>
                                  <w:pPr>
                                    <w:tabs>
                                      <w:tab w:val="left" w:pos="567"/>
                                    </w:tabs>
                                    <w:overflowPunct w:val="0"/>
                                    <w:ind w:firstLine="567"/>
                                    <w:jc w:val="both"/>
                                    <w:textAlignment w:val="baseline"/>
                                    <w:rPr>
                                      <w:szCs w:val="24"/>
                                    </w:rPr>
                                  </w:pPr>
                                  <w:sdt>
                                    <w:sdtPr>
                                      <w:alias w:val="Numeris"/>
                                      <w:tag w:val="nr_69b8f67685434b5b877575dbbcf6458b"/>
                                      <w:lock w:val="sdtLocked"/>
                                      <w:richText/>
                                    </w:sdtPr>
                                    <w:sdtContent>
                                      <w:r>
                                        <w:rPr>
                                          <w:szCs w:val="24"/>
                                        </w:rPr>
                                        <w:t>28.1.3.2.3</w:t>
                                      </w:r>
                                    </w:sdtContent>
                                  </w:sdt>
                                  <w:r>
                                    <w:rPr>
                                      <w:szCs w:val="24"/>
                                    </w:rPr>
                                    <w:t>. 50 proc. tinkamų finansuoti išlaidų, kai vietos projektas yra privataus verslo pobūdžio (įsipareigojama įgyvendinus projektą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567" w:right="567" w:bottom="709"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o:shapelayout v:ext="edit">
      <o:idmap v:ext="edit" data="1"/>
    </o:shapelayout>
  </w:shapeDefaults>
  <w:decimalSymbol w:val=","/>
  <w:listSeparator w:val=";"/>
  <w14:docId w14:val="7BC692B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188bad1097414e658fbb3449ef7fc452">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ac345276025b4572bdb6d32a914522d8"/>
          <Part Type="punktas" Nr="15.2.3" Abbr="15.2.3 p." DocPartId="c4cb08dcfd434a51aa40ee7a7f53c48b" PartId="e3bc5396b2da4064a8fc556fb93a5df2"/>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516547682ba74431ac14a8e8071a27ec">
            <Part Type="papunktis" Nr="27.1.3.1" Abbr="27.1.3.1 pp." DocPartId="b489a0dce0894d3190dcd8e9799cb4ad" PartId="57f1806126534da4901421112c247c83"/>
            <Part Type="papunktis" Nr="27.1.3.1-1" Abbr="27.1.3.1-1 pp." DocPartId="1cf9d69a78654d3bb2b90e0e2c5b6518" PartId="dbc840b631be41afb587bc6df69c6252">
              <Part Type="papunktis" Nr="27.1.3.1-1.1" Abbr="27.1.3.1-1.1 pp." DocPartId="41cd0cad1b0e414c9e09ace6d85abe7c" PartId="10052cb3b7de443cbf1e033b63930f2e"/>
              <Part Type="papunktis" Nr="27.1.3.1-1.2" Abbr="27.1.3.1-1.2 pp." DocPartId="679479f920c04da68b3da8d723ef9bb4" PartId="8202178e6a574f609a097061f5042076"/>
            </Part>
            <Part Type="papunktis" Nr="27.1.3.2" Abbr="27.1.3.2 pp." DocPartId="53a11109d721494e9e3cb60706dd546c" PartId="e0db30c7410d4d67b6028947009f4958"/>
            <Part Type="papunktis" Nr="27.1.3.3" Abbr="27.1.3.3 pp." DocPartId="5a65dc85741e44adbd75259a70910758" PartId="72d71f123d7945fa90a6a129c3c83b8b"/>
            <Part Type="papunktis" Nr="27.1.3.4" Abbr="27.1.3.4 pp." DocPartId="6f94b042be91410f9a4903d0fe1364a1" PartId="9f061fe5fdb2434b896c3bfa127fe00c"/>
            <Part Type="papunktis" Nr="27.1.3.5" Abbr="27.1.3.5 pp." DocPartId="2644da050e34435cbd390d23083ef29e" PartId="8432e2d6307c480a8e497e2affe323d0"/>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69b8f67685434b5b877575dbbcf6458b"/>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8090211A-479A-42D3-85E1-8EA50BC7EC8C}">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66383</Words>
  <Characters>37839</Characters>
  <Application>Microsoft Office Word</Application>
  <DocSecurity>0</DocSecurity>
  <Lines>315</Lines>
  <Paragraphs>208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104014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2017-11-10T06:05:00Z</dcterms:modified>
  <revision>1</revision>
</coreProperties>
</file>