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837a6b3888f4e50a199340a1c2aac2c"/>
        <w:lock w:val="sdtLocked"/>
        <w:richText/>
      </w:sdtPr>
      <w:sdtContent>
        <w:p>
          <w:pPr>
            <w:jc w:val="both"/>
            <w:rPr>
              <w:rFonts w:ascii="Times New Roman" w:hAnsi="Times New Roman"/>
            </w:rPr>
          </w:pPr>
          <w:r>
            <w:rPr>
              <w:rFonts w:ascii="Times New Roman" w:hAnsi="Times New Roman"/>
              <w:b/>
              <w:i/>
            </w:rPr>
            <w:t>Suvestinė redakcija nuo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2022-06-20, i. k. 2022-13224</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4" o:title=""/>
              </v:shape>
              <o:OLEObject Type="Embed" ProgID="Word.Picture.8" ShapeID="_x0000_i1025" DrawAspect="Content" ObjectID="_0000000001" r:id="rId15"/>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szCs w:val="24"/>
            </w:rPr>
          </w:pPr>
          <w:r>
            <w:rPr>
              <w:b/>
              <w:bCs/>
              <w:szCs w:val="24"/>
            </w:rPr>
            <w:t>ĮSAKYMAS</w:t>
          </w:r>
        </w:p>
        <w:p>
          <w:pPr>
            <w:jc w:val="center"/>
            <w:rPr>
              <w:b/>
              <w:bCs/>
              <w:szCs w:val="24"/>
            </w:rPr>
          </w:pPr>
          <w:r>
            <w:rPr>
              <w:b/>
              <w:bCs/>
              <w:szCs w:val="24"/>
            </w:rPr>
            <w:t>DĖL LIETUVOS RESPUBLIKOS SVEIKATOS APSAUGOS MINISTRO 2004 M. RUGSĖJO 29 D. ĮSAKYMO NR. V-680 „DĖL TEISĖS VERSTIS SIAURA MEDICINOS PRAKTIKA“ PAKEITIMO</w:t>
          </w:r>
        </w:p>
        <w:p>
          <w:pPr>
            <w:jc w:val="center"/>
            <w:rPr>
              <w:szCs w:val="24"/>
              <w:lang w:eastAsia="lt-LT"/>
            </w:rPr>
          </w:pPr>
        </w:p>
        <w:p>
          <w:pPr>
            <w:jc w:val="center"/>
            <w:rPr>
              <w:lang w:eastAsia="lt-LT"/>
            </w:rPr>
          </w:pPr>
          <w:r>
            <w:rPr>
              <w:lang w:eastAsia="lt-LT"/>
            </w:rPr>
            <w:t>2022 m. birželio 20 d. Nr. V-1117</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1 p."/>
            <w:tag w:val="part_9e9f35725d8c4deba7e4cd250541b99a"/>
            <w:lock w:val="sdtLocked"/>
            <w:richText/>
          </w:sdtPr>
          <w:sdtContent>
            <w:p>
              <w:pPr>
                <w:tabs>
                  <w:tab w:val="left" w:pos="993"/>
                </w:tabs>
                <w:ind w:firstLine="709"/>
                <w:jc w:val="both"/>
                <w:rPr>
                  <w:szCs w:val="24"/>
                </w:rPr>
              </w:pPr>
              <w:sdt>
                <w:sdtPr>
                  <w:alias w:val="Numeris"/>
                  <w:tag w:val="nr_9e9f35725d8c4deba7e4cd250541b99a"/>
                  <w:lock w:val="sdtLocked"/>
                  <w:richText/>
                </w:sdtPr>
                <w:sdtContent>
                  <w:r>
                    <w:rPr>
                      <w:spacing w:val="60"/>
                      <w:szCs w:val="24"/>
                      <w:lang w:val="en-US"/>
                    </w:rPr>
                    <w:t>1</w:t>
                  </w:r>
                </w:sdtContent>
              </w:sdt>
              <w:r>
                <w:rPr>
                  <w:spacing w:val="60"/>
                  <w:szCs w:val="24"/>
                  <w:lang w:val="en-US"/>
                </w:rPr>
                <w:t>.Pakeičiu</w:t>
              </w:r>
              <w:r>
                <w:rPr>
                  <w:szCs w:val="24"/>
                </w:rPr>
                <w:t xml:space="preserve"> Lietuvos Respublikos sveikatos apsaugos ministro </w:t>
              </w:r>
              <w:smartTag w:uri="urn:schemas-microsoft-com:office:smarttags" w:element="metricconverter">
                <w:smartTagPr>
                  <w:attr w:name="ProductID" w:val="2004 m"/>
                </w:smartTagPr>
                <w:r>
                  <w:rPr>
                    <w:szCs w:val="24"/>
                  </w:rPr>
                  <w:t>2004 m</w:t>
                </w:r>
              </w:smartTag>
              <w:r>
                <w:rPr>
                  <w:szCs w:val="24"/>
                </w:rPr>
                <w:t>. rugsėjo 29 d. įsakymą Nr. V-680 „Dėl teisės verstis siaura medicinos praktika“:</w:t>
              </w:r>
            </w:p>
            <w:sdt>
              <w:sdtPr>
                <w:alias w:val="1.1 pp."/>
                <w:tag w:val="part_931dd6db435f49e9bb146fb3e510da0b"/>
                <w:lock w:val="sdtLocked"/>
                <w:richText/>
              </w:sdtPr>
              <w:sdtContent>
                <w:p>
                  <w:pPr>
                    <w:tabs>
                      <w:tab w:val="left" w:pos="993"/>
                    </w:tabs>
                    <w:ind w:firstLine="709"/>
                    <w:jc w:val="both"/>
                    <w:rPr>
                      <w:szCs w:val="24"/>
                    </w:rPr>
                  </w:pPr>
                  <w:sdt>
                    <w:sdtPr>
                      <w:alias w:val="Numeris"/>
                      <w:tag w:val="nr_931dd6db435f49e9bb146fb3e510da0b"/>
                      <w:lock w:val="sdtLocked"/>
                      <w:richText/>
                    </w:sdtPr>
                    <w:sdtContent>
                      <w:r>
                        <w:rPr>
                          <w:szCs w:val="24"/>
                        </w:rPr>
                        <w:t>1.1</w:t>
                      </w:r>
                    </w:sdtContent>
                  </w:sdt>
                  <w:r>
                    <w:rPr>
                      <w:szCs w:val="24"/>
                    </w:rPr>
                    <w:t>. Papildau 1.7 papunkčiu:</w:t>
                  </w:r>
                </w:p>
                <w:p>
                  <w:pPr>
                    <w:ind w:firstLine="709"/>
                    <w:jc w:val="both"/>
                    <w:rPr>
                      <w:color w:val="000000"/>
                      <w:shd w:val="clear" w:color="auto" w:fill="FFFFFF"/>
                    </w:rPr>
                  </w:pPr>
                  <w:r>
                    <w:rPr>
                      <w:szCs w:val="24"/>
                    </w:rPr>
                    <w:t xml:space="preserve">„1.7. </w:t>
                  </w:r>
                  <w:r>
                    <w:t xml:space="preserve">Fizinės medicinos ir reabilitacijos gydytojai, kurie iki </w:t>
                  </w:r>
                  <w:r>
                    <w:rPr>
                      <w:szCs w:val="24"/>
                    </w:rPr>
                    <w:t>2022 m. gruodžio 31 d.</w:t>
                  </w:r>
                  <w:r>
                    <w:rPr>
                      <w:b/>
                      <w:bCs/>
                      <w:szCs w:val="24"/>
                    </w:rPr>
                    <w:t xml:space="preserve"> </w:t>
                  </w:r>
                  <w:r>
                    <w:rPr>
                      <w:color w:val="000000"/>
                      <w:shd w:val="clear" w:color="auto" w:fill="FFFFFF"/>
                    </w:rPr>
                    <w:t xml:space="preserve">papildomai pasirengė ir turi </w:t>
                  </w:r>
                  <w:r>
                    <w:t xml:space="preserve">Vilniaus universiteto ar Lietuvos sveikatos mokslų universiteto išduotą bendrai universitetų nustatytos trukmės siauros medicinos praktikos </w:t>
                  </w:r>
                  <w:r>
                    <w:rPr>
                      <w:color w:val="000000"/>
                      <w:shd w:val="clear" w:color="auto" w:fill="FFFFFF"/>
                    </w:rPr>
                    <w:t xml:space="preserve">socialinės pediatrijos įvadinio kurso baigimo pažymėjimą ar jam prilygintą </w:t>
                  </w:r>
                  <w:r>
                    <w:t>iki 2004 m. spalio 10 d. Sveikatos apsaugos ministerijos išduotą sertifikatą, suteikiantį teisę verstis socialinio pediatro medicinos praktika</w:t>
                  </w:r>
                  <w:r>
                    <w:rPr>
                      <w:color w:val="000000"/>
                      <w:shd w:val="clear" w:color="auto" w:fill="FFFFFF"/>
                    </w:rPr>
                    <w:t>, turi teisę ja verstis ir po 2022  m. gruodžio 31 d.</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c4ceb0880011ed8df094f359a60216">
                    <w:r w:rsidRPr="00532B9F">
                      <w:rPr>
                        <w:rFonts w:ascii="Times New Roman" w:eastAsia="MS Mincho" w:hAnsi="Times New Roman"/>
                        <w:sz w:val="20"/>
                        <w:i/>
                        <w:iCs/>
                        <w:color w:val="0000FF" w:themeColor="hyperlink"/>
                        <w:u w:val="single"/>
                      </w:rPr>
                      <w:t>V-1995</w:t>
                    </w:r>
                  </w:fldSimple>
                  <w:r>
                    <w:rPr>
                      <w:rFonts w:ascii="Times New Roman" w:eastAsia="MS Mincho" w:hAnsi="Times New Roman"/>
                      <w:sz w:val="20"/>
                      <w:i/>
                      <w:iCs/>
                    </w:rPr>
                    <w:t>,
2022-12-30,
paskelbta TAR 2022-12-30, i. k. 2022-27522            </w:t>
                  </w:r>
                </w:p>
                <w:p/>
              </w:sdtContent>
            </w:sdt>
            <w:sdt>
              <w:sdtPr>
                <w:alias w:val="1.2 pp."/>
                <w:tag w:val="part_80879acc04924a93a404522d78073b8c"/>
                <w:lock w:val="sdtLocked"/>
                <w:richText/>
              </w:sdtPr>
              <w:sdtContent>
                <w:p>
                  <w:pPr>
                    <w:ind w:firstLine="709"/>
                    <w:jc w:val="both"/>
                    <w:rPr>
                      <w:color w:val="000000"/>
                    </w:rPr>
                  </w:pPr>
                  <w:sdt>
                    <w:sdtPr>
                      <w:alias w:val="Numeris"/>
                      <w:tag w:val="nr_80879acc04924a93a404522d78073b8c"/>
                      <w:lock w:val="sdtLocked"/>
                      <w:richText/>
                    </w:sdtPr>
                    <w:sdtContent>
                      <w:r>
                        <w:rPr>
                          <w:color w:val="000000"/>
                          <w:shd w:val="clear" w:color="auto" w:fill="FFFFFF"/>
                        </w:rPr>
                        <w:t>1.2</w:t>
                      </w:r>
                    </w:sdtContent>
                  </w:sdt>
                  <w:r>
                    <w:rPr>
                      <w:color w:val="000000"/>
                      <w:shd w:val="clear" w:color="auto" w:fill="FFFFFF"/>
                    </w:rPr>
                    <w:t xml:space="preserve">. </w:t>
                  </w:r>
                  <w:r>
                    <w:rPr>
                      <w:color w:val="000000"/>
                      <w:szCs w:val="24"/>
                    </w:rPr>
                    <w:t xml:space="preserve">Pakeičiu </w:t>
                  </w:r>
                  <w:r>
                    <w:rPr>
                      <w:szCs w:val="24"/>
                    </w:rPr>
                    <w:t>priedo 9 punktą ir jį išdėstau taip</w:t>
                  </w:r>
                  <w:r>
                    <w:rPr>
                      <w:color w:val="000000"/>
                    </w:rPr>
                    <w:t>:</w:t>
                  </w:r>
                </w:p>
                <w:p>
                  <w:pPr>
                    <w:tabs>
                      <w:tab w:val="left" w:pos="1418"/>
                    </w:tabs>
                    <w:rPr>
                      <w:color w:val="000000"/>
                      <w:szCs w:val="24"/>
                      <w:lang w:eastAsia="lt-LT"/>
                    </w:rPr>
                  </w:pPr>
                </w:p>
                <w:tbl>
                  <w:tblPr>
                    <w:tblW w:w="10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1134"/>
                    <w:gridCol w:w="5244"/>
                    <w:gridCol w:w="3612"/>
                  </w:tblGrid>
                  <w:tr>
                    <w:trPr>
                      <w:trHeight w:val="547"/>
                    </w:trPr>
                    <w:tc>
                      <w:tcPr>
                        <w:tcW w:w="534" w:type="dxa"/>
                      </w:tcPr>
                      <w:p>
                        <w:pPr>
                          <w:rPr>
                            <w:szCs w:val="24"/>
                          </w:rPr>
                        </w:pPr>
                        <w:r>
                          <w:rPr>
                            <w:szCs w:val="24"/>
                          </w:rPr>
                          <w:t>„9.</w:t>
                        </w:r>
                      </w:p>
                    </w:tc>
                    <w:tc>
                      <w:tcPr>
                        <w:tcW w:w="1134" w:type="dxa"/>
                        <w:noWrap/>
                      </w:tcPr>
                      <w:p>
                        <w:pPr>
                          <w:rPr>
                            <w:szCs w:val="24"/>
                          </w:rPr>
                        </w:pPr>
                        <w:r>
                          <w:rPr>
                            <w:szCs w:val="24"/>
                          </w:rPr>
                          <w:t>Socialinė pediatrija</w:t>
                        </w:r>
                      </w:p>
                    </w:tc>
                    <w:tc>
                      <w:tcPr>
                        <w:tcW w:w="5244" w:type="dxa"/>
                      </w:tcPr>
                      <w:p>
                        <w:pPr>
                          <w:jc w:val="both"/>
                          <w:rPr>
                            <w:szCs w:val="24"/>
                          </w:rPr>
                        </w:pPr>
                        <w:r>
                          <w:rPr>
                            <w:szCs w:val="24"/>
                          </w:rPr>
                          <w:t>9.1. Išmanyti:</w:t>
                        </w:r>
                      </w:p>
                      <w:p>
                        <w:pPr>
                          <w:jc w:val="both"/>
                          <w:rPr>
                            <w:szCs w:val="24"/>
                          </w:rPr>
                        </w:pPr>
                        <w:r>
                          <w:rPr>
                            <w:szCs w:val="24"/>
                          </w:rPr>
                          <w:t>9.1.1. vaiko raidą, raidos etapus, raidos teorijas;</w:t>
                        </w:r>
                      </w:p>
                      <w:p>
                        <w:pPr>
                          <w:jc w:val="both"/>
                          <w:rPr>
                            <w:szCs w:val="24"/>
                          </w:rPr>
                        </w:pPr>
                        <w:r>
                          <w:rPr>
                            <w:szCs w:val="24"/>
                          </w:rPr>
                          <w:t>9.1.2. raidos sutrikimų priežastis, rizikos faktorius, klasifikaciją, epidemiologiją;</w:t>
                        </w:r>
                      </w:p>
                      <w:p>
                        <w:pPr>
                          <w:jc w:val="both"/>
                          <w:rPr>
                            <w:szCs w:val="24"/>
                          </w:rPr>
                        </w:pPr>
                        <w:r>
                          <w:rPr>
                            <w:szCs w:val="24"/>
                          </w:rPr>
                          <w:t>9.1.3. raidos sutrikimų kliniką, diagnostiką, daugiaašės diagnostikos sistemas;</w:t>
                        </w:r>
                      </w:p>
                      <w:p>
                        <w:pPr>
                          <w:jc w:val="both"/>
                          <w:rPr>
                            <w:szCs w:val="24"/>
                          </w:rPr>
                        </w:pPr>
                        <w:r>
                          <w:rPr>
                            <w:szCs w:val="24"/>
                          </w:rPr>
                          <w:t>9.1.4. raidos sutrikimų gydymo ir reabilitacijos indikacijas ir taikymo principus;</w:t>
                        </w:r>
                      </w:p>
                      <w:p>
                        <w:pPr>
                          <w:jc w:val="both"/>
                          <w:rPr>
                            <w:szCs w:val="24"/>
                          </w:rPr>
                        </w:pPr>
                        <w:r>
                          <w:rPr>
                            <w:szCs w:val="24"/>
                          </w:rPr>
                          <w:t>9.1.5. ankstyvosios reabilitacijos principus naujagimių skyriuje, rizikos grupės naujagimių ilgalaikio stebėjimo principus;</w:t>
                        </w:r>
                      </w:p>
                      <w:p>
                        <w:pPr>
                          <w:jc w:val="both"/>
                          <w:rPr>
                            <w:szCs w:val="24"/>
                          </w:rPr>
                        </w:pPr>
                        <w:r>
                          <w:rPr>
                            <w:szCs w:val="24"/>
                          </w:rPr>
                          <w:t>9.1.6. šeimos funkcionavimo principus, psichologinės krizės šeimoje požymius;</w:t>
                        </w:r>
                      </w:p>
                      <w:p>
                        <w:pPr>
                          <w:jc w:val="both"/>
                          <w:rPr>
                            <w:szCs w:val="24"/>
                          </w:rPr>
                        </w:pPr>
                        <w:r>
                          <w:rPr>
                            <w:szCs w:val="24"/>
                          </w:rPr>
                          <w:t>9.1.7. sveikatos stiprinimo programas vaikų įstaigose.</w:t>
                        </w:r>
                      </w:p>
                      <w:p>
                        <w:pPr>
                          <w:jc w:val="both"/>
                          <w:rPr>
                            <w:szCs w:val="24"/>
                          </w:rPr>
                        </w:pPr>
                        <w:r>
                          <w:rPr>
                            <w:szCs w:val="24"/>
                          </w:rPr>
                          <w:t>9.2. Gebėti:</w:t>
                        </w:r>
                      </w:p>
                      <w:p>
                        <w:pPr>
                          <w:jc w:val="both"/>
                          <w:rPr>
                            <w:szCs w:val="24"/>
                          </w:rPr>
                        </w:pPr>
                        <w:r>
                          <w:rPr>
                            <w:szCs w:val="24"/>
                          </w:rPr>
                          <w:t>9.2.1. atlikti sutrikusios raidos vaiko kompleksinį ištyrimą (surinkti raidos anamnezę, genetinę ir socialinę anamnezę, atlikti klinikinį raidos, neurologinės ir psichinės būklės vertinimą);</w:t>
                        </w:r>
                      </w:p>
                      <w:p>
                        <w:pPr>
                          <w:jc w:val="both"/>
                          <w:rPr>
                            <w:szCs w:val="24"/>
                          </w:rPr>
                        </w:pPr>
                        <w:r>
                          <w:rPr>
                            <w:szCs w:val="24"/>
                          </w:rPr>
                          <w:t>9.2.2. įvertinti vaiko bendrosios, smulkiosios motorikos, pažintinę kalbos ir socialinę emocinę raidą;</w:t>
                        </w:r>
                      </w:p>
                      <w:p>
                        <w:pPr>
                          <w:jc w:val="both"/>
                          <w:rPr>
                            <w:szCs w:val="24"/>
                          </w:rPr>
                        </w:pPr>
                        <w:r>
                          <w:rPr>
                            <w:szCs w:val="24"/>
                          </w:rPr>
                          <w:t>9.2.3. atlikti vaiko elgesio tyrimą klinikinio stebėjimo būdu ir atliekant vaizdo analizę;</w:t>
                        </w:r>
                      </w:p>
                      <w:p>
                        <w:pPr>
                          <w:jc w:val="both"/>
                          <w:rPr>
                            <w:szCs w:val="24"/>
                          </w:rPr>
                        </w:pPr>
                        <w:r>
                          <w:rPr>
                            <w:szCs w:val="24"/>
                          </w:rPr>
                          <w:t>9.2.4. atlikti vaiko socialinės brandos vertinimą ikimokykliniame ir mokykliniame amžiuje;</w:t>
                        </w:r>
                      </w:p>
                      <w:p>
                        <w:pPr>
                          <w:jc w:val="both"/>
                          <w:rPr>
                            <w:szCs w:val="24"/>
                          </w:rPr>
                        </w:pPr>
                        <w:r>
                          <w:rPr>
                            <w:szCs w:val="24"/>
                          </w:rPr>
                          <w:t>9.2.5. atlikti tėvų ir vaikų santykių vertinimą klinikinio stebėjimo būdu ir atliekant vaizdo analizę;</w:t>
                        </w:r>
                      </w:p>
                      <w:p>
                        <w:pPr>
                          <w:jc w:val="both"/>
                          <w:rPr>
                            <w:szCs w:val="24"/>
                          </w:rPr>
                        </w:pPr>
                        <w:r>
                          <w:rPr>
                            <w:szCs w:val="24"/>
                          </w:rPr>
                          <w:t>9.2.6. įvertinti šeimos psichosocialinę būklę;</w:t>
                        </w:r>
                      </w:p>
                      <w:p>
                        <w:pPr>
                          <w:jc w:val="both"/>
                          <w:rPr>
                            <w:szCs w:val="24"/>
                          </w:rPr>
                        </w:pPr>
                        <w:r>
                          <w:rPr>
                            <w:szCs w:val="24"/>
                          </w:rPr>
                          <w:t>9.2.7. taikyti raidos diagnostikos testus;</w:t>
                        </w:r>
                      </w:p>
                      <w:p>
                        <w:pPr>
                          <w:jc w:val="both"/>
                          <w:rPr>
                            <w:szCs w:val="24"/>
                          </w:rPr>
                        </w:pPr>
                        <w:r>
                          <w:rPr>
                            <w:szCs w:val="24"/>
                          </w:rPr>
                          <w:t>9.2.8. atlikti cerebrinio paralyžiaus diagnostiką;</w:t>
                        </w:r>
                      </w:p>
                      <w:p>
                        <w:pPr>
                          <w:jc w:val="both"/>
                          <w:rPr>
                            <w:szCs w:val="24"/>
                          </w:rPr>
                        </w:pPr>
                        <w:r>
                          <w:rPr>
                            <w:szCs w:val="24"/>
                          </w:rPr>
                          <w:t>9.2.9. atlikti protinio atsilikimo diagnostiką;</w:t>
                        </w:r>
                      </w:p>
                      <w:p>
                        <w:pPr>
                          <w:jc w:val="both"/>
                          <w:rPr>
                            <w:szCs w:val="24"/>
                          </w:rPr>
                        </w:pPr>
                        <w:r>
                          <w:rPr>
                            <w:szCs w:val="24"/>
                          </w:rPr>
                          <w:t>9.2.10. atlikti kalbos raidos sutrikimų diagnostiką, diferencinę diagnostiką;</w:t>
                        </w:r>
                      </w:p>
                      <w:p>
                        <w:pPr>
                          <w:jc w:val="both"/>
                          <w:rPr>
                            <w:szCs w:val="24"/>
                          </w:rPr>
                        </w:pPr>
                        <w:r>
                          <w:rPr>
                            <w:szCs w:val="24"/>
                          </w:rPr>
                          <w:t>9.2.11. atlikti autizmo spektro ir kitų bendravimo sutrikimų diagnostiką;</w:t>
                        </w:r>
                      </w:p>
                      <w:p>
                        <w:pPr>
                          <w:jc w:val="both"/>
                          <w:rPr>
                            <w:szCs w:val="24"/>
                          </w:rPr>
                        </w:pPr>
                        <w:r>
                          <w:rPr>
                            <w:szCs w:val="24"/>
                          </w:rPr>
                          <w:t>9.2.12. atpažinti ankstyvus regos ir klausos sutrikimų požymius;</w:t>
                        </w:r>
                      </w:p>
                      <w:p>
                        <w:pPr>
                          <w:jc w:val="both"/>
                          <w:rPr>
                            <w:szCs w:val="24"/>
                          </w:rPr>
                        </w:pPr>
                        <w:r>
                          <w:rPr>
                            <w:szCs w:val="24"/>
                          </w:rPr>
                          <w:t>9.2.13. atlikti socialinės-emocinės deprivacijos ir dezadaptacijos diagnostiką;</w:t>
                        </w:r>
                      </w:p>
                      <w:p>
                        <w:pPr>
                          <w:jc w:val="both"/>
                          <w:rPr>
                            <w:szCs w:val="24"/>
                          </w:rPr>
                        </w:pPr>
                        <w:r>
                          <w:rPr>
                            <w:szCs w:val="24"/>
                          </w:rPr>
                          <w:t>9.2.14. sudaryti individualų sutrikusios raidos vaiko terapijos planą, derinant medicininius, psichologinius, pedagoginius ir socialinės pagalbos metodus;</w:t>
                        </w:r>
                      </w:p>
                      <w:p>
                        <w:pPr>
                          <w:jc w:val="both"/>
                          <w:rPr>
                            <w:szCs w:val="24"/>
                          </w:rPr>
                        </w:pPr>
                        <w:r>
                          <w:rPr>
                            <w:szCs w:val="24"/>
                          </w:rPr>
                          <w:t>9.2.15. taikyti pagrindinius elgesio korekcijos metodus;</w:t>
                        </w:r>
                      </w:p>
                      <w:p>
                        <w:pPr>
                          <w:jc w:val="both"/>
                          <w:rPr>
                            <w:szCs w:val="24"/>
                          </w:rPr>
                        </w:pPr>
                        <w:r>
                          <w:rPr>
                            <w:szCs w:val="24"/>
                          </w:rPr>
                          <w:t>9.2.16. suteikti psichologinę pagalbą šeimai;</w:t>
                        </w:r>
                      </w:p>
                      <w:p>
                        <w:pPr>
                          <w:jc w:val="both"/>
                          <w:rPr>
                            <w:szCs w:val="24"/>
                          </w:rPr>
                        </w:pPr>
                        <w:r>
                          <w:rPr>
                            <w:szCs w:val="24"/>
                          </w:rPr>
                          <w:t>9.2.17. pritaikyti namų aplinką sutrikusios raidos vaikui;</w:t>
                        </w:r>
                      </w:p>
                      <w:p>
                        <w:pPr>
                          <w:jc w:val="both"/>
                          <w:rPr>
                            <w:szCs w:val="24"/>
                          </w:rPr>
                        </w:pPr>
                        <w:r>
                          <w:rPr>
                            <w:szCs w:val="24"/>
                          </w:rPr>
                          <w:t>9.2.18. pritaikyti kompensacinę techniką;</w:t>
                        </w:r>
                      </w:p>
                      <w:p>
                        <w:pPr>
                          <w:jc w:val="both"/>
                          <w:rPr>
                            <w:szCs w:val="24"/>
                          </w:rPr>
                        </w:pPr>
                        <w:r>
                          <w:rPr>
                            <w:szCs w:val="24"/>
                          </w:rPr>
                          <w:t>9.2.19. koordinuoti tarpdalykinės specialistų komandos darbą;</w:t>
                        </w:r>
                      </w:p>
                      <w:p>
                        <w:pPr>
                          <w:jc w:val="both"/>
                          <w:rPr>
                            <w:szCs w:val="24"/>
                          </w:rPr>
                        </w:pPr>
                        <w:r>
                          <w:rPr>
                            <w:szCs w:val="24"/>
                          </w:rPr>
                          <w:t>9.2.20. bendradarbiauti su vaiko tėvais / globėjais, juos įtraukti į gydymo procesą;</w:t>
                        </w:r>
                      </w:p>
                      <w:p>
                        <w:pPr>
                          <w:jc w:val="both"/>
                          <w:rPr>
                            <w:szCs w:val="24"/>
                          </w:rPr>
                        </w:pPr>
                        <w:r>
                          <w:rPr>
                            <w:szCs w:val="24"/>
                          </w:rPr>
                          <w:t>9.2.21. bendradarbiauti su vaiko ugdymo ir globos įstaigomis, teikti rekomendacijas dėl vaiko socialinės adaptacijos gerinimo.</w:t>
                        </w:r>
                      </w:p>
                    </w:tc>
                    <w:tc>
                      <w:tcPr>
                        <w:tcW w:w="3612" w:type="dxa"/>
                      </w:tcPr>
                      <w:p>
                        <w:pPr>
                          <w:rPr>
                            <w:b/>
                            <w:bCs/>
                            <w:szCs w:val="24"/>
                          </w:rPr>
                        </w:pPr>
                        <w:r>
                          <w:rPr>
                            <w:szCs w:val="24"/>
                          </w:rPr>
                          <w:t xml:space="preserve">Vaikų ligų gydytojams, gydytojams vaikų ir paauglių psichiatrams, gydytojams vaikų neurologams, </w:t>
                        </w:r>
                        <w:r>
                          <w:t>gydytojams vaikų alergologams, gydytojams vaikų endokrinologams, gydytojams vaikų gastroenterologams, vaikų infekcinių ligų gydytojams, vaikų intensyviosios terapijos gydytojams, gydytojams vaikų kardiologams, gydytojams vaikų nefrologams, gydytojams neonatologams, gydytojams vaikų onkohematologams, gydytojams vaikų pulmonologams, gydytojams vaikų reumatologams.“</w:t>
                        </w:r>
                      </w:p>
                    </w:tc>
                  </w:tr>
                </w:tbl>
                <w:p>
                  <w:pPr>
                    <w:tabs>
                      <w:tab w:val="left" w:pos="8940"/>
                    </w:tabs>
                    <w:rPr>
                      <w:szCs w:val="24"/>
                    </w:rPr>
                  </w:pPr>
                </w:p>
              </w:sdtContent>
            </w:sdt>
          </w:sdtContent>
        </w:sdt>
        <w:sdt>
          <w:sdtPr>
            <w:alias w:val="2 p."/>
            <w:tag w:val="part_f03acb86f88b4b53b19620abdc4cf427"/>
            <w:lock w:val="sdtLocked"/>
            <w:richText/>
          </w:sdtPr>
          <w:sdtContent>
            <w:p>
              <w:pPr>
                <w:tabs>
                  <w:tab w:val="left" w:pos="993"/>
                </w:tabs>
                <w:ind w:firstLine="709"/>
                <w:jc w:val="both"/>
                <w:rPr>
                  <w:szCs w:val="24"/>
                </w:rPr>
              </w:pPr>
              <w:sdt>
                <w:sdtPr>
                  <w:alias w:val="Numeris"/>
                  <w:tag w:val="nr_f03acb86f88b4b53b19620abdc4cf427"/>
                  <w:lock w:val="sdtLocked"/>
                  <w:richText/>
                </w:sdtPr>
                <w:sdtContent>
                  <w:r>
                    <w:rPr>
                      <w:szCs w:val="24"/>
                    </w:rPr>
                    <w:t>2</w:t>
                  </w:r>
                </w:sdtContent>
              </w:sdt>
              <w:r>
                <w:rPr>
                  <w:szCs w:val="24"/>
                </w:rPr>
                <w:t>. N u s t a t a u, kad šis įsakymas įsigalioja 2022 m. gruodžio 31 d.</w:t>
              </w:r>
            </w:p>
            <w:p>
              <w:pPr>
                <w:tabs>
                  <w:tab w:val="left" w:pos="8940"/>
                </w:tabs>
                <w:rPr>
                  <w:szCs w:val="24"/>
                </w:rPr>
              </w:pPr>
            </w:p>
            <w:p>
              <w:pPr>
                <w:tabs>
                  <w:tab w:val="left" w:pos="8940"/>
                </w:tabs>
                <w:rPr>
                  <w:szCs w:val="24"/>
                </w:rPr>
              </w:pPr>
            </w:p>
            <w:p>
              <w:pPr>
                <w:tabs>
                  <w:tab w:val="left" w:pos="8940"/>
                </w:tabs>
                <w:rPr>
                  <w:szCs w:val="24"/>
                </w:rPr>
              </w:pPr>
            </w:p>
          </w:sdtContent>
        </w:sdt>
        <w:sdt>
          <w:sdtPr>
            <w:alias w:val="signatura"/>
            <w:tag w:val="part_a77fbf16af8e45b1b5d06ba00898571c"/>
            <w:lock w:val="sdtLocked"/>
            <w:richText/>
          </w:sdtPr>
          <w:sdtContent>
            <w:p>
              <w:pPr>
                <w:tabs>
                  <w:tab w:val="left" w:pos="8222"/>
                </w:tabs>
                <w:rPr>
                  <w:szCs w:val="24"/>
                </w:rPr>
              </w:pPr>
              <w:r>
                <w:rPr>
                  <w:szCs w:val="24"/>
                </w:rPr>
                <w:t>Sveikatos apsaugos ministras</w:t>
                <w:tab/>
                <w:t>Arūnas Dulkys</w:t>
              </w:r>
            </w:p>
            <w:p>
              <w:pPr>
                <w:rPr>
                  <w:sz w:val="2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c4ceb0880011ed8df094f359a60216">
            <w:r w:rsidRPr="00532B9F">
              <w:rPr>
                <w:rFonts w:ascii="Times New Roman" w:eastAsia="MS Mincho" w:hAnsi="Times New Roman"/>
                <w:sz w:val="20"/>
                <w:iCs/>
                <w:color w:val="0000FF" w:themeColor="hyperlink"/>
                <w:u w:val="single"/>
              </w:rPr>
              <w:t>V-1995</w:t>
            </w:r>
          </w:fldSimple>
          <w:r>
            <w:rPr>
              <w:rFonts w:ascii="Times New Roman" w:eastAsia="MS Mincho" w:hAnsi="Times New Roman"/>
              <w:sz w:val="20"/>
              <w:iCs/>
            </w:rPr>
            <w:t>,
2022-12-30,
paskelbta TAR 2022-12-30, i. k. 2022-27522                </w:t>
          </w:r>
        </w:p>
        <w:p>
          <w:pPr>
            <w:jc w:val="both"/>
            <w:rPr>
              <w:rFonts w:ascii="Times New Roman" w:hAnsi="Times New Roman"/>
            </w:rPr>
          </w:pPr>
          <w:r>
            <w:rPr>
              <w:rFonts w:ascii="Times New Roman" w:hAnsi="Times New Roman"/>
              <w:sz w:val="20"/>
            </w:rPr>
            <w:t>Dėl Lietuvos Respublikos sveikatos apsaugos ministro 2022 m. birželio 20 d. įsakymo Nr. V-1117 ,,Dėl Lietuvos Respublikos sveikatos apsaugos ministro 2004 m. rugsėjo 29 d. įsakymo Nr. V-680 „Dėl teisės verstis siaura medicinos praktika“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560"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separate"/>
    </w:r>
    <w:r>
      <w:rPr>
        <w:rFonts w:ascii="Arial" w:hAnsi="Arial" w:cs="Arial"/>
        <w:sz w:val="20"/>
        <w:lang w:eastAsia="lt-LT"/>
      </w:rPr>
      <w:t>2</w:t>
    </w:r>
    <w:r>
      <w:rPr>
        <w:rFonts w:ascii="Arial" w:hAnsi="Arial" w:cs="Arial"/>
        <w:sz w:val="20"/>
        <w:lang w:eastAsia="lt-LT"/>
      </w:rPr>
      <w:fldChar w:fldCharType="end"/>
    </w:r>
  </w:p>
  <w:p>
    <w:pPr>
      <w:tabs>
        <w:tab w:val="center" w:pos="4819"/>
        <w:tab w:val="right" w:pos="9638"/>
      </w:tabs>
      <w:ind w:firstLine="720"/>
      <w:rPr>
        <w:rFonts w:ascii="Arial" w:hAnsi="Arial" w:cs="Arial"/>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6F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1"/>
    <o:shapelayout v:ext="edit">
      <o:idmap v:ext="edit" data="2"/>
    </o:shapelayout>
  </w:shapeDefaults>
  <w:decimalSymbol w:val=","/>
  <w:listSeparator w:val=";"/>
  <w14:docId w14:val="23C0E177"/>
  <w15:docId w15:val="{845DD3E3-236C-4FEF-9835-73B8E2630E5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2.png"/>
  <Relationship Id="rId15" Type="http://schemas.openxmlformats.org/officeDocument/2006/relationships/oleObject" Target="embeddings/oleObject2.bin"/>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07d7dfeeb7542d6af4adb3cd9108141" PartId="8837a6b3888f4e50a199340a1c2aac2c">
    <Part Type="punktas" Nr="1" Abbr="1 p." DocPartId="6a08f98412864ae2a563b5221b11ee5a" PartId="9e9f35725d8c4deba7e4cd250541b99a">
      <Part Type="papunktis" Nr="1.1" Abbr="1.1 pp." DocPartId="39fc6035f8a94a23b1679a5f216d88d5" PartId="931dd6db435f49e9bb146fb3e510da0b"/>
      <Part Type="papunktis" Nr="1.2" Abbr="1.2 pp." DocPartId="e843ec09732e45de99336fc07e39db39" PartId="80879acc04924a93a404522d78073b8c"/>
    </Part>
    <Part Type="punktas" Nr="2" Abbr="2 p." DocPartId="5e88b0feac564e9e920d2d4c6b4d34f0" PartId="f03acb86f88b4b53b19620abdc4cf427"/>
    <Part Type="signatura" DocPartId="e9b1d08d3f674a899134fe6215e2c125" PartId="a77fbf16af8e45b1b5d06ba00898571c"/>
  </Part>
</Parts>
</file>

<file path=customXml/itemProps1.xml><?xml version="1.0" encoding="utf-8"?>
<ds:datastoreItem xmlns:ds="http://schemas.openxmlformats.org/officeDocument/2006/customXml" ds:itemID="{0852139F-03C2-42C8-B3EA-BD68C82FB1CF}">
  <ds:schemaRefs>
    <ds:schemaRef ds:uri="http://lrs.lt/TAIS/DocParts"/>
  </ds:schemaRefs>
</ds:datastoreItem>
</file>

<file path=docProps/app.xml><?xml version="1.0" encoding="utf-8"?>
<Properties xmlns="http://schemas.openxmlformats.org/officeDocument/2006/extended-properties">
  <Template>Normal.dotm</Template>
  <TotalTime>3</TotalTime>
  <Pages>2</Pages>
  <Words>2875</Words>
  <Characters>1640</Characters>
  <Application>Microsoft Office Word</Application>
  <DocSecurity>0</DocSecurity>
  <Lines>13</Lines>
  <Paragraphs>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4506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2022-06-20T15:08:00Z</dcterms:created>
  <dc:creator>Aušrinė Storpirštienė</dc:creator>
  <lastModifiedBy>TAMALIŪNIENĖ Vilija</lastModifiedBy>
  <dcterms:modified xsi:type="dcterms:W3CDTF">2023-01-05T11:22:00Z</dcterms:modified>
  <revision>5</revision>
</coreProperties>
</file>