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Arial" w:hAnsi="Arial"/>
            </w:rPr>
          </w:pPr>
          <w:r>
            <w:rPr>
              <w:rFonts w:ascii="Arial" w:hAnsi="Arial"/>
              <w:b/>
              <w:i/>
            </w:rPr>
            <w:t>Suvestinė redakcija nuo 2023-01-01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2014-10-13, i. k. 2014-14019</w:t>
          </w:r>
        </w:p>
        <w:p>
          <w:pPr>
            <w:jc w:val="both"/>
            <w:rPr>
              <w:rFonts w:ascii="Arial" w:hAnsi="Arial"/>
              <w:sz w:val="20"/>
            </w:rPr>
          </w:pPr>
        </w:p>
        <w:p>
          <w:pPr>
            <w:rPr>
              <w:rFonts w:ascii="Arial" w:hAnsi="Arial"/>
              <w:sz w:val="20"/>
              <w:b/>
              <w:i/>
            </w:rPr>
          </w:pPr>
          <w:r>
            <w:rPr>
              <w:rFonts w:ascii="Arial" w:hAnsi="Arial"/>
              <w:sz w:val="20"/>
              <w:b/>
              <w:i/>
            </w:rPr>
            <w:t>Nauja redakcija nuo 2022-08-11:</w:t>
          </w:r>
        </w:p>
        <w:p>
          <w:pPr>
            <w:rPr>
              <w:rFonts w:ascii="Arial" w:hAnsi="Arial"/>
              <w:sz w:val="20"/>
              <w:i/>
            </w:rPr>
          </w:pPr>
          <w:r>
            <w:rPr>
              <w:rFonts w:ascii="Arial" w:hAnsi="Arial"/>
              <w:sz w:val="20"/>
              <w:i/>
            </w:rPr>
            <w:t xml:space="preserve">Nr. </w:t>
          </w:r>
          <w:fldSimple w:instr="HYPERLINK https://www.e-tar.lt/portal/legalAct.html?documentId=c63116e017ec11edb4cae1b158f98ea5">
            <w:r w:rsidRPr="00532B9F">
              <w:rPr>
                <w:rFonts w:ascii="Arial" w:eastAsia="MS Mincho" w:hAnsi="Arial"/>
                <w:sz w:val="20"/>
                <w:i/>
                <w:iCs/>
                <w:color w:val="0000FF" w:themeColor="hyperlink"/>
                <w:u w:val="single"/>
              </w:rPr>
              <w:t>A1-528</w:t>
            </w:r>
          </w:fldSimple>
          <w:r>
            <w:rPr>
              <w:rFonts w:ascii="Arial" w:eastAsia="MS Mincho" w:hAnsi="Arial"/>
              <w:sz w:val="20"/>
              <w:i/>
              <w:iCs/>
            </w:rPr>
            <w:t>,
2022-08-09,
paskelbta TAR 2022-08-10, i. k. 2022-16924                </w:t>
          </w:r>
        </w:p>
        <w:p>
          <w:pPr>
            <w:rPr>
              <w:rFonts w:ascii="Arial" w:hAnsi="Arial"/>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8f653ae78b854da3970f8bf427b26fcc"/>
            <w:lock w:val="sdtLocked"/>
            <w:richText/>
          </w:sdtPr>
          <w:sdtContent>
            <w:p>
              <w:pPr>
                <w:spacing w:line="276" w:lineRule="auto"/>
                <w:ind w:firstLine="851"/>
                <w:jc w:val="both"/>
                <w:rPr>
                  <w:bCs/>
                  <w:szCs w:val="24"/>
                </w:rPr>
              </w:pPr>
              <w:r>
                <w:rPr>
                  <w:bCs/>
                  <w:szCs w:val="24"/>
                </w:rPr>
                <w:t>Vadovaudamasi Lietuvos Respublikos socialinių paslaugų įstatymo 19 straipsnio 6 dalimi,</w:t>
              </w:r>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c447a0c425004ec8b4a5e365462b2bb7"/>
        <w:lock w:val="sdtLocked"/>
        <w:richText/>
      </w:sdtPr>
      <w:sdtContent>
        <w:p>
          <w:pPr>
            <w:ind w:left="9781"/>
            <w:sectPr>
              <w:headerReference w:type="even" r:id="rId15"/>
              <w:headerReference w:type="default" r:id="rId16"/>
              <w:footerReference w:type="even" r:id="rId17"/>
              <w:footerReference w:type="default" r:id="rId18"/>
              <w:headerReference w:type="first" r:id="rId19"/>
              <w:footerReference w:type="first" r:id="rId20"/>
              <w:pgSz w:w="11906" w:h="16838"/>
              <w:pgMar w:top="1701" w:right="1701" w:bottom="1134" w:left="1134" w:header="567" w:footer="567" w:gutter="0"/>
              <w:pgNumType w:start="1"/>
              <w:cols w:space="1296"/>
              <w:titlePg/>
              <w:docGrid w:linePitch="360"/>
            </w:sectPr>
          </w:pPr>
        </w:p>
        <w:p>
          <w:pPr>
            <w:ind w:left="9781"/>
            <w:rPr>
              <w:szCs w:val="24"/>
            </w:rPr>
          </w:pPr>
          <w:r>
            <w:rPr>
              <w:szCs w:val="24"/>
            </w:rPr>
            <w:t>PATVIRTINTA</w:t>
          </w:r>
        </w:p>
        <w:p>
          <w:pPr>
            <w:ind w:left="9781"/>
            <w:rPr>
              <w:szCs w:val="24"/>
            </w:rPr>
          </w:pPr>
          <w:r>
            <w:rPr>
              <w:szCs w:val="24"/>
            </w:rPr>
            <w:t xml:space="preserve">Lietuvos Respublikos socialinės apsaugos ir darbo ministro </w:t>
          </w:r>
        </w:p>
        <w:p>
          <w:pPr>
            <w:ind w:left="9781"/>
            <w:rPr>
              <w:szCs w:val="24"/>
            </w:rPr>
          </w:pPr>
          <w:r>
            <w:rPr>
              <w:szCs w:val="24"/>
            </w:rPr>
            <w:t>2014 m. spalio 13 d. įsakymu Nr. A1-487</w:t>
          </w:r>
        </w:p>
        <w:p>
          <w:pPr>
            <w:tabs>
              <w:tab w:val="left" w:pos="5954"/>
            </w:tabs>
            <w:ind w:left="9781"/>
            <w:rPr>
              <w:szCs w:val="24"/>
            </w:rPr>
          </w:pPr>
          <w:r>
            <w:rPr>
              <w:szCs w:val="24"/>
            </w:rPr>
            <w:t xml:space="preserve">(Lietuvos Respublikos socialinės apsaugos ir darbo ministro </w:t>
          </w:r>
        </w:p>
        <w:p>
          <w:pPr>
            <w:tabs>
              <w:tab w:val="left" w:pos="5954"/>
            </w:tabs>
            <w:ind w:left="9781"/>
            <w:rPr>
              <w:szCs w:val="24"/>
            </w:rPr>
          </w:pPr>
          <w:r>
            <w:rPr>
              <w:szCs w:val="24"/>
            </w:rPr>
            <w:t xml:space="preserve">2022 m. rugpjūčio 9 d. įsakymo </w:t>
          </w:r>
        </w:p>
        <w:p>
          <w:pPr>
            <w:tabs>
              <w:tab w:val="left" w:pos="5954"/>
            </w:tabs>
            <w:ind w:left="9781"/>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c447a0c425004ec8b4a5e365462b2bb7"/>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178"/>
            <w:gridCol w:w="6898"/>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ind w:left="360" w:hanging="360"/>
                  <w:rPr>
                    <w:szCs w:val="24"/>
                  </w:rPr>
                </w:pPr>
                <w:r>
                  <w:rPr>
                    <w:szCs w:val="24"/>
                  </w:rPr>
                  <w:t xml:space="preserve">2.4. </w:t>
                </w:r>
              </w:p>
            </w:tc>
            <w:tc>
              <w:tcPr>
                <w:tcW w:w="0" w:type="auto"/>
              </w:tcPr>
              <w:p>
                <w:pPr>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w:t>
                </w:r>
              </w:p>
            </w:tc>
            <w:tc>
              <w:tcPr>
                <w:tcW w:w="0" w:type="auto"/>
              </w:tcPr>
              <w:p>
                <w:pPr>
                  <w:jc w:val="both"/>
                  <w:rPr>
                    <w:szCs w:val="24"/>
                  </w:rPr>
                </w:pPr>
                <w:r>
                  <w:rPr>
                    <w:szCs w:val="24"/>
                  </w:rPr>
                  <w:t>2.4.1. dirba socialinį darbą, teikia socialines paslaugas pagal individualius asmens poreikius;</w:t>
                </w:r>
              </w:p>
              <w:p>
                <w:pPr>
                  <w:jc w:val="both"/>
                  <w:rPr>
                    <w:szCs w:val="24"/>
                  </w:rPr>
                </w:pPr>
                <w:r>
                  <w:rPr>
                    <w:szCs w:val="24"/>
                  </w:rPr>
                  <w:t>2.4.2. informuoja ir konsultuoja asmenis socialinių paslaugų klausimais;</w:t>
                </w:r>
              </w:p>
              <w:p>
                <w:pPr>
                  <w:jc w:val="both"/>
                  <w:rPr>
                    <w:szCs w:val="24"/>
                  </w:rPr>
                </w:pPr>
                <w:r>
                  <w:rPr>
                    <w:szCs w:val="24"/>
                  </w:rPr>
                  <w:t>2.4.3. užmezga santykį su asmenimis, patiriančiais įvairių sunkumų, įtraukia juos į pagalbos teikimo procesą;</w:t>
                </w:r>
              </w:p>
              <w:p>
                <w:pPr>
                  <w:jc w:val="both"/>
                  <w:rPr>
                    <w:szCs w:val="24"/>
                  </w:rPr>
                </w:pPr>
                <w:r>
                  <w:rPr>
                    <w:szCs w:val="24"/>
                  </w:rPr>
                  <w:t>2.4.4. vertina asmens (šeimos) socialinių paslaugų poreikį;</w:t>
                </w:r>
              </w:p>
              <w:p>
                <w:pPr>
                  <w:jc w:val="both"/>
                  <w:rPr>
                    <w:szCs w:val="24"/>
                  </w:rPr>
                </w:pPr>
                <w:r>
                  <w:rPr>
                    <w:szCs w:val="24"/>
                  </w:rPr>
                  <w:t>2.4.5. bendrauja ir bendradarbiauja su asmenimis iš socialinių paslaugų gavėjo socialinės aplinkos;</w:t>
                </w:r>
              </w:p>
              <w:p>
                <w:pPr>
                  <w:jc w:val="both"/>
                  <w:rPr>
                    <w:szCs w:val="24"/>
                  </w:rPr>
                </w:pPr>
                <w:r>
                  <w:rPr>
                    <w:szCs w:val="24"/>
                  </w:rPr>
                  <w:t>2.4.6. kartu su socialinių paslaugų gavėju įvertina jo turimus ir trūkstamus įgūdžius, jo gebėjimus ir galimybes, paslaugų teikimo efektyvumą;</w:t>
                </w:r>
              </w:p>
              <w:p>
                <w:pPr>
                  <w:jc w:val="both"/>
                  <w:rPr>
                    <w:szCs w:val="24"/>
                  </w:rPr>
                </w:pPr>
                <w:r>
                  <w:rPr>
                    <w:szCs w:val="24"/>
                  </w:rPr>
                  <w:t>2.4.7. rengia ir atnaujina individualios pagalbos planą, įtraukdamas į jo rengimą ir peržiūrą socialinių paslaugų gavėją;</w:t>
                </w:r>
              </w:p>
              <w:p>
                <w:pPr>
                  <w:jc w:val="both"/>
                  <w:rPr>
                    <w:szCs w:val="24"/>
                  </w:rPr>
                </w:pPr>
                <w:r>
                  <w:rPr>
                    <w:szCs w:val="24"/>
                  </w:rPr>
                  <w:t>2.4.8. kartu su socialinių paslaugų gavėju numato veiksmus ir priemones, kuriomis bus siekiama teigiamų jo ir jo padėties pokyčių;</w:t>
                </w:r>
              </w:p>
              <w:p>
                <w:pPr>
                  <w:jc w:val="both"/>
                  <w:rPr>
                    <w:szCs w:val="24"/>
                  </w:rPr>
                </w:pPr>
                <w:r>
                  <w:rPr>
                    <w:szCs w:val="24"/>
                  </w:rPr>
                  <w:t>2.4.9. teikia informaciją ir siūlymus socialinių paslaugų įstaigos vadovui ar jo paskirtiems asmenims;</w:t>
                </w:r>
              </w:p>
              <w:p>
                <w:pPr>
                  <w:jc w:val="both"/>
                  <w:rPr>
                    <w:szCs w:val="24"/>
                  </w:rPr>
                </w:pPr>
                <w:r>
                  <w:rPr>
                    <w:szCs w:val="24"/>
                  </w:rPr>
                  <w:t>2.4.10. bendradarbiauja su kitomis valstybės ir savivaldybių institucijomis, įstaigomis ir organizacijomis socialinių paslaugų teikimo srityje;</w:t>
                </w:r>
              </w:p>
              <w:p>
                <w:pPr>
                  <w:jc w:val="both"/>
                  <w:rPr>
                    <w:szCs w:val="24"/>
                  </w:rPr>
                </w:pPr>
                <w:r>
                  <w:rPr>
                    <w:szCs w:val="24"/>
                  </w:rPr>
                  <w:t>2.4.11. koordinuoja komandoje dirbančių individualios priežiūros darbuotojų darbo planų sudarymą.</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szCs w:val="24"/>
                  </w:rPr>
                </w:pPr>
                <w:r>
                  <w:rPr>
                    <w:szCs w:val="24"/>
                  </w:rPr>
                  <w:t xml:space="preserve">Atvejo vadybininkas (veikiantis pagal Lietuvos Respublikos vaiko teisių apsaugos pagrindų įstatymą)  </w:t>
                </w:r>
              </w:p>
            </w:tc>
            <w:tc>
              <w:tcPr>
                <w:tcW w:w="0" w:type="auto"/>
              </w:tcPr>
              <w:p>
                <w:pPr>
                  <w:jc w:val="both"/>
                  <w:rPr>
                    <w:szCs w:val="24"/>
                  </w:rPr>
                </w:pPr>
                <w:r>
                  <w:rPr>
                    <w:szCs w:val="24"/>
                  </w:rPr>
                  <w:t>2.7.1.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szCs w:val="24"/>
                  </w:rPr>
                  <w:t>Globos koordinatorius</w:t>
                </w:r>
              </w:p>
            </w:tc>
            <w:tc>
              <w:tcPr>
                <w:tcW w:w="0" w:type="auto"/>
              </w:tcPr>
              <w:p>
                <w:pPr>
                  <w:jc w:val="both"/>
                  <w:rPr>
                    <w:szCs w:val="24"/>
                  </w:rPr>
                </w:pPr>
                <w:r>
                  <w:rPr>
                    <w:szCs w:val="24"/>
                  </w:rPr>
                  <w:t>2.9.1. organizuoja, koordinuoja ir (ar) teikia pagalbą budinčiam globotojui, globėjui (rūpintojui), šeimynos dalyviams, įtėviams bei kartu gyvenantiems jų šeimos nariams;</w:t>
                </w:r>
              </w:p>
              <w:p>
                <w:pPr>
                  <w:jc w:val="both"/>
                  <w:rPr>
                    <w:szCs w:val="24"/>
                  </w:rPr>
                </w:pPr>
                <w:r>
                  <w:rPr>
                    <w:szCs w:val="24"/>
                  </w:rPr>
                  <w:t>2.9.2. organizuoja ir koordinuoja pagalbą prižiūrimam, globojamam (rūpinamam) ar įvaikintam vaikui;</w:t>
                </w:r>
              </w:p>
              <w:p>
                <w:pPr>
                  <w:jc w:val="both"/>
                  <w:rPr>
                    <w:szCs w:val="24"/>
                  </w:rPr>
                </w:pPr>
                <w:r>
                  <w:rPr>
                    <w:szCs w:val="24"/>
                  </w:rPr>
                  <w:t>2.9.3. pagal kompetenciją dalyvauja laikinosios globos peržiūros, atvejo nagrinėjimo posėdžiuose;</w:t>
                </w:r>
              </w:p>
              <w:p>
                <w:pPr>
                  <w:jc w:val="both"/>
                  <w:rPr>
                    <w:szCs w:val="24"/>
                  </w:rPr>
                </w:pPr>
                <w:r>
                  <w:rPr>
                    <w:szCs w:val="24"/>
                  </w:rPr>
                  <w:t>2.9.4. organizuoja prižiūrimo vaiko sveikatos, vystymosi, ugdymo(si), specialiųjų ir kitų poreikių vertinimą, atlieka</w:t>
                </w:r>
                <w:r>
                  <w:t xml:space="preserve"> </w:t>
                </w:r>
                <w:r>
                  <w:rPr>
                    <w:szCs w:val="24"/>
                  </w:rPr>
                  <w:t xml:space="preserve">prižiūrimo, globojamo (rūpinamo) ar įvaikinto vaiko, budinčio globotojo, globėjo (rūpintojo), šeimynos dalyvių, įtėvių ir kartu gyvenančių jų šeimos narių poreikio vertinimą ir sudaro individualų pagalbos planą, užtikrindamas vaiko, budinčio globotojo, globėjo (rūpintojo), šeimynos dalyvių arba įtėvių ir kartu gyvenančių jų šeimos narių poreikių tenkinimą; </w:t>
                </w:r>
              </w:p>
              <w:p>
                <w:pPr>
                  <w:jc w:val="both"/>
                </w:pPr>
                <w:r>
                  <w:rPr>
                    <w:szCs w:val="24"/>
                  </w:rPr>
                  <w:t>2.9.5. tvarko budinčio globotojo, globėjo (rūpintojo), šeimynos dalyvių, įtėvių bylą, atlieka individualių poreikių vertinimą, pildo pagalbos vaikui ir budinčiam globotojui, globėjui (rūpintojui), šeimynos dalyviams, įtėviams poreikio vertinimo ir pagalbos planą bei reikalingų paslaugų teikimo eigą;</w:t>
                </w:r>
              </w:p>
              <w:p>
                <w:pPr>
                  <w:jc w:val="both"/>
                  <w:rPr>
                    <w:szCs w:val="24"/>
                  </w:rPr>
                </w:pPr>
                <w:r>
                  <w:rPr>
                    <w:szCs w:val="24"/>
                  </w:rPr>
                  <w:t>2.9.6. reguliariai palaiko ryšį su budinčiu globotoju ir jo prižiūrimu vaiku, pagal poreikį organizuoja specialistų pagalbą;</w:t>
                </w:r>
              </w:p>
              <w:p>
                <w:pPr>
                  <w:jc w:val="both"/>
                  <w:rPr>
                    <w:szCs w:val="24"/>
                  </w:rPr>
                </w:pPr>
                <w:r>
                  <w:rPr>
                    <w:szCs w:val="24"/>
                  </w:rPr>
                  <w:t>2.9.7. bendradarbiauja su valstybės ir savivaldybių institucijomis, įstaigomis ir organizacijomis teikiamų paslaugų ir pagalbos prižiūrimam, globojamam (rūpinamam) ar įvaikintam vaikui srityje.</w:t>
                </w:r>
              </w:p>
            </w:tc>
          </w:tr>
          <w:tr>
            <w:tc>
              <w:tcPr>
                <w:tcW w:w="0" w:type="auto"/>
              </w:tcPr>
              <w:p>
                <w:pPr>
                  <w:ind w:left="360" w:hanging="360"/>
                  <w:rPr>
                    <w:szCs w:val="24"/>
                  </w:rPr>
                </w:pPr>
                <w:r>
                  <w:rPr>
                    <w:szCs w:val="24"/>
                  </w:rPr>
                  <w:t>3.</w:t>
                  <w:tab/>
                </w:r>
              </w:p>
            </w:tc>
            <w:tc>
              <w:tcPr>
                <w:tcW w:w="0" w:type="auto"/>
              </w:tcPr>
              <w:p>
                <w:pPr>
                  <w:rPr>
                    <w:szCs w:val="24"/>
                  </w:rPr>
                </w:pPr>
                <w:r>
                  <w:rPr>
                    <w:szCs w:val="24"/>
                  </w:rPr>
                  <w:t>Palydėjimo paslaugos koordinatorius</w:t>
                </w:r>
              </w:p>
            </w:tc>
            <w:tc>
              <w:tcPr>
                <w:tcW w:w="0" w:type="auto"/>
              </w:tcPr>
              <w:p>
                <w:pPr>
                  <w:jc w:val="both"/>
                  <w:rPr>
                    <w:szCs w:val="24"/>
                  </w:rPr>
                </w:pPr>
                <w:r>
                  <w:rPr>
                    <w:szCs w:val="24"/>
                  </w:rPr>
                  <w:t>3.1.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3.2. sudaro savarankiško gyvenimo planą (toliau – SGP), peržiūri sudarytą SGP, stebi ir koordinuoja jo vykdymą;</w:t>
                </w:r>
              </w:p>
              <w:p>
                <w:pPr>
                  <w:ind w:firstLine="12"/>
                  <w:jc w:val="both"/>
                  <w:rPr>
                    <w:szCs w:val="24"/>
                  </w:rPr>
                </w:pPr>
                <w:r>
                  <w:rPr>
                    <w:szCs w:val="24"/>
                  </w:rPr>
                  <w:t>3.3. konsultuoja jaunuolį ir tarpininkauja jam užtikrinant jo savarankiškumą asmeninių finansų, praktinių ir darbinių įgūdžių, sveikatos, būsto, mokymosi ir kitose srityse, svarbiose savarankiškam gyvenimui;</w:t>
                </w:r>
              </w:p>
              <w:p>
                <w:pPr>
                  <w:jc w:val="both"/>
                  <w:rPr>
                    <w:szCs w:val="24"/>
                  </w:rPr>
                </w:pPr>
                <w:r>
                  <w:rPr>
                    <w:szCs w:val="24"/>
                  </w:rPr>
                  <w:t>3.4. tarpininkauja sprendžiant jaunuolio apgyvendinimo mokymo įstaigos bendrabutyje ar kitoje gyvenamojoje vietoje klausimus;</w:t>
                </w:r>
              </w:p>
              <w:p>
                <w:pPr>
                  <w:jc w:val="both"/>
                  <w:rPr>
                    <w:szCs w:val="24"/>
                  </w:rPr>
                </w:pPr>
                <w:r>
                  <w:rPr>
                    <w:szCs w:val="24"/>
                  </w:rPr>
                  <w:t>3.5.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3.6. jaunuoliui nesimokant ar baigus mokslus, tarpininkauja padedant susirasti darbą ir jį išlaikyti, jei reikia,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vykdo budinčių globotojų, globėjų (rūpintojų), įtėvių, šeimynų dalyvių, asmenų, pageidaujančių teikti laikino atokvėpio paslaugą, bendruomeninių vaikų globos namų ir globos centrų darbuotojų bei asmenų, pageidaujančių dirbti šiose įstaigose, pasirengimo prižiūrėti, globoti (rūpinti), įvaikinti vaikus mokymus, vertinimą pagal Globėjų (rūpintojų), budinčių globotojų, įtėvių, bendruomeninių vaikų globos namų darbuotojų mokymo ir konsultavimo programą (toliau – GIMK programa) ir rengia išvadą:</w:t>
                </w:r>
              </w:p>
              <w:p>
                <w:pPr>
                  <w:jc w:val="both"/>
                  <w:rPr>
                    <w:szCs w:val="24"/>
                  </w:rPr>
                </w:pPr>
                <w:r>
                  <w:rPr>
                    <w:szCs w:val="24"/>
                  </w:rPr>
                  <w:t>9.1.1. dėl asmenų (šeimų), pageidaujančių įvaikinti bei globoti (rūpinti) vaikus, nesusijusius giminystės ryšiais, pasirengimo tapti budinčiais globotojais, globėjais (rūpintojais), šeimynų dalyviais ir įtėviais;</w:t>
                </w:r>
              </w:p>
              <w:p>
                <w:pPr>
                  <w:jc w:val="both"/>
                  <w:rPr>
                    <w:szCs w:val="24"/>
                  </w:rPr>
                </w:pPr>
                <w:r>
                  <w:rPr>
                    <w:szCs w:val="24"/>
                  </w:rPr>
                  <w:t>9.1.2. dėl asmenų (šeimų), pageidaujančių įvaikinti bei globoti (rūpinti) vaikus, susijusius giminystės ryšiais, pasirengimo tapti globėjais (rūpintojais);</w:t>
                </w:r>
              </w:p>
              <w:p>
                <w:pPr>
                  <w:jc w:val="both"/>
                  <w:rPr>
                    <w:szCs w:val="24"/>
                  </w:rPr>
                </w:pPr>
                <w:r>
                  <w:rPr>
                    <w:szCs w:val="24"/>
                  </w:rPr>
                  <w:t>9.1.3. dėl asmenų (šeimų), pageidaujančių įsivaikinti sutuoktinio (-ės) vaiką (-us), pasirengimo tapti įtėviais;</w:t>
                </w:r>
              </w:p>
              <w:p>
                <w:pPr>
                  <w:jc w:val="both"/>
                  <w:rPr>
                    <w:szCs w:val="24"/>
                  </w:rPr>
                </w:pPr>
                <w:r>
                  <w:rPr>
                    <w:szCs w:val="24"/>
                  </w:rPr>
                  <w:t>9.1.4. dėl asmenų (šeimų), pageidaujančių įsivaikinti vaikus, įtrauktus į Valstybės vaiko teisių apsaugos ir įvaikinimo tarnybos prie Socialinės apsaugos ir darbo ministerijos tvarkomą Galimų įvaikinti vaikų sąrašą, pasirengimo tapti įtėviais;</w:t>
                </w:r>
              </w:p>
              <w:p>
                <w:pPr>
                  <w:jc w:val="both"/>
                  <w:rPr>
                    <w:szCs w:val="24"/>
                  </w:rPr>
                </w:pPr>
                <w:r>
                  <w:rPr>
                    <w:szCs w:val="24"/>
                  </w:rPr>
                  <w:t>9.1.5. dėl asmenų (šeimų), pageidaujančių teikti laikino atokvėpio paslaugą;</w:t>
                </w:r>
              </w:p>
              <w:p>
                <w:pPr>
                  <w:jc w:val="both"/>
                  <w:rPr>
                    <w:szCs w:val="24"/>
                  </w:rPr>
                </w:pPr>
                <w:r>
                  <w:rPr>
                    <w:szCs w:val="24"/>
                  </w:rPr>
                  <w:t>9.1.6. dėl asmenų, norinčių steigti šeimyną arba tapti šeimynos dalyviais;</w:t>
                </w:r>
              </w:p>
              <w:p>
                <w:pPr>
                  <w:jc w:val="both"/>
                  <w:rPr>
                    <w:szCs w:val="24"/>
                  </w:rPr>
                </w:pPr>
                <w:r>
                  <w:rPr>
                    <w:szCs w:val="24"/>
                  </w:rPr>
                  <w:t>9.2. rengia ir teikia Valstybės vaiko teisių apsaugos ir įvaikinimo tarnybos prie Socialinės apsaugos ir darbo ministerijos (toliau – VVTAĮT) direktoriaus patvirtintos formos rekomendaciją bendruomeninių vaikų globos namų ir globos centrų darbuotojams, išklausiusiems GIMK programą;</w:t>
                </w:r>
              </w:p>
              <w:p>
                <w:pPr>
                  <w:jc w:val="both"/>
                  <w:rPr>
                    <w:szCs w:val="24"/>
                  </w:rPr>
                </w:pPr>
                <w:r>
                  <w:rPr>
                    <w:szCs w:val="24"/>
                  </w:rPr>
                  <w:t>9.3. rengia tęstinius periodinius budinčių globotojų, globėjų (rūpintojų), įtėvių, šeimynų dalyvių mokymus pagal GIMK programą bendruomeninių vaikų globos namų darbuotojams, globos centrų darbuotojams ir paslaugų teikėjams;</w:t>
                </w:r>
              </w:p>
              <w:p>
                <w:pPr>
                  <w:jc w:val="both"/>
                  <w:rPr>
                    <w:szCs w:val="24"/>
                  </w:rPr>
                </w:pPr>
                <w:r>
                  <w:rPr>
                    <w:szCs w:val="24"/>
                  </w:rPr>
                  <w:t>9.4. pakartotinai įvertina asmens (šeimos) pasirengimą vaiko globai (rūpybai), įvaikinimui, atsižvelgdamas į jo globos (rūpybos) kokybę, įvaikinimo patirtį;</w:t>
                </w:r>
              </w:p>
              <w:p>
                <w:pPr>
                  <w:jc w:val="both"/>
                  <w:rPr>
                    <w:szCs w:val="24"/>
                  </w:rPr>
                </w:pPr>
                <w:r>
                  <w:rPr>
                    <w:szCs w:val="24"/>
                  </w:rPr>
                  <w:t>9.5. informuoja ir konsultuoja asmenis, siekiančius tapti budinčiais globotojais, globėjais (rūpintojais), įtėviais, šeimynų steigėjais, dalyviais ir norinčius priimti vaiką laikinai svečiuotis, taip pat asmenis, dirbančius ar pageidaujančius dirbti bendruomeniniuose vaikų globos namuose, teikia metodinę pagalbą socialinių paslaugų įstaigoms, šeimynoms, budintiems globotojams, bendruomeninių vaikų globos namų darbuotojams pagal GIMK programą;</w:t>
                </w:r>
              </w:p>
              <w:p>
                <w:pPr>
                  <w:jc w:val="both"/>
                  <w:rPr>
                    <w:szCs w:val="24"/>
                  </w:rPr>
                </w:pPr>
                <w:r>
                  <w:rPr>
                    <w:szCs w:val="24"/>
                  </w:rPr>
                  <w:t>9.6. organizuoja</w:t>
                </w:r>
                <w:r>
                  <w:t xml:space="preserve"> </w:t>
                </w:r>
                <w:r>
                  <w:rPr>
                    <w:szCs w:val="24"/>
                  </w:rPr>
                  <w:t>savitarpio pagalbos grupių užsiėmimus;</w:t>
                </w:r>
              </w:p>
              <w:p>
                <w:pPr>
                  <w:jc w:val="both"/>
                  <w:rPr>
                    <w:szCs w:val="24"/>
                  </w:rPr>
                </w:pPr>
                <w:r>
                  <w:rPr>
                    <w:szCs w:val="24"/>
                  </w:rPr>
                  <w:t>9.7. bendradarbiauja su VVTAĮT teritoriniu skyriumi, bendruomeniniais vaikų globos namais, vaikų globos namais ir šeimynomis, siekdamas užtikrinti geriausius globojamo (rūpinamo) vaiko interesus.</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ind w:left="360" w:hanging="360"/>
                  <w:rPr>
                    <w:szCs w:val="24"/>
                  </w:rPr>
                </w:pPr>
                <w:r>
                  <w:rPr>
                    <w:szCs w:val="24"/>
                  </w:rPr>
                  <w:t>11.</w:t>
                  <w:tab/>
                </w:r>
              </w:p>
            </w:tc>
            <w:tc>
              <w:tcPr>
                <w:tcW w:w="0" w:type="auto"/>
              </w:tcPr>
              <w:p>
                <w:pPr>
                  <w:rPr>
                    <w:szCs w:val="24"/>
                  </w:rPr>
                </w:pPr>
                <w:r>
                  <w:rPr>
                    <w:szCs w:val="24"/>
                  </w:rPr>
                  <w:t>Sertifikuotas jaunimo darbuotojas</w:t>
                </w:r>
              </w:p>
            </w:tc>
            <w:tc>
              <w:tcPr>
                <w:tcW w:w="0" w:type="auto"/>
              </w:tcPr>
              <w:p>
                <w:pPr>
                  <w:jc w:val="both"/>
                  <w:rPr>
                    <w:szCs w:val="24"/>
                  </w:rPr>
                </w:pPr>
                <w:r>
                  <w:rPr>
                    <w:szCs w:val="24"/>
                  </w:rPr>
                  <w:t>11.1. dirba atvirąjį darbą ir (ar) mobilųjį darbą, ir (ar) darbą gatvėje su jaunimu, konsultuoja (individualiai ir grupėmis) jaunuolius, teikia jiems emocinę bei socialinę pagalbą ir didina jų motyvaciją naudotis esama pagalbos sistema, dalyvauti pagalbos ar prevencinės pagalbos teikimo procese;</w:t>
                </w:r>
              </w:p>
              <w:p>
                <w:pPr>
                  <w:jc w:val="both"/>
                  <w:rPr>
                    <w:szCs w:val="24"/>
                  </w:rPr>
                </w:pPr>
                <w:r>
                  <w:rPr>
                    <w:szCs w:val="24"/>
                  </w:rPr>
                  <w:t>11.2. kuria mokymosi galimybes jaunuoliams, padeda jiems įgyti kompetencijas asmeninėje, socialinėje, sociokultūrinėje ir kitose aktualiose srityse, jas tobulinti;</w:t>
                </w:r>
              </w:p>
              <w:p>
                <w:pPr>
                  <w:jc w:val="both"/>
                  <w:rPr>
                    <w:szCs w:val="24"/>
                  </w:rPr>
                </w:pPr>
                <w:r>
                  <w:rPr>
                    <w:szCs w:val="24"/>
                  </w:rPr>
                  <w:t xml:space="preserve">11.3. naudodamasis pagalbos sistemomis, formuoja ir stiprina jaunų žmonių įgūdžius savarankiškai spręsti kylančias problemas; </w:t>
                </w:r>
              </w:p>
              <w:p>
                <w:pPr>
                  <w:jc w:val="both"/>
                  <w:rPr>
                    <w:szCs w:val="24"/>
                  </w:rPr>
                </w:pPr>
                <w:r>
                  <w:rPr>
                    <w:szCs w:val="24"/>
                  </w:rPr>
                  <w:t>11.4. rengia ir įgyvendina socialines programas ir projektus, padedančius užtikrinti jaunimo veiklos įvairovę, tarpkultūriškumą ir mokymosi galimybes;</w:t>
                </w:r>
              </w:p>
              <w:p>
                <w:pPr>
                  <w:jc w:val="both"/>
                  <w:rPr>
                    <w:szCs w:val="24"/>
                  </w:rPr>
                </w:pPr>
                <w:r>
                  <w:rPr>
                    <w:szCs w:val="24"/>
                  </w:rPr>
                  <w:t>11.5. dirba su bendruomene: dalyvauja tarpžinybiniuose susitikimuose, atstovauja jaunimui, rengia su juo bendrus projektus, organizuoja renginius, palaiko jaunimo iniciatyvas;</w:t>
                </w:r>
              </w:p>
              <w:p>
                <w:pPr>
                  <w:jc w:val="both"/>
                  <w:rPr>
                    <w:szCs w:val="24"/>
                  </w:rPr>
                </w:pPr>
                <w:r>
                  <w:rPr>
                    <w:szCs w:val="24"/>
                  </w:rPr>
                  <w:t>11.6. organizuoja ir vykdo įvairias prevencines, sveikatingumo, motyvacijos priemones jaunimui.</w:t>
                </w:r>
              </w:p>
            </w:tc>
          </w:tr>
          <w:tr>
            <w:tc>
              <w:tcPr>
                <w:tcW w:w="0" w:type="auto"/>
                <w:gridSpan w:val="3"/>
              </w:tcPr>
              <w:p>
                <w:pPr>
                  <w:jc w:val="both"/>
                  <w:rPr>
                    <w:szCs w:val="24"/>
                  </w:rPr>
                </w:pPr>
                <w:r>
                  <w:rPr>
                    <w:szCs w:val="24"/>
                  </w:rPr>
                  <w:t xml:space="preserve">Pastaba. Pareigybės aprašyme nurodomos ir kitos </w:t>
                </w:r>
                <w:r>
                  <w:t>įstatymuose ir (ar) kituose teisės aktuose</w:t>
                </w:r>
                <w:r>
                  <w:rPr>
                    <w:szCs w:val="24"/>
                  </w:rPr>
                  <w:t xml:space="preserve"> numatytos funkcijos, reikalingos pagal įstaigos veiklos specifiką.</w:t>
                </w:r>
              </w:p>
            </w:tc>
          </w:tr>
        </w:tbl>
        <w:p>
          <w:pPr/>
        </w:p>
        <w:p>
          <w:pPr/>
        </w:p>
        <w:p>
          <w:pPr>
            <w:jc w:val="center"/>
            <w:rPr>
              <w:szCs w:val="24"/>
            </w:rPr>
          </w:pPr>
          <w:r>
            <w:t>________________________________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3116e017ec11edb4cae1b158f98ea5">
            <w:r w:rsidRPr="00532B9F">
              <w:rPr>
                <w:rFonts w:ascii="Arial" w:eastAsia="MS Mincho" w:hAnsi="Arial"/>
                <w:sz w:val="20"/>
                <w:i/>
                <w:iCs/>
                <w:color w:val="0000FF" w:themeColor="hyperlink"/>
                <w:u w:val="single"/>
              </w:rPr>
              <w:t>A1-528</w:t>
            </w:r>
          </w:fldSimple>
          <w:r>
            <w:rPr>
              <w:rFonts w:ascii="Arial" w:eastAsia="MS Mincho" w:hAnsi="Arial"/>
              <w:sz w:val="20"/>
              <w:i/>
              <w:iCs/>
            </w:rPr>
            <w:t>,
2022-08-09,
paskelbta TAR 2022-08-10, i. k. 2022-16924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90f4029b611edb4cae1b158f98ea5">
            <w:r w:rsidRPr="00532B9F">
              <w:rPr>
                <w:rFonts w:ascii="Arial" w:eastAsia="MS Mincho" w:hAnsi="Arial"/>
                <w:sz w:val="20"/>
                <w:i/>
                <w:iCs/>
                <w:color w:val="0000FF" w:themeColor="hyperlink"/>
                <w:u w:val="single"/>
              </w:rPr>
              <w:t>A1-576</w:t>
            </w:r>
          </w:fldSimple>
          <w:r>
            <w:rPr>
              <w:rFonts w:ascii="Arial" w:eastAsia="MS Mincho" w:hAnsi="Arial"/>
              <w:sz w:val="20"/>
              <w:i/>
              <w:iCs/>
            </w:rPr>
            <w:t>,
2022-09-01,
paskelbta TAR 2022-09-01, i. k. 2022-18104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97bae30542111e884cbc4327e55f3ca">
            <w:r w:rsidRPr="00532B9F">
              <w:rPr>
                <w:rFonts w:ascii="Arial" w:eastAsia="MS Mincho" w:hAnsi="Arial"/>
                <w:sz w:val="20"/>
                <w:iCs/>
                <w:color w:val="0000FF" w:themeColor="hyperlink"/>
                <w:u w:val="single"/>
              </w:rPr>
              <w:t>A1-206</w:t>
            </w:r>
          </w:fldSimple>
          <w:r>
            <w:rPr>
              <w:rFonts w:ascii="Arial" w:eastAsia="MS Mincho" w:hAnsi="Arial"/>
              <w:sz w:val="20"/>
              <w:iCs/>
            </w:rPr>
            <w:t>,
2018-05-10,
paskelbta TAR 2018-05-10, i. k. 2018-07581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8a9f0490cdfc11e8bea9885f77677ec1">
            <w:r w:rsidRPr="00532B9F">
              <w:rPr>
                <w:rFonts w:ascii="Arial" w:eastAsia="MS Mincho" w:hAnsi="Arial"/>
                <w:sz w:val="20"/>
                <w:iCs/>
                <w:color w:val="0000FF" w:themeColor="hyperlink"/>
                <w:u w:val="single"/>
              </w:rPr>
              <w:t>A1-565</w:t>
            </w:r>
          </w:fldSimple>
          <w:r>
            <w:rPr>
              <w:rFonts w:ascii="Arial" w:eastAsia="MS Mincho" w:hAnsi="Arial"/>
              <w:sz w:val="20"/>
              <w:iCs/>
            </w:rPr>
            <w:t>,
2018-10-12,
paskelbta TAR 2018-10-15, i. k. 2018-16171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2242120ec0211e99681cd81dcdca52c">
            <w:r w:rsidRPr="00532B9F">
              <w:rPr>
                <w:rFonts w:ascii="Arial" w:eastAsia="MS Mincho" w:hAnsi="Arial"/>
                <w:sz w:val="20"/>
                <w:iCs/>
                <w:color w:val="0000FF" w:themeColor="hyperlink"/>
                <w:u w:val="single"/>
              </w:rPr>
              <w:t>A1-608</w:t>
            </w:r>
          </w:fldSimple>
          <w:r>
            <w:rPr>
              <w:rFonts w:ascii="Arial" w:eastAsia="MS Mincho" w:hAnsi="Arial"/>
              <w:sz w:val="20"/>
              <w:iCs/>
            </w:rPr>
            <w:t>,
2019-10-11,
paskelbta TAR 2019-10-11, i. k. 2019-16228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665105096ab11eb9fecb5ecd3bd711c">
            <w:r w:rsidRPr="00532B9F">
              <w:rPr>
                <w:rFonts w:ascii="Arial" w:eastAsia="MS Mincho" w:hAnsi="Arial"/>
                <w:sz w:val="20"/>
                <w:iCs/>
                <w:color w:val="0000FF" w:themeColor="hyperlink"/>
                <w:u w:val="single"/>
              </w:rPr>
              <w:t>A1-281</w:t>
            </w:r>
          </w:fldSimple>
          <w:r>
            <w:rPr>
              <w:rFonts w:ascii="Arial" w:eastAsia="MS Mincho" w:hAnsi="Arial"/>
              <w:sz w:val="20"/>
              <w:iCs/>
            </w:rPr>
            <w:t>,
2021-04-02,
paskelbta TAR 2021-04-06, i. k. 2021-07098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c63116e017ec11edb4cae1b158f98ea5">
            <w:r w:rsidRPr="00532B9F">
              <w:rPr>
                <w:rFonts w:ascii="Arial" w:eastAsia="MS Mincho" w:hAnsi="Arial"/>
                <w:sz w:val="20"/>
                <w:iCs/>
                <w:color w:val="0000FF" w:themeColor="hyperlink"/>
                <w:u w:val="single"/>
              </w:rPr>
              <w:t>A1-528</w:t>
            </w:r>
          </w:fldSimple>
          <w:r>
            <w:rPr>
              <w:rFonts w:ascii="Arial" w:eastAsia="MS Mincho" w:hAnsi="Arial"/>
              <w:sz w:val="20"/>
              <w:iCs/>
            </w:rPr>
            <w:t>,
2022-08-09,
paskelbta TAR 2022-08-10, i. k. 2022-16924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4790f4029b611edb4cae1b158f98ea5">
            <w:r w:rsidRPr="00532B9F">
              <w:rPr>
                <w:rFonts w:ascii="Arial" w:eastAsia="MS Mincho" w:hAnsi="Arial"/>
                <w:sz w:val="20"/>
                <w:iCs/>
                <w:color w:val="0000FF" w:themeColor="hyperlink"/>
                <w:u w:val="single"/>
              </w:rPr>
              <w:t>A1-576</w:t>
            </w:r>
          </w:fldSimple>
          <w:r>
            <w:rPr>
              <w:rFonts w:ascii="Arial" w:eastAsia="MS Mincho" w:hAnsi="Arial"/>
              <w:sz w:val="20"/>
              <w:iCs/>
            </w:rPr>
            <w:t>,
2022-09-01,
paskelbta TAR 2022-09-01, i. k. 2022-18104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E1928"/>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1.xml"/>
  <Relationship Id="rId16" Type="http://schemas.openxmlformats.org/officeDocument/2006/relationships/header" Target="header22.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3.xml"/>
  <Relationship Id="rId2" Type="http://schemas.openxmlformats.org/officeDocument/2006/relationships/endnotes" Target="endnotes.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8f653ae78b854da3970f8bf427b26fcc"/>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c447a0c425004ec8b4a5e365462b2bb7"/>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5B42C06-024A-402A-9171-C3CDA586F0DB}">
  <ds:schemaRefs>
    <ds:schemaRef ds:uri="http://lrs.lt/TAIS/DocParts"/>
  </ds:schemaRefs>
</ds:datastoreItem>
</file>

<file path=customXml/itemProps3.xml><?xml version="1.0" encoding="utf-8"?>
<ds:datastoreItem xmlns:ds="http://schemas.openxmlformats.org/officeDocument/2006/customXml" ds:itemID="{066B85C3-5FB4-413B-A358-A1FB8929D1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32</Pages>
  <Words>32117</Words>
  <Characters>18307</Characters>
  <Application>Microsoft Office Word</Application>
  <DocSecurity>0</DocSecurity>
  <Lines>152</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50324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2022-09-16T10:31:00Z</dcterms:modified>
  <revision>19</revision>
</coreProperties>
</file>