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7c5a23a38e344b0ab00e1056e305823"/>
        <w:lock w:val="sdtLocked"/>
        <w:richText/>
      </w:sdtPr>
      <w:sdtContent>
        <w:p>
          <w:pPr>
            <w:jc w:val="both"/>
            <w:rPr>
              <w:rFonts w:ascii="Times New Roman" w:hAnsi="Times New Roman"/>
            </w:rPr>
          </w:pPr>
          <w:r>
            <w:rPr>
              <w:rFonts w:ascii="Times New Roman" w:hAnsi="Times New Roman"/>
              <w:b/>
              <w:i/>
            </w:rPr>
            <w:t>Suvestinė redakcija nuo 2024-09-01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tabs>
              <w:tab w:val="center" w:pos="4153"/>
              <w:tab w:val="right" w:pos="8306"/>
            </w:tabs>
            <w:spacing w:line="259" w:lineRule="auto"/>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sdt>
          <w:sdtPr>
            <w:alias w:val="Pavadinimas"/>
            <w:tag w:val="title_47c5a23a38e344b0ab00e1056e305823"/>
            <w:lock w:val="sdtLocked"/>
            <w:richText/>
          </w:sdtPr>
          <w:sdtContent>
            <w:p>
              <w:pPr>
                <w:tabs>
                  <w:tab w:val="left" w:pos="284"/>
                  <w:tab w:val="left" w:pos="426"/>
                  <w:tab w:val="left" w:pos="709"/>
                  <w:tab w:val="left" w:pos="993"/>
                </w:tabs>
                <w:jc w:val="center"/>
                <w:rPr>
                  <w:b/>
                  <w:caps/>
                  <w:szCs w:val="24"/>
                  <w:lang w:eastAsia="lt-LT"/>
                </w:rPr>
              </w:pPr>
              <w:r>
                <w:rPr>
                  <w:b/>
                  <w:caps/>
                  <w:kern w:val="1"/>
                  <w:szCs w:val="24"/>
                  <w:lang w:eastAsia="lt-LT"/>
                </w:rPr>
                <w:t xml:space="preserve">DĖL PROFESINIO MOKYMO LĖŠŲ SKAIČIAVIMO VIENAM MOKINIUI, KURIS MOKOSI PAGAL FORMALIOJO PROFESINIO MOKYMO PROGRAMĄ (IŠSKYRUS BAUSMIŲ VYKDYMO SISTEMOS PROFESINIO MOKYMO IR VIDAUS REIKALŲ PROFESINIO MOKYMO ĮSTAIGŲ VYKDOMAS PROGRAMAS), METODIKOS PATVIRTINIMO </w:t>
              </w:r>
            </w:p>
          </w:sdtContent>
        </w:sdt>
        <w:p>
          <w:pPr>
            <w:tabs>
              <w:tab w:val="center" w:pos="4153"/>
              <w:tab w:val="right" w:pos="8306"/>
            </w:tabs>
            <w:rPr>
              <w:lang w:eastAsia="lt-LT"/>
            </w:rPr>
          </w:pPr>
        </w:p>
        <w:p>
          <w:pPr>
            <w:ind w:firstLine="62"/>
            <w:jc w:val="center"/>
            <w:rPr>
              <w:lang w:eastAsia="lt-LT"/>
            </w:rPr>
          </w:pPr>
          <w:r>
            <w:rPr>
              <w:lang w:eastAsia="lt-LT"/>
            </w:rPr>
            <w:t>2019 m. rugsėjo 11 d. Nr. 934</w:t>
          </w:r>
        </w:p>
        <w:p>
          <w:pPr>
            <w:jc w:val="center"/>
            <w:rPr>
              <w:lang w:eastAsia="lt-LT"/>
            </w:rPr>
          </w:pPr>
          <w:r>
            <w:rPr>
              <w:lang w:eastAsia="lt-LT"/>
            </w:rPr>
            <w:t>Vilnius</w:t>
          </w:r>
        </w:p>
        <w:p>
          <w:pPr>
            <w:jc w:val="center"/>
            <w:rPr>
              <w:lang w:eastAsia="lt-LT"/>
            </w:rPr>
          </w:pP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
          <w:sdtPr>
            <w:alias w:val="preambule"/>
            <w:tag w:val="part_267e8b8290504a8c89e8a27ed73688bf"/>
            <w:lock w:val="sdtLocked"/>
            <w:richText/>
          </w:sdtPr>
          <w:sdtContent>
            <w:p>
              <w:pPr>
                <w:ind w:firstLine="720"/>
                <w:jc w:val="both"/>
                <w:rPr>
                  <w:szCs w:val="24"/>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0070ecc266ab465a83ad00bba77b0020"/>
            <w:lock w:val="sdtLocked"/>
            <w:richText/>
          </w:sdtPr>
          <w:sdtContent>
            <w:p>
              <w:pPr>
                <w:ind w:firstLine="720"/>
                <w:jc w:val="both"/>
                <w:rPr>
                  <w:szCs w:val="24"/>
                  <w:lang w:eastAsia="lt-LT"/>
                </w:rPr>
              </w:pPr>
              <w:sdt>
                <w:sdtPr>
                  <w:alias w:val="Numeris"/>
                  <w:tag w:val="nr_0070ecc266ab465a83ad00bba77b0020"/>
                  <w:lock w:val="sdtLocked"/>
                  <w:richText/>
                </w:sdtPr>
                <w:sdtContent>
                  <w:r>
                    <w:rPr>
                      <w:szCs w:val="24"/>
                      <w:lang w:eastAsia="lt-LT"/>
                    </w:rPr>
                    <w:t>1</w:t>
                  </w:r>
                </w:sdtContent>
              </w:sdt>
              <w:r>
                <w:rPr>
                  <w:szCs w:val="24"/>
                  <w:lang w:eastAsia="lt-LT"/>
                </w:rPr>
                <w:t>. Patvirtinti Profesinio mokymo lėšų skaičiavimo vienam mokiniui, kuris mokosi pagal formaliojo profesinio mokymo programą (išskyrus bausmių vykdymo sistemos profesinio mokymo ir vidaus reikalų profesinio mokymo įstaigų vykdomas programas), metodiką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2 p."/>
            <w:tag w:val="part_df47506de7dd4270976d86030bf3474b"/>
            <w:lock w:val="sdtLocked"/>
            <w:richText/>
          </w:sdtPr>
          <w:sdtContent>
            <w:p>
              <w:pPr>
                <w:ind w:firstLine="720"/>
                <w:jc w:val="both"/>
                <w:rPr>
                  <w:szCs w:val="24"/>
                  <w:lang w:eastAsia="lt-LT"/>
                </w:rPr>
              </w:pPr>
              <w:sdt>
                <w:sdtPr>
                  <w:alias w:val="Numeris"/>
                  <w:tag w:val="nr_df47506de7dd4270976d86030bf3474b"/>
                  <w:lock w:val="sdtLocked"/>
                  <w:richText/>
                </w:sdtPr>
                <w:sdtContent>
                  <w:r>
                    <w:rPr>
                      <w:szCs w:val="24"/>
                      <w:lang w:eastAsia="lt-LT"/>
                    </w:rPr>
                    <w:t>2</w:t>
                  </w:r>
                </w:sdtContent>
              </w:sdt>
              <w:r>
                <w:rPr>
                  <w:szCs w:val="24"/>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struktūrinių fondų ar kitų valstybės lėšų.</w:t>
              </w:r>
            </w:p>
          </w:sdtContent>
        </w:sdt>
        <w:sdt>
          <w:sdtPr>
            <w:alias w:val="3 p."/>
            <w:tag w:val="part_6815637dfed441769a5363727359cc10"/>
            <w:lock w:val="sdtLocked"/>
            <w:richText/>
          </w:sdtPr>
          <w:sdtContent>
            <w:p>
              <w:pPr>
                <w:ind w:firstLine="720"/>
                <w:jc w:val="both"/>
                <w:rPr>
                  <w:szCs w:val="24"/>
                  <w:lang w:eastAsia="lt-LT"/>
                </w:rPr>
              </w:pPr>
              <w:sdt>
                <w:sdtPr>
                  <w:alias w:val="Numeris"/>
                  <w:tag w:val="nr_6815637dfed441769a5363727359cc10"/>
                  <w:lock w:val="sdtLocked"/>
                  <w:richText/>
                </w:sdtPr>
                <w:sdtContent>
                  <w:r>
                    <w:rPr>
                      <w:szCs w:val="24"/>
                      <w:lang w:eastAsia="lt-LT"/>
                    </w:rPr>
                    <w:t>3</w:t>
                  </w:r>
                </w:sdtContent>
              </w:sdt>
              <w:r>
                <w:rPr>
                  <w:szCs w:val="24"/>
                  <w:lang w:eastAsia="lt-LT"/>
                </w:rPr>
                <w:t xml:space="preserve">. Pripažinti netekusiu galios Lietuvos Respublikos Vyriausybės </w:t>
              </w:r>
              <w:r>
                <w:rPr>
                  <w:lang w:eastAsia="lt-LT"/>
                </w:rPr>
                <w:t xml:space="preserve">2008 m. gruodžio 8 d. nutarimą Nr. 1320 „Dėl Profesinio mokymo lėšų skaičiavimo vienam mokiniui, kuris mokosi pagal formaliojo profesinio mokymo programą, metodikos patvirtinimo“ </w:t>
              </w:r>
              <w:r>
                <w:rPr>
                  <w:szCs w:val="24"/>
                  <w:lang w:eastAsia="lt-LT"/>
                </w:rPr>
                <w:t>su visais pakeitimais ir papildymais.</w:t>
              </w:r>
            </w:p>
          </w:sdtContent>
        </w:sdt>
        <w:sdt>
          <w:sdtPr>
            <w:alias w:val="4 p."/>
            <w:tag w:val="part_5df05254c7fa4160a786c7582d28f246"/>
            <w:lock w:val="sdtLocked"/>
            <w:richText/>
          </w:sdtPr>
          <w:sdtContent>
            <w:p>
              <w:pPr>
                <w:ind w:firstLine="720"/>
                <w:jc w:val="both"/>
                <w:rPr>
                  <w:lang w:eastAsia="lt-LT"/>
                </w:rPr>
              </w:pPr>
              <w:sdt>
                <w:sdtPr>
                  <w:alias w:val="Numeris"/>
                  <w:tag w:val="nr_5df05254c7fa4160a786c7582d28f246"/>
                  <w:lock w:val="sdtLocked"/>
                  <w:richText/>
                </w:sdtPr>
                <w:sdtContent>
                  <w:r>
                    <w:rPr>
                      <w:szCs w:val="24"/>
                      <w:lang w:eastAsia="lt-LT"/>
                    </w:rPr>
                    <w:t>4</w:t>
                  </w:r>
                </w:sdtContent>
              </w:sdt>
              <w:r>
                <w:rPr>
                  <w:szCs w:val="24"/>
                  <w:lang w:eastAsia="lt-LT"/>
                </w:rPr>
                <w:t>. Šio nutarimo 1 punktu patvirtinta metodika taikoma apskaičiuojant profesinio mokymo lėšas, skiriamas nuo 2020 m. sausio 1 d. vienam mokiniui, kuris mokosi pagal formaliojo profesinio mokymo programą arba jos dalį (išskyrus bausmių vykdymo sistemos profesinio mokymo ir vidaus reikalų profesinio mokymo įstaigų vykdomas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signatura"/>
            <w:tag w:val="part_fc943493df0d45ef9b32450909eb6142"/>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Švietimo, mokslo ir sporto ministras                                              Algirdas Monkevičius</w:t>
              </w:r>
            </w:p>
            <w:p>
              <w:pPr>
                <w:tabs>
                  <w:tab w:val="center" w:pos="-7800"/>
                  <w:tab w:val="left" w:pos="6237"/>
                  <w:tab w:val="right" w:pos="8306"/>
                </w:tabs>
                <w:rPr>
                  <w:lang w:eastAsia="lt-LT"/>
                </w:rPr>
              </w:pPr>
            </w:p>
          </w:sdtContent>
        </w:sdt>
      </w:sdtContent>
    </w:sdt>
    <w:sdt>
      <w:sdtPr>
        <w:alias w:val="patvirtinta"/>
        <w:tag w:val="part_56c0a20fc0bb42138b986b47ce4afd33"/>
        <w:lock w:val="sdtLocked"/>
        <w:richText/>
      </w:sdtPr>
      <w:sdtContent>
        <w:p>
          <w:pPr>
            <w:ind w:left="504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56c0a20fc0bb42138b986b47ce4afd33"/>
              <w:lock w:val="sdtLocked"/>
              <w:richText/>
            </w:sdtPr>
            <w:sdtContent>
              <w:r>
                <w:rPr>
                  <w:b/>
                  <w:caps/>
                  <w:kern w:val="2"/>
                  <w:szCs w:val="24"/>
                </w:rPr>
                <w:t xml:space="preserve">PROFESINIO MOKYMO LĖŠŲ SKAIČIAVIMO VIENAM MOKINIUI, KURIS MOKOSI PAGAL FORMALIOJO PROFESINIO MOKYMO PROGRAMĄ (IŠSKYRUS BAUSMIŲ VYKDYMO SISTEMOS PROFESINIO MOKYMO IR VIDAUS REIKALŲ PROFESINIO MOKYMO ĮSTAIGŲ VYKDOMAS PROGRAMAS), METODIKA </w:t>
              </w:r>
            </w:sdtContent>
          </w:sdt>
        </w:p>
        <w:p>
          <w:pPr>
            <w:tabs>
              <w:tab w:val="left" w:pos="6237"/>
            </w:tabs>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937f66d9e8644855b83b6c8038b4add1"/>
                <w:lock w:val="sdtLocked"/>
                <w:richText/>
              </w:sdtPr>
              <w:sdtContent>
                <w:p>
                  <w:pPr>
                    <w:ind w:firstLine="720"/>
                    <w:jc w:val="both"/>
                    <w:rPr>
                      <w:szCs w:val="24"/>
                      <w:lang w:eastAsia="lt-LT"/>
                    </w:rPr>
                  </w:pPr>
                  <w:sdt>
                    <w:sdtPr>
                      <w:alias w:val="Numeris"/>
                      <w:tag w:val="nr_937f66d9e8644855b83b6c8038b4add1"/>
                      <w:lock w:val="sdtLocked"/>
                      <w:richText/>
                    </w:sdtPr>
                    <w:sdtContent>
                      <w:r>
                        <w:rPr>
                          <w:szCs w:val="24"/>
                          <w:lang w:eastAsia="lt-LT"/>
                        </w:rPr>
                        <w:t>1</w:t>
                      </w:r>
                    </w:sdtContent>
                  </w:sdt>
                  <w:r>
                    <w:rPr>
                      <w:szCs w:val="24"/>
                      <w:lang w:eastAsia="lt-LT"/>
                    </w:rPr>
                    <w:t xml:space="preserve">. Profesinio mokymo lėšų skaičiavimo vienam mokiniui, kuris mokosi pagal formaliojo profesinio mokymo programą (išskyrus bausmių vykdymo sistemos profesinio mokymo ir vidaus reikalų profesinio mokymo įstaigų vykdomas programas), metodika (toliau – Metodika) reglamentuoja profesinio mokymo lėšų apskaičiavimą vienam mokiniui, kuris mokosi pagal formaliojo profesinio mokymo programą arba jos dalį, išskyrus bausmių vykdymo sistemos profesinio mokymo ir vidaus reikalų profesinio mokymo įstaigų vykdomas programas (toliau – mokinys). Ji taikoma, skiriant mokymo lėšų formaliajam profesiniam mokymui </w:t>
                  </w:r>
                  <w:r>
                    <w:rPr>
                      <w:lang w:eastAsia="lt-LT"/>
                    </w:rPr>
                    <w:t xml:space="preserve">iš Lietuvos Respublikos valstybės biudžeto (toliau – valstybės biudžetas), </w:t>
                  </w:r>
                  <w:r>
                    <w:rPr>
                      <w:szCs w:val="24"/>
                      <w:lang w:eastAsia="lt-LT"/>
                    </w:rPr>
                    <w:t>valstybės biudžeto specialiųjų tikslinių dotacijų savivaldybių biudžetams,</w:t>
                  </w:r>
                  <w:r>
                    <w:rPr>
                      <w:bCs/>
                      <w:szCs w:val="24"/>
                      <w:lang w:eastAsia="lt-LT"/>
                    </w:rPr>
                    <w:t xml:space="preserve"> </w:t>
                  </w:r>
                  <w:r>
                    <w:rPr>
                      <w:szCs w:val="24"/>
                      <w:lang w:eastAsia="lt-LT"/>
                    </w:rPr>
                    <w:t>Europos Sąjungos struktūrinių fondų, darbdavių ir (ar) kitų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2 p."/>
                <w:tag w:val="part_addb8776de7649828f57f213e6b1aa78"/>
                <w:lock w:val="sdtLocked"/>
                <w:richText/>
              </w:sdtPr>
              <w:sdtContent>
                <w:p>
                  <w:pPr>
                    <w:ind w:firstLine="720"/>
                    <w:jc w:val="both"/>
                  </w:pPr>
                  <w:sdt>
                    <w:sdtPr>
                      <w:alias w:val="Numeris"/>
                      <w:tag w:val="nr_addb8776de7649828f57f213e6b1aa78"/>
                      <w:lock w:val="sdtLocked"/>
                      <w:richText/>
                    </w:sdtPr>
                    <w:sdtContent>
                      <w:r>
                        <w:rPr>
                          <w:szCs w:val="24"/>
                        </w:rPr>
                        <w:t>2</w:t>
                      </w:r>
                    </w:sdtContent>
                  </w:sdt>
                  <w:r>
                    <w:rPr>
                      <w:szCs w:val="24"/>
                    </w:rPr>
                    <w:t xml:space="preserve">. </w:t>
                  </w:r>
                  <w:r>
                    <w:t>Metodikoje vartojamos sąvokos apibrėžtos Lietuvos Respublikos profesinio mokymo įstatyme ir Lietuvos Respublikos švietimo įstatyme.</w:t>
                  </w:r>
                </w:p>
                <w:p>
                  <w:pPr>
                    <w:ind w:firstLine="720"/>
                    <w:jc w:val="both"/>
                  </w:pPr>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9c041bc4bb1741619fb087cb30648a4e"/>
                    <w:lock w:val="sdtLocked"/>
                    <w:richText/>
                  </w:sdtPr>
                  <w:sdtContent>
                    <w:p>
                      <w:pPr>
                        <w:ind w:firstLine="720"/>
                        <w:jc w:val="both"/>
                      </w:pPr>
                      <w:sdt>
                        <w:sdtPr>
                          <w:alias w:val="Numeris"/>
                          <w:tag w:val="nr_9c041bc4bb1741619fb087cb30648a4e"/>
                          <w:lock w:val="sdtLocked"/>
                          <w:richText/>
                        </w:sdtPr>
                        <w:sdtContent>
                          <w:r>
                            <w:rPr>
                              <w:bCs/>
                              <w:lang w:eastAsia="lt-LT"/>
                            </w:rPr>
                            <w:t>3.1</w:t>
                          </w:r>
                        </w:sdtContent>
                      </w:sdt>
                      <w:r>
                        <w:rPr>
                          <w:bCs/>
                          <w:lang w:eastAsia="lt-LT"/>
                        </w:rPr>
                        <w:t>. mokytojų, dirbančių pagal formaliojo profesinio mokymo programas (toliau – mokytojai), darbo užmokesčiui, valstybinio socialinio draudimo įmokoms (toliau – socialinio draudimo įmokos), įmokoms į Ilgalaikio darbo išmokų fondą ir Garantinį fondą;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30585e4124fd4bcfa96b263cada739cf"/>
                    <w:lock w:val="sdtLocked"/>
                    <w:richText/>
                  </w:sdtPr>
                  <w:sdtContent>
                    <w:p>
                      <w:pPr>
                        <w:ind w:firstLine="720"/>
                        <w:jc w:val="both"/>
                        <w:rPr>
                          <w:szCs w:val="24"/>
                          <w:lang w:eastAsia="lt-LT"/>
                        </w:rPr>
                      </w:pPr>
                      <w:sdt>
                        <w:sdtPr>
                          <w:alias w:val="Numeris"/>
                          <w:tag w:val="nr_30585e4124fd4bcfa96b263cada739cf"/>
                          <w:lock w:val="sdtLocked"/>
                          <w:richText/>
                        </w:sdtPr>
                        <w:sdtContent>
                          <w:r>
                            <w:rPr>
                              <w:szCs w:val="24"/>
                              <w:lang w:eastAsia="lt-LT"/>
                            </w:rPr>
                            <w:t>3.3</w:t>
                          </w:r>
                        </w:sdtContent>
                      </w:sdt>
                      <w:r>
                        <w:rPr>
                          <w:szCs w:val="24"/>
                          <w:lang w:eastAsia="lt-LT"/>
                        </w:rPr>
                        <w:t xml:space="preserve">. </w:t>
                      </w:r>
                      <w:r>
                        <w:rPr>
                          <w:kern w:val="24"/>
                          <w:szCs w:val="24"/>
                          <w:lang w:eastAsia="lt-LT"/>
                        </w:rPr>
                        <w:t>švietimo pagalbai: d</w:t>
                      </w:r>
                      <w:r>
                        <w:rPr>
                          <w:szCs w:val="24"/>
                          <w:lang w:eastAsia="lt-LT"/>
                        </w:rPr>
                        <w:t>arbo užmokesčiui mokėti, paslaugoms, susijusioms su psichologine, specialiąja pedagogine, specialiąja ir socialine pedagogine pagalba, prevencinėms programoms įgyvendinti, profesiniam orientavimui, taip pat mokyklos bibliotekos darbuotojams išlaikyti (toliau – švietimo pagalba);</w:t>
                      </w:r>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7a6b86c9fe7546a7a623ce04234af358"/>
                <w:lock w:val="sdtLocked"/>
                <w:richText/>
              </w:sdtPr>
              <w:sdtContent>
                <w:p>
                  <w:pPr>
                    <w:ind w:firstLine="720"/>
                    <w:jc w:val="both"/>
                  </w:pPr>
                  <w:sdt>
                    <w:sdtPr>
                      <w:alias w:val="Numeris"/>
                      <w:tag w:val="nr_7a6b86c9fe7546a7a623ce04234af358"/>
                      <w:lock w:val="sdtLocked"/>
                      <w:richText/>
                    </w:sdtPr>
                    <w:sdtContent>
                      <w:r>
                        <w:rPr>
                          <w:szCs w:val="24"/>
                          <w:lang w:eastAsia="lt-LT"/>
                        </w:rPr>
                        <w:t>5</w:t>
                      </w:r>
                    </w:sdtContent>
                  </w:sdt>
                  <w:r>
                    <w:rPr>
                      <w:szCs w:val="24"/>
                      <w:lang w:eastAsia="lt-LT"/>
                    </w:rPr>
                    <w:t>.</w:t>
                  </w:r>
                  <w:r>
                    <w:rPr>
                      <w:lang w:eastAsia="lt-LT"/>
                    </w:rPr>
                    <w:t xml:space="preserve"> Tais atvejais, kai mokiniai yra priimti mokytis pagal švietimo, mokslo ir sporto ministro tvirtinamą asmenų, išskyrus asmenis, kuriems taikomas Lietuvos Respublikos užimtumo įstatymas, Lietuvos Respublikos asmens su negalia teisių apsaugos pagrindų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6 p."/>
                <w:tag w:val="part_ce295e1ad0bc450d8edc1872420b76d8"/>
                <w:lock w:val="sdtLocked"/>
                <w:richText/>
              </w:sdtPr>
              <w:sdtContent>
                <w:p>
                  <w:pPr>
                    <w:ind w:firstLine="720"/>
                    <w:jc w:val="both"/>
                    <w:rPr>
                      <w:szCs w:val="24"/>
                    </w:rPr>
                  </w:pPr>
                  <w:sdt>
                    <w:sdtPr>
                      <w:alias w:val="Numeris"/>
                      <w:tag w:val="nr_ce295e1ad0bc450d8edc1872420b76d8"/>
                      <w:lock w:val="sdtLocked"/>
                      <w:richText/>
                    </w:sdtPr>
                    <w:sdtContent>
                      <w:r>
                        <w:rPr>
                          <w:szCs w:val="24"/>
                          <w:lang w:eastAsia="lt-LT"/>
                        </w:rPr>
                        <w:t>6</w:t>
                      </w:r>
                    </w:sdtContent>
                  </w:sdt>
                  <w:r>
                    <w:rPr>
                      <w:szCs w:val="24"/>
                      <w:lang w:eastAsia="lt-LT"/>
                    </w:rPr>
                    <w:t xml:space="preserve">. Lėšos </w:t>
                  </w:r>
                  <w:r>
                    <w:rPr>
                      <w:lang w:eastAsia="lt-LT"/>
                    </w:rPr>
                    <w:t xml:space="preserve">mokytojų darbo užmokesčiui, socialinio draudimo įmokoms, įmokoms į Ilgalaikio darbo išmokų fondą ir Garantinį fondą (DU), tenkančios vienam mokymosi kreditui, apskaičiuojamos, </w:t>
                  </w:r>
                  <w:r>
                    <w:rPr>
                      <w:szCs w:val="24"/>
                      <w:lang w:eastAsia="lt-LT"/>
                    </w:rPr>
                    <w:t xml:space="preserve">vidutinį sąlyginį mokytojo pareiginės algos koeficientą (R) padauginus iš Lietuvos Respublikos </w:t>
                  </w:r>
                  <w:r>
                    <w:rPr>
                      <w:lang w:eastAsia="lt-LT"/>
                    </w:rPr>
                    <w:t xml:space="preserve">pareiginės algos (atlyginimo) bazinio dydžio nustatymo ir asignavimų darbo užmokesčiui perskaičiavimo </w:t>
                  </w:r>
                  <w:r>
                    <w:rPr>
                      <w:color w:val="000000"/>
                      <w:lang w:eastAsia="lt-LT"/>
                    </w:rPr>
                    <w:t>įstatyme</w:t>
                  </w:r>
                  <w:r>
                    <w:rPr>
                      <w:szCs w:val="24"/>
                      <w:lang w:eastAsia="lt-LT"/>
                    </w:rPr>
                    <w:t xml:space="preserve"> nustatyto pareiginės algos (atlyginimo) bazinio dydžio (BD), sąlyginio pareigybių skaičiaus (p), 12 mėnesių, socialinio draudimo,</w:t>
                  </w:r>
                  <w:r>
                    <w:rPr>
                      <w:lang w:eastAsia="lt-LT"/>
                    </w:rPr>
                    <w:t xml:space="preserve"> įmokų į Ilgalaikio darbo išmokų fondą</w:t>
                  </w:r>
                  <w:r>
                    <w:rPr>
                      <w:szCs w:val="24"/>
                      <w:lang w:eastAsia="lt-LT"/>
                    </w:rPr>
                    <w:t xml:space="preserve"> ir į Garantinį fondą koeficiento (k) ir padalijus iš bazinio grupės mokinių skaičiaus (n), tai yra DU = R×BD×p×12×k/n., laikantis šių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sdt>
                  <w:sdtPr>
                    <w:alias w:val="6.1.  pp."/>
                    <w:tag w:val="part_89df4bd200484732940945cf0e53b4e7"/>
                    <w:lock w:val="sdtLocked"/>
                    <w:richText/>
                  </w:sdtPr>
                  <w:sdtContent>
                    <w:p>
                      <w:pPr>
                        <w:ind w:firstLine="720"/>
                        <w:jc w:val="both"/>
                        <w:rPr>
                          <w:szCs w:val="24"/>
                        </w:rPr>
                      </w:pPr>
                      <w:sdt>
                        <w:sdtPr>
                          <w:alias w:val="Numeris"/>
                          <w:tag w:val="nr_89df4bd200484732940945cf0e53b4e7"/>
                          <w:lock w:val="sdtLocked"/>
                          <w:richText/>
                        </w:sdtPr>
                        <w:sdtContent>
                          <w:r>
                            <w:rPr>
                              <w:color w:val="000000"/>
                              <w:lang w:eastAsia="lt-LT"/>
                            </w:rPr>
                            <w:t>6.1. </w:t>
                          </w:r>
                        </w:sdtContent>
                      </w:sdt>
                      <w:r>
                        <w:rPr>
                          <w:szCs w:val="24"/>
                          <w:lang w:eastAsia="lt-LT"/>
                        </w:rPr>
                        <w:t>vidutinis sąlyginis mokytojo pareiginės algos koeficientas (R) yra lygus 1,2309;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1d3c0e8ff11ea9342c1d4e2ff6ff6">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2020-08-26,
paskelbta TAR 2020-08-28, i. k. 2020-17991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4e8d0f84813046cb9091e486f8e3c157"/>
                        <w:lock w:val="sdtLocked"/>
                        <w:richText/>
                      </w:sdtPr>
                      <w:sdtContent>
                        <w:p>
                          <w:pPr>
                            <w:ind w:firstLine="720"/>
                            <w:jc w:val="both"/>
                          </w:pPr>
                          <w:sdt>
                            <w:sdtPr>
                              <w:alias w:val="Numeris"/>
                              <w:tag w:val="nr_4e8d0f84813046cb9091e486f8e3c157"/>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
                      <w:sdtPr>
                        <w:alias w:val="6.6.4 pp."/>
                        <w:tag w:val="part_ca21915ec5f54bffa0c2b7d830d272d3"/>
                        <w:lock w:val="sdtLocked"/>
                        <w:richText/>
                      </w:sdtPr>
                      <w:sdtContent>
                        <w:p>
                          <w:pPr>
                            <w:ind w:firstLine="720"/>
                            <w:jc w:val="both"/>
                            <w:rPr>
                              <w:szCs w:val="24"/>
                              <w:lang w:eastAsia="lt-LT"/>
                            </w:rPr>
                          </w:pPr>
                          <w:sdt>
                            <w:sdtPr>
                              <w:alias w:val="Numeris"/>
                              <w:tag w:val="nr_ca21915ec5f54bffa0c2b7d830d272d3"/>
                              <w:lock w:val="sdtLocked"/>
                              <w:richText/>
                            </w:sdtPr>
                            <w:sdtContent>
                              <w:r>
                                <w:rPr>
                                  <w:lang w:eastAsia="lt-LT"/>
                                </w:rPr>
                                <w:t>6.6.4</w:t>
                              </w:r>
                            </w:sdtContent>
                          </w:sdt>
                          <w:r>
                            <w:rPr>
                              <w:lang w:eastAsia="lt-LT"/>
                            </w:rPr>
                            <w:t xml:space="preserve">. </w:t>
                          </w:r>
                          <w:r>
                            <w:rPr>
                              <w:szCs w:val="24"/>
                              <w:bdr w:val="none" w:sz="0" w:space="0" w:color="auto" w:frame="1"/>
                              <w:shd w:val="clear" w:color="auto" w:fill="FFFFFF"/>
                              <w:lang w:eastAsia="lt-LT"/>
                            </w:rPr>
                            <w:t xml:space="preserve">mokiniui, kuris individualiai mokomas praktinio vairavimo pagal profesinio mokymo programą (jos dalį), </w:t>
                          </w:r>
                          <w:r>
                            <w:rPr>
                              <w:lang w:eastAsia="lt-LT"/>
                            </w:rPr>
                            <w:t>priskiriamą Metodikos 2 priedo 11.2 papunktyje nurodytam švietimo posričiui,</w:t>
                          </w:r>
                          <w:r>
                            <w:rPr>
                              <w:szCs w:val="24"/>
                              <w:bdr w:val="none" w:sz="0" w:space="0" w:color="auto" w:frame="1"/>
                              <w:shd w:val="clear" w:color="auto" w:fill="FFFFFF"/>
                              <w:lang w:eastAsia="lt-LT"/>
                            </w:rPr>
                            <w:t xml:space="preserve"> – taikant indeksavimo koeficientą (i), kuris apskaičiuojamas pagal formulę: i = (1 – v) + v*n, čia</w:t>
                          </w:r>
                          <w:r>
                            <w:rPr>
                              <w:color w:val="000000"/>
                              <w:szCs w:val="24"/>
                              <w:bdr w:val="none" w:sz="0" w:space="0" w:color="auto" w:frame="1"/>
                              <w:shd w:val="clear" w:color="auto" w:fill="FFFFFF"/>
                              <w:lang w:eastAsia="lt-LT"/>
                            </w:rPr>
                            <w:t xml:space="preserve"> v – sąlyginė individualaus praktinio vairavimo mokymo valandų dalis nuo bendro formaliojo profesinio mokymo programos (jos dalies) valandų skaičiaus, kuri yra lygi 0,02 – kai teisės aktuose, reglamentuojančiuose individualaus praktinio vairavimo mokymo trukmę, nustatytų minimalių individualaus praktinio vairavimo mokymo valandų, būtinų siekiant atitinkamos kvalifikacijos (toliau – minimalios individualaus praktinio vairavimo mokymo valandos), dalis nuo bendro formaliojo profesinio mokymo programos (jos dalies) valandų skaičiaus sudaro ne daugiau kaip 5 procentus, 0,04 – kai minimalių individualaus praktinio vairavimo mokymo valandų dalis nuo bendro formaliojo profesinio mokymo programos (jos dalies) valandų skaičiaus sudaro daugiau kaip 5, bet ne daugiau kaip 10 procentų, 0,06 – kai minimalių individualaus praktinio vairavimo mokymo valandų dalis nuo bendro formaliojo profesinio mokymo programos (jos dalies) valandų skaičiaus sudaro daugiau kaip 10 procentų; n – </w:t>
                          </w:r>
                          <w:r>
                            <w:rPr>
                              <w:szCs w:val="24"/>
                              <w:lang w:eastAsia="lt-LT"/>
                            </w:rPr>
                            <w:t>bazinis grupės mokinių skaičius, nurodytas Metodikos 6.5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Content>
            </w:sdt>
            <w:sdt>
              <w:sdtPr>
                <w:alias w:val="7. p."/>
                <w:tag w:val="part_93a32ba710a649aa848329d53463bd4d"/>
                <w:lock w:val="sdtLocked"/>
                <w:richText/>
              </w:sdtPr>
              <w:sdtContent>
                <w:p>
                  <w:pPr>
                    <w:ind w:firstLine="720"/>
                    <w:jc w:val="both"/>
                    <w:rPr>
                      <w:szCs w:val="24"/>
                      <w:lang w:eastAsia="lt-LT"/>
                    </w:rPr>
                  </w:pPr>
                  <w:sdt>
                    <w:sdtPr>
                      <w:alias w:val="Numeris"/>
                      <w:tag w:val="nr_93a32ba710a649aa848329d53463bd4d"/>
                      <w:lock w:val="sdtLocked"/>
                      <w:richText/>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0,0044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sdtContent>
            </w:sdt>
            <w:sdt>
              <w:sdtPr>
                <w:alias w:val="8. p."/>
                <w:tag w:val="part_7f55c80553d44146bc7f19d557d38d26"/>
                <w:lock w:val="sdtLocked"/>
                <w:richText/>
              </w:sdtPr>
              <w:sdtContent>
                <w:p>
                  <w:pPr>
                    <w:ind w:firstLine="720"/>
                    <w:jc w:val="both"/>
                    <w:rPr>
                      <w:szCs w:val="24"/>
                      <w:lang w:eastAsia="lt-LT"/>
                    </w:rPr>
                  </w:pPr>
                  <w:sdt>
                    <w:sdtPr>
                      <w:alias w:val="Numeris"/>
                      <w:tag w:val="nr_7f55c80553d44146bc7f19d557d38d26"/>
                      <w:lock w:val="sdtLocked"/>
                      <w:richText/>
                    </w:sdtPr>
                    <w:sdtContent>
                      <w:r>
                        <w:rPr>
                          <w:lang w:eastAsia="lt-LT"/>
                        </w:rPr>
                        <w:t>8.</w:t>
                      </w:r>
                    </w:sdtContent>
                  </w:sdt>
                  <w:r>
                    <w:rPr>
                      <w:lang w:eastAsia="lt-LT"/>
                    </w:rPr>
                    <w:t xml:space="preserve"> Lėšos </w:t>
                  </w:r>
                  <w:r>
                    <w:rPr>
                      <w:szCs w:val="24"/>
                      <w:lang w:eastAsia="lt-LT"/>
                    </w:rPr>
                    <w:t xml:space="preserve">švietimo pagalbai, tenkančios vienam mokymosi kreditui, sudaro 0,00101 BD, o </w:t>
                  </w:r>
                  <w:r>
                    <w:rPr>
                      <w:lang w:eastAsia="lt-LT"/>
                    </w:rPr>
                    <w:t>tais atvejais, kai mokinys dėl įgimtų arba įgytų sutrikimų turi vidutinių specialiųjų ugdymosi poreikių, šios lėšos didinamos 5 procentais, didelių arba labai didelių specialiųjų ugdymosi poreikių mokiniams – 15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215b000da11ec9f09e7df20500045">
                    <w:r w:rsidRPr="00532B9F">
                      <w:rPr>
                        <w:rFonts w:ascii="Times New Roman" w:eastAsia="MS Mincho" w:hAnsi="Times New Roman"/>
                        <w:sz w:val="20"/>
                        <w:i/>
                        <w:iCs/>
                        <w:color w:val="0000FF" w:themeColor="hyperlink"/>
                        <w:u w:val="single"/>
                      </w:rPr>
                      <w:t>675</w:t>
                    </w:r>
                  </w:fldSimple>
                  <w:r>
                    <w:rPr>
                      <w:rFonts w:ascii="Times New Roman" w:eastAsia="MS Mincho" w:hAnsi="Times New Roman"/>
                      <w:sz w:val="20"/>
                      <w:i/>
                      <w:iCs/>
                    </w:rPr>
                    <w:t>,
2021-08-18,
paskelbta TAR 2021-08-19, i. k. 2021-17707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sdtContent>
            </w:sdt>
            <w:sdt>
              <w:sdtPr>
                <w:alias w:val="9 p."/>
                <w:tag w:val="part_1ba335dc6d8642f28d314c47fd57ac0a"/>
                <w:lock w:val="sdtLocked"/>
                <w:richText/>
              </w:sdtPr>
              <w:sdtContent>
                <w:p>
                  <w:pPr>
                    <w:ind w:firstLine="720"/>
                    <w:jc w:val="both"/>
                    <w:rPr>
                      <w:szCs w:val="24"/>
                      <w:lang w:eastAsia="lt-LT"/>
                    </w:rPr>
                  </w:pPr>
                  <w:sdt>
                    <w:sdtPr>
                      <w:alias w:val="Numeris"/>
                      <w:tag w:val="nr_1ba335dc6d8642f28d314c47fd57ac0a"/>
                      <w:lock w:val="sdtLocked"/>
                      <w:richText/>
                    </w:sdtPr>
                    <w:sdtContent>
                      <w:r>
                        <w:rPr>
                          <w:szCs w:val="24"/>
                          <w:lang w:eastAsia="lt-LT"/>
                        </w:rPr>
                        <w:t>9</w:t>
                      </w:r>
                    </w:sdtContent>
                  </w:sdt>
                  <w:r>
                    <w:rPr>
                      <w:szCs w:val="24"/>
                      <w:lang w:eastAsia="lt-LT"/>
                    </w:rPr>
                    <w:t>. Lėšos mokytojų ir kitų ugdymo procese dalyvaujančių asmenų kvalifikacijai tobulinti, tenkančios vienam mokymosi kreditui, sudaro 0,00003 BD.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9805b08662a842d78f4c4d070fe73e4c"/>
                <w:lock w:val="sdtLocked"/>
                <w:richText/>
              </w:sdtPr>
              <w:sdtContent>
                <w:p>
                  <w:pPr>
                    <w:ind w:firstLine="720"/>
                    <w:jc w:val="both"/>
                    <w:rPr>
                      <w:szCs w:val="24"/>
                      <w:lang w:eastAsia="lt-LT"/>
                    </w:rPr>
                  </w:pPr>
                  <w:sdt>
                    <w:sdtPr>
                      <w:alias w:val="Numeris"/>
                      <w:tag w:val="nr_9805b08662a842d78f4c4d070fe73e4c"/>
                      <w:lock w:val="sdtLocked"/>
                      <w:richText/>
                    </w:sdtPr>
                    <w:sdtContent>
                      <w:r>
                        <w:rPr>
                          <w:szCs w:val="24"/>
                          <w:lang w:eastAsia="lt-LT"/>
                        </w:rPr>
                        <w:t>14</w:t>
                      </w:r>
                    </w:sdtContent>
                  </w:sdt>
                  <w:r>
                    <w:rPr>
                      <w:szCs w:val="24"/>
                      <w:lang w:eastAsia="lt-LT"/>
                    </w:rPr>
                    <w:t xml:space="preserve">. </w:t>
                  </w:r>
                  <w:r>
                    <w:rPr>
                      <w:lang w:eastAsia="lt-LT"/>
                    </w:rPr>
                    <w:t>Tais atvejais, kai mokiniai yra priimti mokytis pagal priėmimo į valstybės finansuojamas profesinio mokymo vietas planą, p</w:t>
                  </w:r>
                  <w:r>
                    <w:rPr>
                      <w:szCs w:val="24"/>
                      <w:lang w:eastAsia="lt-LT"/>
                    </w:rPr>
                    <w:t xml:space="preserve">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organizuojamas papildomas priėmimas, kalendoriniams metams apskaičiuota profesinio mokymo lėšų suma tikslinama, atsižvelgiant į faktinį mokinių, besimokančių valstybės finansuojamose vietose, skaičių tų kalendorinių metų kovo 1 d., skiriant profesinio mokymo teikėjui papildomų lėšų kovo–rugpjūčio mėnesiams, jei pagal Metodiką apskaičiuota mokymo lėšų suma išauga (skiriamas mokymo lėšų, apskaičiuotų minėtam laikotarpiui pagal kalendorinių metų kovo 1 d. ir pagal  praėjusių kalendorinių metų rugsėjo 1 d. duomenis,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17 p."/>
                <w:tag w:val="part_607bb8bc6e3647a6ba5166259ae25c2a"/>
                <w:lock w:val="sdtLocked"/>
                <w:richText/>
              </w:sdtPr>
              <w:sdtContent>
                <w:p>
                  <w:pPr>
                    <w:ind w:firstLine="720"/>
                    <w:jc w:val="both"/>
                    <w:textAlignment w:val="baseline"/>
                    <w:rPr>
                      <w:strike/>
                      <w:szCs w:val="24"/>
                      <w:lang w:eastAsia="lt-LT"/>
                    </w:rPr>
                  </w:pPr>
                  <w:sdt>
                    <w:sdtPr>
                      <w:alias w:val="Numeris"/>
                      <w:tag w:val="nr_607bb8bc6e3647a6ba5166259ae25c2a"/>
                      <w:lock w:val="sdtLocked"/>
                      <w:richText/>
                    </w:sdtPr>
                    <w:sdtContent>
                      <w:r>
                        <w:rPr>
                          <w:color w:val="000000"/>
                          <w:szCs w:val="24"/>
                          <w:bdr w:val="none" w:sz="0" w:space="0" w:color="auto" w:frame="1"/>
                          <w:lang w:eastAsia="lt-LT"/>
                        </w:rPr>
                        <w:t>17</w:t>
                      </w:r>
                    </w:sdtContent>
                  </w:sdt>
                  <w:r>
                    <w:rPr>
                      <w:color w:val="000000"/>
                      <w:szCs w:val="24"/>
                      <w:bdr w:val="none" w:sz="0" w:space="0" w:color="auto" w:frame="1"/>
                      <w:lang w:eastAsia="lt-LT"/>
                    </w:rPr>
                    <w:t>.</w:t>
                  </w:r>
                  <w:r>
                    <w:rPr>
                      <w:color w:val="000000"/>
                      <w:szCs w:val="24"/>
                      <w:bdr w:val="none" w:sz="0" w:space="0" w:color="auto" w:frame="1"/>
                      <w:shd w:val="clear" w:color="auto" w:fill="FFFFFF"/>
                      <w:lang w:eastAsia="lt-LT"/>
                    </w:rPr>
                    <w:t xml:space="preserve"> </w:t>
                  </w:r>
                  <w:r>
                    <w:rPr>
                      <w:lang w:eastAsia="lt-LT"/>
                    </w:rPr>
                    <w:t>Metodikos 2 priedo 11.2 papunktyje nurodytam švietimo posričiui</w:t>
                  </w:r>
                  <w:r>
                    <w:rPr>
                      <w:color w:val="000000"/>
                      <w:szCs w:val="24"/>
                      <w:bdr w:val="none" w:sz="0" w:space="0" w:color="auto" w:frame="1"/>
                      <w:shd w:val="clear" w:color="auto" w:fill="FFFFFF"/>
                      <w:lang w:eastAsia="lt-LT"/>
                    </w:rPr>
                    <w:t xml:space="preserve"> </w:t>
                  </w:r>
                  <w:r>
                    <w:rPr>
                      <w:lang w:eastAsia="lt-LT"/>
                    </w:rPr>
                    <w:t xml:space="preserve">priskiriamų </w:t>
                  </w:r>
                  <w:r>
                    <w:rPr>
                      <w:color w:val="000000"/>
                      <w:szCs w:val="24"/>
                      <w:bdr w:val="none" w:sz="0" w:space="0" w:color="auto" w:frame="1"/>
                      <w:shd w:val="clear" w:color="auto" w:fill="FFFFFF"/>
                      <w:lang w:eastAsia="lt-LT"/>
                    </w:rPr>
                    <w:t>formaliojo profesinio mokymo programų, pagal kurias mokiniai individualiai mokomi praktinio vairavimo</w:t>
                  </w:r>
                  <w:r>
                    <w:rPr>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 xml:space="preserve">sąrašas, jų bendras valandų skaičius ir minimalių individualaus praktinio vairavimo mokymo valandų skaičius </w:t>
                  </w:r>
                  <w:r>
                    <w:rPr>
                      <w:color w:val="000000"/>
                      <w:szCs w:val="24"/>
                      <w:bdr w:val="none" w:sz="0" w:space="0" w:color="auto" w:frame="1"/>
                      <w:lang w:eastAsia="lt-LT"/>
                    </w:rPr>
                    <w:t>skelbiami Švietimo, mokslo ir sporto ministerijos interneto svetainėje</w:t>
                  </w:r>
                  <w:r>
                    <w:rPr>
                      <w:color w:val="000000"/>
                      <w:szCs w:val="24"/>
                      <w:lang w:eastAsia="lt-LT"/>
                    </w:rPr>
                    <w:t xml:space="preserve">. Informaciją apie šias programas </w:t>
                  </w:r>
                  <w:r>
                    <w:rPr>
                      <w:color w:val="000000"/>
                      <w:szCs w:val="24"/>
                      <w:bdr w:val="none" w:sz="0" w:space="0" w:color="auto" w:frame="1"/>
                      <w:lang w:eastAsia="lt-LT"/>
                    </w:rPr>
                    <w:t xml:space="preserve">Švietimo, mokslo ir sporto ministerijai iki kiekvienų metų kovo 1 d. </w:t>
                  </w:r>
                  <w:r>
                    <w:rPr>
                      <w:color w:val="000000"/>
                      <w:szCs w:val="24"/>
                      <w:lang w:eastAsia="lt-LT"/>
                    </w:rPr>
                    <w:t>teikia Kvalifikacijų ir profesinio mokymo plėtros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1b899e76d29d49299388411bce08f3e8"/>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Profesinio mokymo lėšų skaičiavimo vienam mokiniui, kuris mokosi pagal formaliojo profesinio mokymo programą (išskyrus bausmių vykdymo sistemos profesinio mokymo ir vidaus reikalų profesinio mokymo įstaigų vykdomas programas), metodikos</w:t>
          </w:r>
        </w:p>
        <w:p>
          <w:pPr>
            <w:ind w:left="5245"/>
            <w:rPr>
              <w:szCs w:val="24"/>
              <w:lang w:eastAsia="lt-LT"/>
            </w:rPr>
          </w:pPr>
          <w:sdt>
            <w:sdtPr>
              <w:alias w:val="Numeris"/>
              <w:tag w:val="nr_1b899e76d29d49299388411bce08f3e8"/>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1b899e76d29d49299388411bce08f3e8"/>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5872"/>
            <w:gridCol w:w="3284"/>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2 pr."/>
        <w:tag w:val="part_9ddeb817893142cb86effa8b8690ff80"/>
        <w:lock w:val="sdtLocked"/>
        <w:richText/>
      </w:sdtPr>
      <w:sdtContent>
        <w:p>
          <w:pPr>
            <w:ind w:firstLine="5103"/>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51" w:bottom="1418" w:left="1418" w:header="709" w:footer="567" w:gutter="0"/>
              <w:pgNumType w:start="1"/>
              <w:cols w:space="1296"/>
              <w:titlePg/>
              <w:docGrid w:linePitch="326"/>
            </w:sectPr>
          </w:pPr>
        </w:p>
        <w:p>
          <w:pPr>
            <w:ind w:left="3969"/>
            <w:rPr>
              <w:szCs w:val="24"/>
              <w:lang w:eastAsia="lt-LT"/>
            </w:rPr>
          </w:pPr>
          <w:r>
            <w:rPr>
              <w:szCs w:val="24"/>
              <w:lang w:eastAsia="lt-LT"/>
            </w:rPr>
            <w:t xml:space="preserve">Profesinio mokymo lėšų skaičiavimo vienam </w:t>
          </w:r>
        </w:p>
        <w:p>
          <w:pPr>
            <w:ind w:left="3969"/>
            <w:rPr>
              <w:szCs w:val="24"/>
              <w:lang w:eastAsia="lt-LT"/>
            </w:rPr>
          </w:pPr>
          <w:r>
            <w:rPr>
              <w:szCs w:val="24"/>
              <w:lang w:eastAsia="lt-LT"/>
            </w:rPr>
            <w:t xml:space="preserve">mokiniui, kuris mokosi pagal formaliojo </w:t>
          </w:r>
        </w:p>
        <w:p>
          <w:pPr>
            <w:ind w:left="3969"/>
            <w:rPr>
              <w:szCs w:val="24"/>
              <w:lang w:eastAsia="lt-LT"/>
            </w:rPr>
          </w:pPr>
          <w:r>
            <w:rPr>
              <w:szCs w:val="24"/>
              <w:lang w:eastAsia="lt-LT"/>
            </w:rPr>
            <w:t xml:space="preserve">profesinio mokymo programą (išskyrus </w:t>
          </w:r>
        </w:p>
        <w:p>
          <w:pPr>
            <w:ind w:left="3969"/>
            <w:rPr>
              <w:szCs w:val="24"/>
              <w:lang w:eastAsia="lt-LT"/>
            </w:rPr>
          </w:pPr>
          <w:r>
            <w:rPr>
              <w:szCs w:val="24"/>
              <w:lang w:eastAsia="lt-LT"/>
            </w:rPr>
            <w:t xml:space="preserve">bausmių vykdymo sistemos profesinio </w:t>
          </w:r>
        </w:p>
        <w:p>
          <w:pPr>
            <w:ind w:left="3969"/>
            <w:rPr>
              <w:szCs w:val="24"/>
              <w:lang w:eastAsia="lt-LT"/>
            </w:rPr>
          </w:pPr>
          <w:r>
            <w:rPr>
              <w:szCs w:val="24"/>
              <w:lang w:eastAsia="lt-LT"/>
            </w:rPr>
            <w:t xml:space="preserve">mokymo ir vidaus reikalų profesinio </w:t>
          </w:r>
        </w:p>
        <w:p>
          <w:pPr>
            <w:ind w:left="3969"/>
            <w:rPr>
              <w:szCs w:val="24"/>
              <w:lang w:eastAsia="lt-LT"/>
            </w:rPr>
          </w:pPr>
          <w:r>
            <w:rPr>
              <w:szCs w:val="24"/>
              <w:lang w:eastAsia="lt-LT"/>
            </w:rPr>
            <w:t xml:space="preserve">mokymo įstaigų vykdomas programas), </w:t>
          </w:r>
        </w:p>
        <w:p>
          <w:pPr>
            <w:ind w:left="3969"/>
            <w:rPr>
              <w:szCs w:val="24"/>
              <w:lang w:eastAsia="lt-LT"/>
            </w:rPr>
          </w:pPr>
          <w:r>
            <w:rPr>
              <w:szCs w:val="24"/>
              <w:lang w:eastAsia="lt-LT"/>
            </w:rPr>
            <w:t>metodikos</w:t>
          </w:r>
        </w:p>
        <w:p>
          <w:pPr>
            <w:ind w:left="3969"/>
            <w:rPr>
              <w:szCs w:val="24"/>
              <w:lang w:eastAsia="lt-LT"/>
            </w:rPr>
          </w:pPr>
          <w:sdt>
            <w:sdtPr>
              <w:alias w:val="Numeris"/>
              <w:tag w:val="nr_9ddeb817893142cb86effa8b8690ff80"/>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jc w:val="center"/>
            <w:rPr>
              <w:b/>
              <w:szCs w:val="24"/>
              <w:lang w:eastAsia="lt-LT"/>
            </w:rPr>
          </w:pPr>
          <w:sdt>
            <w:sdtPr>
              <w:alias w:val="Pavadinimas"/>
              <w:tag w:val="title_9ddeb817893142cb86effa8b8690ff80"/>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3544"/>
          </w:tblGrid>
          <w:tr>
            <w:trPr>
              <w:trHeight w:val="620"/>
              <w:tblHeader/>
            </w:trPr>
            <w:tc>
              <w:tcPr>
                <w:tcW w:w="580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(atlyginimo) baziniais dydžiais)</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0,0028</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0,0028</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93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0,0026</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0,0026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bl>
        <w:p>
          <w:pPr>
            <w:jc w:val="both"/>
            <w:rPr>
              <w:szCs w:val="24"/>
              <w:lang w:eastAsia="lt-LT"/>
            </w:rPr>
          </w:pPr>
        </w:p>
        <w:sdt>
          <w:sdtPr>
            <w:alias w:val="pabaiga"/>
            <w:tag w:val="part_a3be84f21c38443b8797916ff8206843"/>
            <w:lock w:val="sdtLocked"/>
            <w:richText/>
          </w:sdtPr>
          <w:sdtContent>
            <w:p>
              <w:pPr>
                <w:jc w:val="center"/>
                <w:rPr>
                  <w:lang w:eastAsia="lt-LT"/>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41d3c0e8ff11ea9342c1d4e2ff6ff6">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2020-08-26,
paskelbta TAR 2020-08-28, i. k. 2020-17991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9262404aae11eb8d9fe110e148c770">
            <w:r w:rsidRPr="00532B9F">
              <w:rPr>
                <w:rFonts w:ascii="Times New Roman" w:eastAsia="MS Mincho" w:hAnsi="Times New Roman"/>
                <w:sz w:val="20"/>
                <w:iCs/>
                <w:color w:val="0000FF" w:themeColor="hyperlink"/>
                <w:u w:val="single"/>
              </w:rPr>
              <w:t>1478</w:t>
            </w:r>
          </w:fldSimple>
          <w:r>
            <w:rPr>
              <w:rFonts w:ascii="Times New Roman" w:eastAsia="MS Mincho" w:hAnsi="Times New Roman"/>
              <w:sz w:val="20"/>
              <w:iCs/>
            </w:rPr>
            <w:t>,
2020-12-30,
paskelbta TAR 2020-12-30, i. k. 2020-29202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9215b000da11ec9f09e7df20500045">
            <w:r w:rsidRPr="00532B9F">
              <w:rPr>
                <w:rFonts w:ascii="Times New Roman" w:eastAsia="MS Mincho" w:hAnsi="Times New Roman"/>
                <w:sz w:val="20"/>
                <w:iCs/>
                <w:color w:val="0000FF" w:themeColor="hyperlink"/>
                <w:u w:val="single"/>
              </w:rPr>
              <w:t>675</w:t>
            </w:r>
          </w:fldSimple>
          <w:r>
            <w:rPr>
              <w:rFonts w:ascii="Times New Roman" w:eastAsia="MS Mincho" w:hAnsi="Times New Roman"/>
              <w:sz w:val="20"/>
              <w:iCs/>
            </w:rPr>
            <w:t>,
2021-08-18,
paskelbta TAR 2021-08-19, i. k. 2021-17707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dcbbc0693b11eca9ac839120d251c4">
            <w:r w:rsidRPr="00532B9F">
              <w:rPr>
                <w:rFonts w:ascii="Times New Roman" w:eastAsia="MS Mincho" w:hAnsi="Times New Roman"/>
                <w:sz w:val="20"/>
                <w:iCs/>
                <w:color w:val="0000FF" w:themeColor="hyperlink"/>
                <w:u w:val="single"/>
              </w:rPr>
              <w:t>1147</w:t>
            </w:r>
          </w:fldSimple>
          <w:r>
            <w:rPr>
              <w:rFonts w:ascii="Times New Roman" w:eastAsia="MS Mincho" w:hAnsi="Times New Roman"/>
              <w:sz w:val="20"/>
              <w:iCs/>
            </w:rPr>
            <w:t>,
2021-12-29,
paskelbta TAR 2021-12-30, i. k. 2021-27620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5ee5050828e11ed8df094f359a60216">
            <w:r w:rsidRPr="00532B9F">
              <w:rPr>
                <w:rFonts w:ascii="Times New Roman" w:eastAsia="MS Mincho" w:hAnsi="Times New Roman"/>
                <w:sz w:val="20"/>
                <w:iCs/>
                <w:color w:val="0000FF" w:themeColor="hyperlink"/>
                <w:u w:val="single"/>
              </w:rPr>
              <w:t>1302</w:t>
            </w:r>
          </w:fldSimple>
          <w:r>
            <w:rPr>
              <w:rFonts w:ascii="Times New Roman" w:eastAsia="MS Mincho" w:hAnsi="Times New Roman"/>
              <w:sz w:val="20"/>
              <w:iCs/>
            </w:rPr>
            <w:t>,
2022-12-21,
paskelbta TAR 2022-12-23, i. k. 2022-26631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c7c69a0aa3311eea5a28c81c82193a8">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2024-01-03,
paskelbta TAR 2024-01-03, i. k. 2024-00077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451af70611b11efafbb8694c098bac5">
            <w:r w:rsidRPr="00532B9F">
              <w:rPr>
                <w:rFonts w:ascii="Times New Roman" w:eastAsia="MS Mincho" w:hAnsi="Times New Roman"/>
                <w:sz w:val="20"/>
                <w:iCs/>
                <w:color w:val="0000FF" w:themeColor="hyperlink"/>
                <w:u w:val="single"/>
              </w:rPr>
              <w:t>698</w:t>
            </w:r>
          </w:fldSimple>
          <w:r>
            <w:rPr>
              <w:rFonts w:ascii="Times New Roman" w:eastAsia="MS Mincho" w:hAnsi="Times New Roman"/>
              <w:sz w:val="20"/>
              <w:iCs/>
            </w:rPr>
            <w:t>,
2024-08-21,
paskelbta TAR 2024-08-23, i. k. 2024-14771                </w:t>
          </w:r>
        </w:p>
        <w:p>
          <w:pPr>
            <w:jc w:val="both"/>
            <w:rPr>
              <w:rFonts w:ascii="Times New Roman" w:hAnsi="Times New Roman"/>
            </w:rPr>
          </w:pPr>
          <w:r>
            <w:rPr>
              <w:rFonts w:ascii="Times New Roman" w:hAnsi="Times New Roman"/>
              <w:sz w:val="20"/>
            </w:rPr>
            <w:t>Dėl Lietuvos Respublikos Vyriausybės 2024 m. sausio 3 d. nutarimo Nr. 4 „Dėl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5057"/>
    <o:shapelayout v:ext="edit">
      <o:idmap v:ext="edit" data="1"/>
    </o:shapelayout>
  </w:shapeDefaults>
  <w:decimalSymbol w:val=","/>
  <w:listSeparator w:val=";"/>
  <w15:docId w15:val="{068E945A-7237-416E-9143-C7E01937933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header" Target="header25.xml"/>
  <Relationship Id="rId16" Type="http://schemas.openxmlformats.org/officeDocument/2006/relationships/header" Target="header26.xml"/>
  <Relationship Id="rId17" Type="http://schemas.openxmlformats.org/officeDocument/2006/relationships/footer" Target="footer25.xml"/>
  <Relationship Id="rId18" Type="http://schemas.openxmlformats.org/officeDocument/2006/relationships/footer" Target="footer26.xml"/>
  <Relationship Id="rId19" Type="http://schemas.openxmlformats.org/officeDocument/2006/relationships/header" Target="header27.xml"/>
  <Relationship Id="rId2" Type="http://schemas.openxmlformats.org/officeDocument/2006/relationships/fontTable" Target="fontTable.xml"/>
  <Relationship Id="rId20" Type="http://schemas.openxmlformats.org/officeDocument/2006/relationships/footer" Target="footer27.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19.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755817C-6EEE-467D-ADCA-4CAE3445F7A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890"/>
    <w:rsid w:val="00E358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589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ROFESINIO MOKYMO LĖŠŲ SKAIČIAVIMO VIENAM MOKINIUI, KURIS MOKOSI PAGAL FORMALIOJO PROFESINIO MOKYMO PROGRAMĄ (IŠSKYRUS BAUSMIŲ VYKDYMO SISTEMOS PROFESINIO MOKYMO IR VIDAUS REIKALŲ PROFESINIO MOKYMO ĮSTAIGŲ VYKDOMAS PROGRAMAS), METODIKOS PATVIRTINIMO“." DocPartId="7bbbcc7f9b614257ae6452d045aee241" PartId="47c5a23a38e344b0ab00e1056e305823">
    <Part Type="preambule" DocPartId="50927025b27844059c88cd22111610d1" PartId="267e8b8290504a8c89e8a27ed73688bf"/>
    <Part Type="punktas" Nr="1" Abbr="1 p." DocPartId="3923e784870246b4be552257969a994f" PartId="0070ecc266ab465a83ad00bba77b0020"/>
    <Part Type="punktas" Nr="2" Abbr="2 p." DocPartId="ed66ee4958534d0fb7fc209095880e0f" PartId="df47506de7dd4270976d86030bf3474b"/>
    <Part Type="punktas" Nr="3" Abbr="3 p." DocPartId="d35c44999e25489a9b889cc1d51adc6e" PartId="6815637dfed441769a5363727359cc10"/>
    <Part Type="punktas" Nr="4" Abbr="4 p." DocPartId="836b7eb4094646498c1a6acc46d15b9a" PartId="5df05254c7fa4160a786c7582d28f246"/>
    <Part Type="signatura" DocPartId="01b72f5238bd4de2924d890e6864ed1c" PartId="fc943493df0d45ef9b32450909eb6142"/>
  </Part>
  <Part Type="patvirtinta" Title="„PROFESINIO MOKYMO LĖŠŲ SKAIČIAVIMO VIENAM MOKINIUI, KURIS MOKOSI PAGAL FORMALIOJO PROFESINIO MOKYMO PROGRAMĄ (IŠSKYRUS BAUSMIŲ VYKDYMO SISTEMOS PROFESINIO MOKYMO IR VIDAUS REIKALŲ PROFESINIO MOKYMO ĮSTAIGŲ VYKDOMAS PROGRAMAS), METODIKA“." DocPartId="ce44026c05a94cd4b05116a566cb971a" PartId="56c0a20fc0bb42138b986b47ce4afd33">
    <Part Type="skyrius" Nr="1" Title="BENDROSIOS NUOSTATOS" DocPartId="2f64875c7eca49d680450e5943062453" PartId="3307659ac78a45fb8ad7bf7a06999c02">
      <Part Type="punktas" Nr="1" Abbr="1 p." DocPartId="9d112803b8e94916b1333a0d33e9cc3c" PartId="937f66d9e8644855b83b6c8038b4add1"/>
      <Part Type="punktas" Nr="2" Abbr="2 p." DocPartId="a451283b35c543f192f3de0248ffe453" PartId="addb8776de7649828f57f213e6b1aa78"/>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9c041bc4bb1741619fb087cb30648a4e"/>
        <Part Type="papunktis" Nr="3.2" Abbr="3.2 pp." DocPartId="c9800f0f08d2467ab23b8011e644d871" PartId="f82477a8619b46f981d3178d11d50eb6"/>
        <Part Type="papunktis" Nr="3.3" Abbr="3.3 pp." DocPartId="393a5abe71734f599b1e8d887b85cd98" PartId="30585e4124fd4bcfa96b263cada739cf"/>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7a6b86c9fe7546a7a623ce04234af358"/>
      <Part Type="punktas" Nr="6" Abbr="6 p." DocPartId="a45bd44e430b407eaf6ccbc97c29671a" PartId="ce295e1ad0bc450d8edc1872420b76d8">
        <Part Type="papunktis" Nr="6.1. " Abbr="6.1.  pp." DocPartId="4b6f79bb806c4af79b4c1389dff2cfb5" PartId="89df4bd200484732940945cf0e53b4e7"/>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4e8d0f84813046cb9091e486f8e3c157"/>
          <Part Type="papunktis" Nr="6.6.4" Abbr="6.6.4 pp." DocPartId="7049406aed2d496aa58ece38031be3da" PartId="ca21915ec5f54bffa0c2b7d830d272d3"/>
        </Part>
      </Part>
      <Part Type="punktas" Nr="7." Abbr="7. p." DocPartId="e9ea14146709485d8b36805ebf445be6" PartId="93a32ba710a649aa848329d53463bd4d"/>
      <Part Type="punktas" Nr="8." Abbr="8. p." DocPartId="171caecb58e24db28eba7e59438ac8da" PartId="7f55c80553d44146bc7f19d557d38d26"/>
      <Part Type="punktas" Nr="9" Abbr="9 p." DocPartId="b47f306b706342b1ab5d6b1c76a0f40d" PartId="1ba335dc6d8642f28d314c47fd57ac0a"/>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9805b08662a842d78f4c4d070fe73e4c"/>
      <Part Type="punktas" Nr="15" Abbr="15 p." DocPartId="94743467890a48f28b2993efb97bb549" PartId="d0a97184162f4233bc721ef30aecbc56"/>
      <Part Type="punktas" Nr="16" Abbr="16 p." DocPartId="f51d7a991b9d4a10b503eb732e224fd4" PartId="387010ceb4fe4522a4b1779a4ad9019e"/>
      <Part Type="punktas" Nr="17" Abbr="17 p." DocPartId="8d000b31c2484ee2ba9a8016009dcd59" PartId="607bb8bc6e3647a6ba5166259ae25c2a"/>
    </Part>
    <Part Type="pabaiga" DocPartId="02a37902d7ea4d4fb78e1f848aaddcdd" PartId="e5ad03be028142f1b2c8f26ed66b53e2"/>
  </Part>
  <Part Type="priedas" Nr="1" Abbr="1 pr." Title="BAZINIS GRUPĖS MOKINIŲ SKAIČIUS" DocPartId="069c462acdb24da69308bd6619df58ef" PartId="1b899e76d29d49299388411bce08f3e8"/>
  <Part Type="priedas" Nr="2" Abbr="2 pr." Title="MOKYMO PRIEMONIŲ, TENKANČIŲ VIENAM MOKYMOSI KREDITUI, BRANGUMO KOEFICIENTAI" DocPartId="bd873947ad244237bc606e1e3b88cb86" PartId="9ddeb817893142cb86effa8b8690ff80">
    <Part Type="pabaiga" DocPartId="a74f65d099174edd92a69cf4407b7d20" PartId="a3be84f21c38443b8797916ff8206843"/>
  </Part>
</Parts>
</file>

<file path=customXml/itemProps1.xml><?xml version="1.0" encoding="utf-8"?>
<ds:datastoreItem xmlns:ds="http://schemas.openxmlformats.org/officeDocument/2006/customXml" ds:itemID="{8B553FD9-B250-471D-B143-BE673C79714C}">
  <ds:schemaRefs>
    <ds:schemaRef ds:uri="http://lrs.lt/TAIS/DocParts"/>
  </ds:schemaRefs>
</ds:datastoreItem>
</file>

<file path=docProps/app.xml><?xml version="1.0" encoding="utf-8"?>
<Properties xmlns="http://schemas.openxmlformats.org/officeDocument/2006/extended-properties">
  <Template>Normal.dotm</Template>
  <TotalTime>14</TotalTime>
  <Pages>9</Pages>
  <Words>2396</Words>
  <Characters>17126</Characters>
  <Application>Microsoft Office Word</Application>
  <DocSecurity>0</DocSecurity>
  <Lines>142</Lines>
  <Paragraphs>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19484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TAMALIŪNIENĖ Vilija</lastModifiedBy>
  <lastPrinted>2017-06-01T05:28:00Z</lastPrinted>
  <dcterms:modified xsi:type="dcterms:W3CDTF">2024-08-26T08:33:00Z</dcterms:modified>
  <revision>18</revision>
</coreProperties>
</file>