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54aec3d3079e4e89a0de0d523676b6fa"/>
        <w:lock w:val="sdtLocked"/>
        <w:richText/>
      </w:sdtPr>
      <w:sdtContent>
        <w:p>
          <w:pPr>
            <w:jc w:val="both"/>
            <w:rPr>
              <w:rFonts w:ascii="Times New Roman" w:hAnsi="Times New Roman"/>
            </w:rPr>
          </w:pPr>
          <w:r>
            <w:rPr>
              <w:rFonts w:ascii="Times New Roman" w:hAnsi="Times New Roman"/>
              <w:b/>
              <w:i/>
            </w:rPr>
            <w:t>Suvestinė redakcija nuo 2021-09-01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profesinio mokymo įstaigų vykdomas programas), metodikos patvirtinimo</w:t>
          </w:r>
        </w:p>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7814fc3b478418fa60b95ab818945b4"/>
            <w:lock w:val="sdtLocked"/>
            <w:richText/>
          </w:sdtPr>
          <w:sdtContent>
            <w:p>
              <w:pPr>
                <w:ind w:firstLine="720"/>
                <w:jc w:val="both"/>
                <w:rPr>
                  <w:szCs w:val="24"/>
                  <w:lang w:eastAsia="lt-LT"/>
                </w:rPr>
              </w:pPr>
              <w:sdt>
                <w:sdtPr>
                  <w:alias w:val="Numeris"/>
                  <w:tag w:val="nr_d7814fc3b478418fa60b95ab818945b4"/>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pataisos pareigūnų profesinio mokymo ir vidaus reikalų profesinio mokymo įstaigų vykdomas programas), metodiką (pridedama).</w:t>
              </w:r>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cfc5cfca96874d45ac296fccc378efa6"/>
            <w:lock w:val="sdtLocked"/>
            <w:richText/>
          </w:sdtPr>
          <w:sdtContent>
            <w:p>
              <w:pPr>
                <w:ind w:firstLine="720"/>
                <w:jc w:val="both"/>
                <w:rPr>
                  <w:lang w:eastAsia="lt-LT"/>
                </w:rPr>
              </w:pPr>
              <w:sdt>
                <w:sdtPr>
                  <w:alias w:val="Numeris"/>
                  <w:tag w:val="nr_cfc5cfca96874d45ac296fccc378efa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pataisos pareigūnų profesinio mokymo ir vidaus reikalų profesinio mokymo įstaigų vykdomas programas).</w:t>
              </w:r>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46e33edb1d6b450e8642c3a5275fbc15"/>
        <w:lock w:val="sdtLocked"/>
        <w:richText/>
      </w:sdtPr>
      <w:sdtContent>
        <w:p>
          <w:pPr>
            <w:ind w:left="504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46e33edb1d6b450e8642c3a5275fbc15"/>
              <w:lock w:val="sdtLocked"/>
              <w:richText/>
            </w:sdtPr>
            <w:sdtContent>
              <w:r>
                <w:rPr>
                  <w:b/>
                  <w:caps/>
                  <w:kern w:val="2"/>
                  <w:szCs w:val="24"/>
                </w:rPr>
                <w:t xml:space="preserve">Profesinio mokymo lėšų skaičiavimo vienam mokiniui, kuris mokosi pagal formaliojo profesinio mokymo programą (išskyrus </w:t>
              </w:r>
              <w:r>
                <w:rPr>
                  <w:b/>
                  <w:caps/>
                  <w:szCs w:val="24"/>
                  <w:lang w:eastAsia="lt-LT"/>
                </w:rPr>
                <w:t>pataisos pareigūnų profesinio mokymo ir</w:t>
              </w:r>
              <w:r>
                <w:rPr>
                  <w:b/>
                  <w:caps/>
                  <w:kern w:val="2"/>
                  <w:szCs w:val="24"/>
                </w:rPr>
                <w:t xml:space="preserve"> vidaus reikalų profesinio mokymo įstaigų vykdomas programas), metodika</w:t>
              </w:r>
            </w:sdtContent>
          </w:sdt>
        </w:p>
        <w:p>
          <w:pPr>
            <w:tabs>
              <w:tab w:val="left" w:pos="6237"/>
            </w:tabs>
            <w:jc w:val="center"/>
            <w:rPr>
              <w:lang w:eastAsia="lt-LT"/>
            </w:rPr>
          </w:pPr>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20c093bf4f254dda996a458e1a21b9b7"/>
                <w:lock w:val="sdtLocked"/>
                <w:richText/>
              </w:sdtPr>
              <w:sdtContent>
                <w:p>
                  <w:pPr>
                    <w:ind w:firstLine="720"/>
                    <w:jc w:val="both"/>
                    <w:rPr>
                      <w:szCs w:val="24"/>
                      <w:lang w:eastAsia="lt-LT"/>
                    </w:rPr>
                  </w:pPr>
                  <w:sdt>
                    <w:sdtPr>
                      <w:alias w:val="Numeris"/>
                      <w:tag w:val="nr_20c093bf4f254dda996a458e1a21b9b7"/>
                      <w:lock w:val="sdtLocked"/>
                      <w:richText/>
                    </w:sdtPr>
                    <w:sdtContent>
                      <w:r>
                        <w:rPr>
                          <w:szCs w:val="24"/>
                        </w:rPr>
                        <w:t>1</w:t>
                      </w:r>
                    </w:sdtContent>
                  </w:sdt>
                  <w:r>
                    <w:rPr>
                      <w:szCs w:val="24"/>
                    </w:rPr>
                    <w:t xml:space="preserve">. </w:t>
                  </w:r>
                  <w:r>
                    <w:rPr>
                      <w:szCs w:val="24"/>
                      <w:lang w:eastAsia="lt-LT"/>
                    </w:rPr>
                    <w:t xml:space="preserve">Profesinio mokymo lėšų skaičiavimo vienam mokiniui, kuris mokosi pagal formaliojo profesinio mokymo programą (išskyrus pataisos pareigūnų profesinio mokymo ir vidaus reikalų profesinio mokymo įstaigų vykdomas programas), metodika (toliau – Metodika) reglamentuoja profesinio mokymo lėšų apskaičiavimą vienam mokiniui, kuris mokosi pagal formaliojo profesinio mokymo programą arba jos dalį, išskyrus pataisos pareigūnų profesinio mokymo ir vidaus reikalų profesinio mokymo įstaigų vykdomas programas (toliau – mokinys). Ji taikoma, skiriant mokymo lėšų formaliajam profesiniam mokymui </w:t>
                  </w:r>
                  <w:r>
                    <w:t xml:space="preserve">iš Lietuvos Respublikos valstybės biudžeto (toliau – valstybės biudžetas), </w:t>
                  </w:r>
                  <w:r>
                    <w:rPr>
                      <w:szCs w:val="24"/>
                    </w:rPr>
                    <w:t>valstybės biudžeto specialiųjų tikslinių dotacijų savivaldybių biudžetams,</w:t>
                  </w:r>
                  <w:r>
                    <w:rPr>
                      <w:bCs/>
                      <w:szCs w:val="24"/>
                    </w:rPr>
                    <w:t xml:space="preserve"> </w:t>
                  </w:r>
                  <w:r>
                    <w:rPr>
                      <w:szCs w:val="24"/>
                    </w:rPr>
                    <w:t>Europos Sąjungos struktūrinių fondų, darbdavių ir (ar) kitų lėšų.</w:t>
                  </w:r>
                  <w:r>
                    <w:rPr>
                      <w:szCs w:val="24"/>
                      <w:lang w:eastAsia="lt-LT"/>
                    </w:rPr>
                    <w:t xml:space="preserve"> </w:t>
                  </w:r>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cdf6b62dbe584289920c5c2ca8194cb9"/>
                    <w:lock w:val="sdtLocked"/>
                    <w:richText/>
                  </w:sdtPr>
                  <w:sdtContent>
                    <w:p>
                      <w:pPr>
                        <w:ind w:firstLine="720"/>
                        <w:jc w:val="both"/>
                      </w:pPr>
                      <w:sdt>
                        <w:sdtPr>
                          <w:alias w:val="Numeris"/>
                          <w:tag w:val="nr_cdf6b62dbe584289920c5c2ca8194cb9"/>
                          <w:lock w:val="sdtLocked"/>
                          <w:richText/>
                        </w:sdtPr>
                        <w:sdtContent>
                          <w:r>
                            <w:t>3.1</w:t>
                          </w:r>
                        </w:sdtContent>
                      </w:sdt>
                      <w:r>
                        <w:t>. mokytojų, dirbančių pagal formaliojo profesinio mokymo programas (toliau – mokytojai), darbo užmokesčiui, socialinio draudimo įmokoms, įmokoms į Ilgalaikio darbo išmokų fondą ir Garantinį fondą;</w:t>
                      </w:r>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dd5af5cbde8741a6834f880abb83204b"/>
                <w:lock w:val="sdtLocked"/>
                <w:richText/>
              </w:sdtPr>
              <w:sdtContent>
                <w:p>
                  <w:pPr>
                    <w:ind w:firstLine="720"/>
                    <w:jc w:val="both"/>
                  </w:pPr>
                  <w:sdt>
                    <w:sdtPr>
                      <w:alias w:val="Numeris"/>
                      <w:tag w:val="nr_dd5af5cbde8741a6834f880abb83204b"/>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neįgaliųjų socialinės integracijos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 </w:t>
                  </w:r>
                </w:p>
              </w:sdtContent>
            </w:sdt>
            <w:sdt>
              <w:sdtPr>
                <w:alias w:val="6 p."/>
                <w:tag w:val="part_a1ee183da14f4dd8a5e60c833543095d"/>
                <w:lock w:val="sdtLocked"/>
                <w:richText/>
              </w:sdtPr>
              <w:sdtContent>
                <w:p>
                  <w:pPr>
                    <w:ind w:firstLine="720"/>
                    <w:jc w:val="both"/>
                    <w:rPr>
                      <w:szCs w:val="24"/>
                    </w:rPr>
                  </w:pPr>
                  <w:sdt>
                    <w:sdtPr>
                      <w:alias w:val="Numeris"/>
                      <w:tag w:val="nr_a1ee183da14f4dd8a5e60c833543095d"/>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vidutinį sąlyginį mokytojo pareiginės algos pastoviosios dalies koeficientą (R) padauginus iš Lietuvos Respublikos Seimo patvirtinto pareiginės algos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
                  <w:sdtPr>
                    <w:alias w:val="6.1 pp."/>
                    <w:tag w:val="part_df14e962a57f4a1c9cbc6e9f0fe23ef2"/>
                    <w:lock w:val="sdtLocked"/>
                    <w:richText/>
                  </w:sdtPr>
                  <w:sdtContent>
                    <w:p>
                      <w:pPr>
                        <w:ind w:firstLine="720"/>
                        <w:jc w:val="both"/>
                        <w:rPr>
                          <w:szCs w:val="24"/>
                        </w:rPr>
                      </w:pPr>
                      <w:sdt>
                        <w:sdtPr>
                          <w:alias w:val="Numeris"/>
                          <w:tag w:val="nr_df14e962a57f4a1c9cbc6e9f0fe23ef2"/>
                          <w:lock w:val="sdtLocked"/>
                          <w:richText/>
                        </w:sdtPr>
                        <w:sdtContent>
                          <w:r>
                            <w:rPr>
                              <w:color w:val="000000"/>
                              <w:lang w:eastAsia="lt-LT"/>
                            </w:rPr>
                            <w:t>6.1</w:t>
                          </w:r>
                        </w:sdtContent>
                      </w:sdt>
                      <w:r>
                        <w:rPr>
                          <w:color w:val="000000"/>
                          <w:lang w:eastAsia="lt-LT"/>
                        </w:rPr>
                        <w:t>. </w:t>
                      </w:r>
                      <w:r>
                        <w:rPr>
                          <w:szCs w:val="24"/>
                          <w:lang w:eastAsia="lt-LT"/>
                        </w:rPr>
                        <w:t>vidutinis sąlyginis mokytojo pareiginės algos pastoviosios dalies koeficientas (R) yra lygus 7,68;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298bbaeb02704a47b8733e92cbf96a61"/>
                        <w:lock w:val="sdtLocked"/>
                        <w:richText/>
                      </w:sdtPr>
                      <w:sdtContent>
                        <w:p>
                          <w:pPr>
                            <w:ind w:firstLine="720"/>
                            <w:jc w:val="both"/>
                            <w:rPr>
                              <w:szCs w:val="24"/>
                              <w:lang w:eastAsia="lt-LT"/>
                            </w:rPr>
                          </w:pPr>
                          <w:sdt>
                            <w:sdtPr>
                              <w:alias w:val="Numeris"/>
                              <w:tag w:val="nr_298bbaeb02704a47b8733e92cbf96a61"/>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Content>
                </w:sdt>
              </w:sdtContent>
            </w:sdt>
            <w:sdt>
              <w:sdtPr>
                <w:alias w:val="7 p."/>
                <w:tag w:val="part_d9bcef1190ee4242a1f84b8a73aa3f18"/>
                <w:lock w:val="sdtLocked"/>
                <w:richText/>
              </w:sdtPr>
              <w:sdtContent>
                <w:p>
                  <w:pPr>
                    <w:ind w:firstLine="720"/>
                    <w:jc w:val="both"/>
                    <w:rPr>
                      <w:szCs w:val="24"/>
                      <w:lang w:eastAsia="lt-LT"/>
                    </w:rPr>
                  </w:pPr>
                  <w:sdt>
                    <w:sdtPr>
                      <w:alias w:val="Numeris"/>
                      <w:tag w:val="nr_d9bcef1190ee4242a1f84b8a73aa3f18"/>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0,0259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sdtContent>
            </w:sdt>
            <w:sdt>
              <w:sdtPr>
                <w:alias w:val="8 p."/>
                <w:tag w:val="part_93cd7ad8ccce4502b369202494543745"/>
                <w:lock w:val="sdtLocked"/>
                <w:richText/>
              </w:sdtPr>
              <w:sdtContent>
                <w:p>
                  <w:pPr>
                    <w:ind w:firstLine="720"/>
                    <w:jc w:val="both"/>
                    <w:rPr>
                      <w:szCs w:val="24"/>
                      <w:lang w:eastAsia="lt-LT"/>
                    </w:rPr>
                  </w:pPr>
                  <w:sdt>
                    <w:sdtPr>
                      <w:alias w:val="Numeris"/>
                      <w:tag w:val="nr_93cd7ad8ccce4502b369202494543745"/>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0,0066 BD, o </w:t>
                  </w:r>
                  <w:r>
                    <w:rPr>
                      <w:lang w:eastAsia="lt-LT"/>
                    </w:rPr>
                    <w:t>tais atvejais, kai mokinys dėl įgimtų arba įgytų sutrikimų turi vidutinių specialiųjų ugdymosi poreikių, šios lėšos didinamos 5 procentais, didelių arba labai didelių specialiųjų ugdymosi poreikių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sdtContent>
            </w:sdt>
            <w:sdt>
              <w:sdtPr>
                <w:alias w:val="9 p."/>
                <w:tag w:val="part_043a8ed6afc74f9ca108cb4566fcb0b4"/>
                <w:lock w:val="sdtLocked"/>
                <w:richText/>
              </w:sdtPr>
              <w:sdtContent>
                <w:p>
                  <w:pPr>
                    <w:ind w:firstLine="720"/>
                    <w:jc w:val="both"/>
                    <w:rPr>
                      <w:szCs w:val="24"/>
                      <w:lang w:eastAsia="lt-LT"/>
                    </w:rPr>
                  </w:pPr>
                  <w:sdt>
                    <w:sdtPr>
                      <w:alias w:val="Numeris"/>
                      <w:tag w:val="nr_043a8ed6afc74f9ca108cb4566fcb0b4"/>
                      <w:lock w:val="sdtLocked"/>
                      <w:richText/>
                    </w:sdtPr>
                    <w:sdtContent>
                      <w:r>
                        <w:rPr>
                          <w:szCs w:val="24"/>
                          <w:lang w:eastAsia="lt-LT"/>
                        </w:rPr>
                        <w:t>9</w:t>
                      </w:r>
                    </w:sdtContent>
                  </w:sdt>
                  <w:r>
                    <w:rPr>
                      <w:szCs w:val="24"/>
                      <w:lang w:eastAsia="lt-LT"/>
                    </w:rPr>
                    <w:t xml:space="preserve">. Lėšos mokytojų ir kitų ugdymo procese dalyvaujančių asmenų kvalifikacijai tobulinti, tenkančios vienam mokymosi kreditui, sudaro 0,0003 BD. </w:t>
                  </w:r>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b25def82d6c47d780b35c824a4610df"/>
                <w:lock w:val="sdtLocked"/>
                <w:richText/>
              </w:sdtPr>
              <w:sdtContent>
                <w:p>
                  <w:pPr>
                    <w:ind w:firstLine="720"/>
                    <w:jc w:val="both"/>
                    <w:rPr>
                      <w:szCs w:val="24"/>
                      <w:lang w:eastAsia="lt-LT"/>
                    </w:rPr>
                  </w:pPr>
                  <w:sdt>
                    <w:sdtPr>
                      <w:alias w:val="Numeris"/>
                      <w:tag w:val="nr_9b25def82d6c47d780b35c824a4610df"/>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pagal faktinį mokinių, besimokančių valstybės finansuojamose vietose, skaičių tų kalendorinių metų kovo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f44a3cb7cd7c481f85c3532ae3f28015"/>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 xml:space="preserve">Profesinio mokymo lėšų skaičiavimo </w:t>
          </w:r>
        </w:p>
        <w:p>
          <w:pPr>
            <w:ind w:left="5245"/>
            <w:rPr>
              <w:szCs w:val="24"/>
              <w:lang w:eastAsia="lt-LT"/>
            </w:rPr>
          </w:pPr>
          <w:r>
            <w:rPr>
              <w:szCs w:val="24"/>
              <w:lang w:eastAsia="lt-LT"/>
            </w:rPr>
            <w:t xml:space="preserve">vienam mokiniui, kuris mokosi pagal </w:t>
          </w:r>
        </w:p>
        <w:p>
          <w:pPr>
            <w:ind w:left="5245"/>
            <w:rPr>
              <w:szCs w:val="24"/>
              <w:lang w:eastAsia="lt-LT"/>
            </w:rPr>
          </w:pPr>
          <w:r>
            <w:rPr>
              <w:szCs w:val="24"/>
              <w:lang w:eastAsia="lt-LT"/>
            </w:rPr>
            <w:t xml:space="preserve">formaliojo profesinio mokymo </w:t>
          </w:r>
        </w:p>
        <w:p>
          <w:pPr>
            <w:ind w:left="5245"/>
            <w:rPr>
              <w:szCs w:val="24"/>
              <w:lang w:eastAsia="lt-LT"/>
            </w:rPr>
          </w:pPr>
          <w:r>
            <w:rPr>
              <w:szCs w:val="24"/>
              <w:lang w:eastAsia="lt-LT"/>
            </w:rPr>
            <w:t xml:space="preserve">programą (išskyrus pataisos pareigūnų </w:t>
          </w:r>
        </w:p>
        <w:p>
          <w:pPr>
            <w:ind w:left="5245"/>
            <w:rPr>
              <w:szCs w:val="24"/>
              <w:lang w:eastAsia="lt-LT"/>
            </w:rPr>
          </w:pPr>
          <w:r>
            <w:rPr>
              <w:szCs w:val="24"/>
              <w:lang w:eastAsia="lt-LT"/>
            </w:rPr>
            <w:t xml:space="preserve">profesinio mokymo ir vidaus reikalų </w:t>
          </w:r>
        </w:p>
        <w:p>
          <w:pPr>
            <w:ind w:left="5245"/>
            <w:rPr>
              <w:szCs w:val="24"/>
              <w:lang w:eastAsia="lt-LT"/>
            </w:rPr>
          </w:pPr>
          <w:r>
            <w:rPr>
              <w:szCs w:val="24"/>
              <w:lang w:eastAsia="lt-LT"/>
            </w:rPr>
            <w:t xml:space="preserve">profesinio mokymo įstaigų vykdomas </w:t>
          </w:r>
        </w:p>
        <w:p>
          <w:pPr>
            <w:ind w:left="5245"/>
            <w:rPr>
              <w:szCs w:val="24"/>
              <w:lang w:eastAsia="lt-LT"/>
            </w:rPr>
          </w:pPr>
          <w:r>
            <w:rPr>
              <w:szCs w:val="24"/>
              <w:lang w:eastAsia="lt-LT"/>
            </w:rPr>
            <w:t>programas), metodikos</w:t>
          </w:r>
        </w:p>
        <w:p>
          <w:pPr>
            <w:ind w:left="5245"/>
            <w:rPr>
              <w:szCs w:val="24"/>
              <w:lang w:eastAsia="lt-LT"/>
            </w:rPr>
          </w:pPr>
          <w:sdt>
            <w:sdtPr>
              <w:alias w:val="Numeris"/>
              <w:tag w:val="nr_f44a3cb7cd7c481f85c3532ae3f28015"/>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f44a3cb7cd7c481f85c3532ae3f28015"/>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sdtContent>
    </w:sdt>
    <w:sdt>
      <w:sdtPr>
        <w:alias w:val="2 pr."/>
        <w:tag w:val="part_53a63a01301740dc866ecc7556c4b003"/>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pataisos pareigūnų profesinio mokymo ir vidaus reikalų profesinio mokymo įstaigų vykdomas programas), metodikos</w:t>
          </w:r>
        </w:p>
        <w:p>
          <w:pPr>
            <w:ind w:left="5245"/>
            <w:rPr>
              <w:szCs w:val="24"/>
              <w:lang w:eastAsia="lt-LT"/>
            </w:rPr>
          </w:pPr>
          <w:sdt>
            <w:sdtPr>
              <w:alias w:val="Numeris"/>
              <w:tag w:val="nr_53a63a01301740dc866ecc7556c4b003"/>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53a63a01301740dc866ecc7556c4b003"/>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rPr>
              <w:trHeight w:val="620"/>
              <w:tblHeader/>
            </w:trPr>
            <w:tc>
              <w:tcPr>
                <w:tcW w:w="509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baziniais dydžiais)</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93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0,0245</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0,0245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bl>
        <w:p>
          <w:pPr>
            <w:jc w:val="both"/>
            <w:rPr>
              <w:szCs w:val="24"/>
              <w:lang w:eastAsia="lt-LT"/>
            </w:rPr>
          </w:pPr>
        </w:p>
        <w:p>
          <w:pPr>
            <w:jc w:val="center"/>
            <w:rPr>
              <w:lang w:eastAsia="lt-LT"/>
            </w:rPr>
          </w:pPr>
          <w:r>
            <w:t>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54aec3d3079e4e89a0de0d523676b6fa">
    <Part Type="preambule" DocPartId="50927025b27844059c88cd22111610d1" PartId="267e8b8290504a8c89e8a27ed73688bf"/>
    <Part Type="punktas" Nr="1" Abbr="1 p." DocPartId="3923e784870246b4be552257969a994f" PartId="d7814fc3b478418fa60b95ab818945b4"/>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cfc5cfca96874d45ac296fccc378efa6"/>
    <Part Type="signatura" DocPartId="01b72f5238bd4de2924d890e6864ed1c" PartId="fc943493df0d45ef9b32450909eb6142"/>
  </Part>
  <Part Type="patvirtinta" Title="PROFESINIO MOKYMO LĖŠŲ SKAIČIAVIMO VIENAM MOKINIUI, KURIS MOKOSI PAGAL FORMALIOJO PROFESINIO MOKYMO PROGRAMĄ (IŠSKYRUS PATAISOS PAREIGŪNŲ PROFESINIO MOKYMO IR VIDAUS REIKALŲ PROFESINIO MOKYMO ĮSTAIGŲ VYKDOMAS PROGRAMAS), METODIKA" DocPartId="ce44026c05a94cd4b05116a566cb971a" PartId="46e33edb1d6b450e8642c3a5275fbc15">
    <Part Type="skyrius" Nr="1" Title="BENDROSIOS NUOSTATOS" DocPartId="2f64875c7eca49d680450e5943062453" PartId="3307659ac78a45fb8ad7bf7a06999c02">
      <Part Type="punktas" Nr="1" Abbr="1 p." DocPartId="9d112803b8e94916b1333a0d33e9cc3c" PartId="20c093bf4f254dda996a458e1a21b9b7"/>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cdf6b62dbe584289920c5c2ca8194cb9"/>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dd5af5cbde8741a6834f880abb83204b"/>
      <Part Type="punktas" Nr="6" Abbr="6 p." DocPartId="a45bd44e430b407eaf6ccbc97c29671a" PartId="a1ee183da14f4dd8a5e60c833543095d">
        <Part Type="papunktis" Nr="6.1" Abbr="6.1 pp." DocPartId="4b6f79bb806c4af79b4c1389dff2cfb5" PartId="df14e962a57f4a1c9cbc6e9f0fe23ef2"/>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298bbaeb02704a47b8733e92cbf96a61"/>
        </Part>
      </Part>
      <Part Type="punktas" Nr="7" Abbr="7 p." DocPartId="e9ea14146709485d8b36805ebf445be6" PartId="d9bcef1190ee4242a1f84b8a73aa3f18"/>
      <Part Type="punktas" Nr="8" Abbr="8 p." DocPartId="171caecb58e24db28eba7e59438ac8da" PartId="93cd7ad8ccce4502b369202494543745"/>
      <Part Type="punktas" Nr="9" Abbr="9 p." DocPartId="b47f306b706342b1ab5d6b1c76a0f40d" PartId="043a8ed6afc74f9ca108cb4566fcb0b4"/>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b25def82d6c47d780b35c824a4610df"/>
      <Part Type="punktas" Nr="15" Abbr="15 p." DocPartId="94743467890a48f28b2993efb97bb549" PartId="d0a97184162f4233bc721ef30aecbc56"/>
      <Part Type="punktas" Nr="16" Abbr="16 p." DocPartId="f51d7a991b9d4a10b503eb732e224fd4" PartId="387010ceb4fe4522a4b1779a4ad9019e"/>
    </Part>
    <Part Type="pabaiga" DocPartId="02a37902d7ea4d4fb78e1f848aaddcdd" PartId="e5ad03be028142f1b2c8f26ed66b53e2"/>
  </Part>
  <Part Type="priedas" Nr="1" Abbr="1 pr." Title="BAZINIS GRUPĖS MOKINIŲ SKAIČIUS" DocPartId="069c462acdb24da69308bd6619df58ef" PartId="f44a3cb7cd7c481f85c3532ae3f28015"/>
  <Part Type="priedas" Nr="2" Abbr="2 pr." Title="MOKYMO PRIEMONIŲ, TENKANČIŲ VIENAM MOKYMOSI KREDITUI, BRANGUMO KOEFICIENTAI" DocPartId="bd873947ad244237bc606e1e3b88cb86" PartId="53a63a01301740dc866ecc7556c4b003"/>
</Parts>
</file>

<file path=customXml/itemProps1.xml><?xml version="1.0" encoding="utf-8"?>
<ds:datastoreItem xmlns:ds="http://schemas.openxmlformats.org/officeDocument/2006/customXml" ds:itemID="{821FB736-0657-42FA-9542-F3619BAD3C7F}">
  <ds:schemaRefs>
    <ds:schemaRef ds:uri="http://lrs.lt/TAIS/DocParts"/>
  </ds:schemaRefs>
</ds:datastoreItem>
</file>

<file path=docProps/app.xml><?xml version="1.0" encoding="utf-8"?>
<Properties xmlns="http://schemas.openxmlformats.org/officeDocument/2006/extended-properties">
  <Template>Normal.dotm</Template>
  <TotalTime>5</TotalTime>
  <Pages>8</Pages>
  <Words>2033</Words>
  <Characters>14589</Characters>
  <Application>Microsoft Office Word</Application>
  <DocSecurity>0</DocSecurity>
  <Lines>121</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16589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BODIN Aušra</lastModifiedBy>
  <lastPrinted>2017-06-01T05:28:00Z</lastPrinted>
  <dcterms:modified xsi:type="dcterms:W3CDTF">2021-08-20T08:11:00Z</dcterms:modified>
  <revision>11</revision>
</coreProperties>
</file>