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9efa6a1d414ac8a8426253adb49f35"/>
        <w:lock w:val="sdtLocked"/>
        <w:richText/>
      </w:sdtPr>
      <w:sdtContent>
        <w:p>
          <w:pPr>
            <w:jc w:val="both"/>
            <w:rPr>
              <w:rFonts w:ascii="Times New Roman" w:hAnsi="Times New Roman"/>
            </w:rPr>
          </w:pPr>
          <w:r>
            <w:rPr>
              <w:rFonts w:ascii="Times New Roman" w:hAnsi="Times New Roman"/>
              <w:b/>
              <w:i/>
            </w:rPr>
            <w:t>Suvestinė redakcija nuo 2023-09-27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2023-07-17, i. k. 2023-14656</w:t>
          </w:r>
        </w:p>
        <w:p>
          <w:pPr>
            <w:jc w:val="both"/>
            <w:rPr>
              <w:rFonts w:ascii="Times New Roman" w:hAnsi="Times New Roman"/>
              <w:sz w:val="20"/>
            </w:rPr>
          </w:pPr>
        </w:p>
        <w:p>
          <w:pPr>
            <w:tabs>
              <w:tab w:val="center" w:pos="4819"/>
              <w:tab w:val="right" w:pos="9638"/>
            </w:tabs>
            <w:rPr>
              <w:rFonts w:ascii="TimesLT" w:hAnsi="TimesLT"/>
              <w:sz w:val="20"/>
              <w:lang w:val="en-GB"/>
            </w:rPr>
          </w:pPr>
        </w:p>
        <w:p>
          <w:pPr>
            <w:tabs>
              <w:tab w:val="center" w:pos="4819"/>
              <w:tab w:val="left" w:pos="6521"/>
              <w:tab w:val="right" w:pos="9638"/>
            </w:tabs>
            <w:jc w:val="center"/>
            <w:rPr>
              <w:b/>
              <w:szCs w:val="24"/>
            </w:rPr>
          </w:pPr>
          <w:r>
            <w:rPr>
              <w:lang w:eastAsia="lt-LT"/>
            </w:rPr>
            <w:drawing>
              <wp:inline distT="0" distB="0" distL="0" distR="0">
                <wp:extent cx="552450" cy="561975"/>
                <wp:effectExtent l="0" t="0" r="0" b="9525"/>
                <wp:docPr id="3"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eskizas, piešimas, iliustracija, simbolis  Automatiškai sugeneruotas aprašymas"/>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color w:val="000000"/>
              <w:szCs w:val="24"/>
              <w:lang w:eastAsia="lt-LT"/>
            </w:rPr>
          </w:pPr>
          <w:r>
            <w:rPr>
              <w:b/>
              <w:szCs w:val="24"/>
            </w:rPr>
            <w:t xml:space="preserve">DĖL </w:t>
          </w:r>
          <w:r>
            <w:rPr>
              <w:b/>
              <w:bCs/>
              <w:caps/>
              <w:color w:val="000000"/>
              <w:szCs w:val="24"/>
              <w:lang w:eastAsia="lt-LT"/>
            </w:rPr>
            <w:t>LIETUVOS RESPUBLIKOS SOCIALINĖS APSAUGOS IR DARBO MINISTRO</w:t>
          </w:r>
        </w:p>
        <w:p>
          <w:pPr>
            <w:jc w:val="center"/>
            <w:rPr>
              <w:color w:val="000000"/>
              <w:szCs w:val="24"/>
              <w:lang w:eastAsia="lt-LT"/>
            </w:rPr>
          </w:pPr>
          <w:r>
            <w:rPr>
              <w:b/>
              <w:bCs/>
              <w:caps/>
              <w:color w:val="000000"/>
              <w:szCs w:val="24"/>
              <w:lang w:eastAsia="lt-LT"/>
            </w:rPr>
            <w:t>2006 M. BALANDŽIO 5 D. ĮSAKYMO NR. A1-93 „DĖL SOCIALINIŲ PASLAUGŲ KATALOGO PATVIRTINIMO“ PAKEITIMO</w:t>
          </w:r>
        </w:p>
        <w:p>
          <w:pPr>
            <w:jc w:val="center"/>
            <w:rPr>
              <w:bCs/>
              <w:caps/>
              <w:szCs w:val="24"/>
            </w:rPr>
          </w:pPr>
        </w:p>
        <w:p>
          <w:pPr>
            <w:jc w:val="center"/>
            <w:rPr>
              <w:bCs/>
              <w:szCs w:val="24"/>
            </w:rPr>
          </w:pPr>
          <w:r>
            <w:rPr>
              <w:bCs/>
              <w:szCs w:val="24"/>
            </w:rPr>
            <w:t>2023 m. liepos 17 d. Nr. A1-463</w:t>
          </w:r>
        </w:p>
        <w:p>
          <w:pPr>
            <w:jc w:val="center"/>
            <w:rPr>
              <w:bCs/>
              <w:szCs w:val="24"/>
            </w:rPr>
          </w:pPr>
          <w:r>
            <w:rPr>
              <w:bCs/>
              <w:szCs w:val="24"/>
            </w:rPr>
            <w:t>Vilnius</w:t>
          </w:r>
        </w:p>
        <w:p>
          <w:pPr>
            <w:jc w:val="center"/>
            <w:rPr>
              <w:bCs/>
              <w:szCs w:val="24"/>
            </w:rPr>
          </w:pPr>
        </w:p>
        <w:p>
          <w:pPr>
            <w:jc w:val="center"/>
            <w:rPr>
              <w:bCs/>
              <w:szCs w:val="24"/>
            </w:rPr>
          </w:pPr>
        </w:p>
        <w:sdt>
          <w:sdtPr>
            <w:alias w:val="1 p."/>
            <w:tag w:val="part_28c5b21d62d546d69b14a3b6ea796614"/>
            <w:lock w:val="sdtLocked"/>
            <w:richText/>
          </w:sdtPr>
          <w:sdtContent>
            <w:p>
              <w:pPr>
                <w:spacing w:line="276" w:lineRule="auto"/>
                <w:ind w:firstLine="709"/>
                <w:jc w:val="both"/>
                <w:rPr>
                  <w:color w:val="000000"/>
                  <w:szCs w:val="24"/>
                </w:rPr>
              </w:pPr>
              <w:sdt>
                <w:sdtPr>
                  <w:alias w:val="Numeris"/>
                  <w:tag w:val="nr_28c5b21d62d546d69b14a3b6ea796614"/>
                  <w:lock w:val="sdtLocked"/>
                  <w:richText/>
                </w:sdtPr>
                <w:sdtContent>
                  <w:r>
                    <w:rPr>
                      <w:bCs/>
                      <w:szCs w:val="24"/>
                    </w:rPr>
                    <w:t>1</w:t>
                  </w:r>
                </w:sdtContent>
              </w:sdt>
              <w:r>
                <w:rPr>
                  <w:bCs/>
                  <w:szCs w:val="24"/>
                </w:rPr>
                <w:t xml:space="preserve">. </w:t>
              </w:r>
              <w:r>
                <w:rPr>
                  <w:spacing w:val="100"/>
                  <w:szCs w:val="24"/>
                </w:rPr>
                <w:t>Pakeičiu</w:t>
              </w:r>
              <w:r>
                <w:rPr>
                  <w:bCs/>
                  <w:szCs w:val="24"/>
                </w:rPr>
                <w:t xml:space="preserve"> </w:t>
              </w:r>
              <w:r>
                <w:rPr>
                  <w:color w:val="000000"/>
                  <w:szCs w:val="24"/>
                </w:rPr>
                <w:t>Socialinių paslaugų katalogą, patvirtintą</w:t>
              </w:r>
              <w:r>
                <w:rPr>
                  <w:bCs/>
                  <w:szCs w:val="24"/>
                </w:rPr>
                <w:t xml:space="preserve"> </w:t>
              </w:r>
              <w:r>
                <w:rPr>
                  <w:color w:val="000000"/>
                  <w:szCs w:val="24"/>
                </w:rPr>
                <w:t>Lietuvos Respublikos socialinės apsaugos ir darbo ministro 2006 m. balandžio 5 d. įsakymu Nr. A1-93 „Dėl Socialinių paslaugų katalogo patvirtinimo“:</w:t>
              </w:r>
            </w:p>
            <w:sdt>
              <w:sdtPr>
                <w:alias w:val="1.1 pp."/>
                <w:tag w:val="part_202744efc3b849e982f34b2a20bd4d6c"/>
                <w:lock w:val="sdtLocked"/>
                <w:richText/>
              </w:sdtPr>
              <w:sdtContent>
                <w:p>
                  <w:pPr>
                    <w:spacing w:line="276" w:lineRule="auto"/>
                    <w:ind w:firstLine="709"/>
                    <w:jc w:val="both"/>
                    <w:rPr>
                      <w:color w:val="000000"/>
                      <w:szCs w:val="24"/>
                    </w:rPr>
                  </w:pPr>
                  <w:sdt>
                    <w:sdtPr>
                      <w:alias w:val="Numeris"/>
                      <w:tag w:val="nr_202744efc3b849e982f34b2a20bd4d6c"/>
                      <w:lock w:val="sdtLocked"/>
                      <w:richText/>
                    </w:sdtPr>
                    <w:sdtContent>
                      <w:r>
                        <w:rPr>
                          <w:color w:val="000000"/>
                          <w:szCs w:val="24"/>
                        </w:rPr>
                        <w:t>1.1</w:t>
                      </w:r>
                    </w:sdtContent>
                  </w:sdt>
                  <w:r>
                    <w:rPr>
                      <w:color w:val="000000"/>
                      <w:szCs w:val="24"/>
                    </w:rPr>
                    <w:t>. Pakeičiu 12.1 papunkčio penktąją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0"/>
                    <w:gridCol w:w="964"/>
                    <w:gridCol w:w="1377"/>
                    <w:gridCol w:w="1843"/>
                    <w:gridCol w:w="4536"/>
                  </w:tblGrid>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3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„Paslaugos sudėtis</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Cs w:val="24"/>
                            <w:lang w:eastAsia="lt-LT"/>
                          </w:rPr>
                        </w:pPr>
                        <w:r>
                          <w:rPr>
                            <w:color w:val="000000"/>
                            <w:szCs w:val="24"/>
                            <w:lang w:eastAsia="lt-LT"/>
                          </w:rPr>
                          <w:t xml:space="preserve">Maitinimo organizavimas (jei maistą pristato tarnybos), maisto produktų, buities priemonių nupirkimas, pristatymas, pagalba ruošiant maistą, </w:t>
                        </w:r>
                      </w:p>
                      <w:p>
                        <w:pPr>
                          <w:jc w:val="both"/>
                          <w:rPr>
                            <w:color w:val="000000"/>
                            <w:szCs w:val="24"/>
                            <w:lang w:eastAsia="lt-LT"/>
                          </w:rPr>
                        </w:pPr>
                        <w:r>
                          <w:rPr>
                            <w:color w:val="000000"/>
                            <w:szCs w:val="24"/>
                            <w:lang w:eastAsia="lt-LT"/>
                          </w:rPr>
                          <w:t xml:space="preserve">pagalba buityje ir namų ruošoje, </w:t>
                        </w:r>
                      </w:p>
                      <w:p>
                        <w:pPr>
                          <w:jc w:val="both"/>
                          <w:rPr>
                            <w:color w:val="000000"/>
                            <w:szCs w:val="24"/>
                            <w:lang w:eastAsia="lt-LT"/>
                          </w:rPr>
                        </w:pPr>
                        <w:r>
                          <w:rPr>
                            <w:color w:val="000000"/>
                            <w:szCs w:val="24"/>
                            <w:lang w:eastAsia="lt-LT"/>
                          </w:rPr>
                          <w:t xml:space="preserve">palydėjimas į įvairias įstaigas, </w:t>
                        </w:r>
                      </w:p>
                      <w:p>
                        <w:pPr>
                          <w:jc w:val="both"/>
                          <w:rPr>
                            <w:color w:val="000000"/>
                            <w:szCs w:val="24"/>
                            <w:lang w:eastAsia="lt-LT"/>
                          </w:rPr>
                        </w:pPr>
                        <w:r>
                          <w:rPr>
                            <w:color w:val="000000"/>
                            <w:szCs w:val="24"/>
                            <w:lang w:eastAsia="lt-LT"/>
                          </w:rPr>
                          <w:t>kasdienė asmens higiena ir priežiūra,</w:t>
                        </w:r>
                      </w:p>
                      <w:p>
                        <w:pPr>
                          <w:jc w:val="both"/>
                          <w:rPr>
                            <w:color w:val="000000"/>
                            <w:szCs w:val="24"/>
                            <w:lang w:eastAsia="lt-LT"/>
                          </w:rPr>
                        </w:pPr>
                        <w:r>
                          <w:rPr>
                            <w:color w:val="000000"/>
                            <w:szCs w:val="24"/>
                            <w:lang w:eastAsia="lt-LT"/>
                          </w:rPr>
                          <w:t xml:space="preserve">kitos pagalbos organizavimas ligos paūmėjimo ar krizių atvejais, </w:t>
                        </w:r>
                      </w:p>
                      <w:p>
                        <w:pPr>
                          <w:jc w:val="both"/>
                          <w:rPr>
                            <w:szCs w:val="24"/>
                          </w:rPr>
                        </w:pPr>
                        <w:r>
                          <w:rPr>
                            <w:color w:val="000000"/>
                            <w:szCs w:val="24"/>
                            <w:lang w:eastAsia="lt-LT"/>
                          </w:rPr>
                          <w:t>kitos paslaugos, reikalingos siekiant asmeniui sudaryti galimybes gyventi savo namuose.</w:t>
                        </w:r>
                        <w:r>
                          <w:rPr>
                            <w:szCs w:val="24"/>
                          </w:rPr>
                          <w:t>“</w:t>
                        </w:r>
                      </w:p>
                    </w:tc>
                  </w:tr>
                </w:tbl>
                <w:p/>
              </w:sdtContent>
            </w:sdt>
            <w:sdt>
              <w:sdtPr>
                <w:alias w:val="1.2 pp."/>
                <w:tag w:val="part_c4712af8719d49a7af35deb15836bdc6"/>
                <w:lock w:val="sdtLocked"/>
                <w:richText/>
              </w:sdtPr>
              <w:sdtContent>
                <w:p>
                  <w:pPr>
                    <w:spacing w:line="276" w:lineRule="auto"/>
                    <w:ind w:firstLine="709"/>
                    <w:jc w:val="both"/>
                    <w:rPr>
                      <w:color w:val="000000"/>
                      <w:szCs w:val="24"/>
                    </w:rPr>
                  </w:pPr>
                  <w:sdt>
                    <w:sdtPr>
                      <w:alias w:val="Numeris"/>
                      <w:tag w:val="nr_c4712af8719d49a7af35deb15836bdc6"/>
                      <w:lock w:val="sdtLocked"/>
                      <w:richText/>
                    </w:sdtPr>
                    <w:sdtContent>
                      <w:r>
                        <w:rPr>
                          <w:color w:val="000000"/>
                          <w:szCs w:val="24"/>
                        </w:rPr>
                        <w:t>1.2</w:t>
                      </w:r>
                    </w:sdtContent>
                  </w:sdt>
                  <w:r>
                    <w:rPr>
                      <w:color w:val="000000"/>
                      <w:szCs w:val="24"/>
                    </w:rPr>
                    <w:t>. Pakeičiu 12.3</w:t>
                  </w:r>
                  <w:r>
                    <w:rPr>
                      <w:color w:val="000000"/>
                      <w:szCs w:val="24"/>
                      <w:vertAlign w:val="superscript"/>
                    </w:rPr>
                    <w:t>1</w:t>
                  </w:r>
                  <w:r>
                    <w:rPr>
                      <w:color w:val="000000"/>
                      <w:szCs w:val="24"/>
                    </w:rPr>
                    <w:t xml:space="preserve"> papunkčio pirmąją pastraipą ir ją 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46"/>
                    <w:gridCol w:w="763"/>
                    <w:gridCol w:w="1500"/>
                    <w:gridCol w:w="1843"/>
                    <w:gridCol w:w="4541"/>
                  </w:tblGrid>
                  <w:tr>
                    <w:trPr>
                      <w:trHeight w:val="23"/>
                    </w:trPr>
                    <w:tc>
                      <w:tcPr>
                        <w:tcW w:w="846" w:type="dxa"/>
                        <w:shd w:val="clear" w:color="auto" w:fill="FFFFFF"/>
                        <w:tcMar>
                          <w:top w:w="0" w:type="dxa"/>
                          <w:left w:w="40" w:type="dxa"/>
                          <w:bottom w:w="0" w:type="dxa"/>
                          <w:right w:w="40" w:type="dxa"/>
                        </w:tcMar>
                        <w:hideMark/>
                      </w:tcPr>
                      <w:p>
                        <w:pPr>
                          <w:jc w:val="both"/>
                          <w:rPr>
                            <w:color w:val="000000"/>
                            <w:szCs w:val="24"/>
                          </w:rPr>
                        </w:pPr>
                        <w:r>
                          <w:rPr>
                            <w:color w:val="000000"/>
                            <w:szCs w:val="24"/>
                          </w:rPr>
                          <w:t>„12.3</w:t>
                        </w:r>
                        <w:r>
                          <w:rPr>
                            <w:color w:val="000000"/>
                            <w:szCs w:val="24"/>
                            <w:vertAlign w:val="superscript"/>
                          </w:rPr>
                          <w:t>1</w:t>
                        </w:r>
                        <w:r>
                          <w:rPr>
                            <w:color w:val="000000"/>
                            <w:szCs w:val="24"/>
                          </w:rPr>
                          <w:t>.</w:t>
                        </w:r>
                      </w:p>
                    </w:tc>
                    <w:tc>
                      <w:tcPr>
                        <w:tcW w:w="763" w:type="dxa"/>
                        <w:shd w:val="clear" w:color="auto" w:fill="FFFFFF"/>
                        <w:tcMar>
                          <w:top w:w="0" w:type="dxa"/>
                          <w:left w:w="40" w:type="dxa"/>
                          <w:bottom w:w="0" w:type="dxa"/>
                          <w:right w:w="40" w:type="dxa"/>
                        </w:tcMar>
                        <w:hideMark/>
                      </w:tcPr>
                      <w:p>
                        <w:pPr>
                          <w:jc w:val="both"/>
                          <w:rPr>
                            <w:color w:val="000000"/>
                            <w:szCs w:val="24"/>
                          </w:rPr>
                        </w:pPr>
                        <w:r>
                          <w:rPr>
                            <w:color w:val="000000"/>
                            <w:szCs w:val="24"/>
                          </w:rPr>
                          <w:t>325</w:t>
                        </w:r>
                      </w:p>
                    </w:tc>
                    <w:tc>
                      <w:tcPr>
                        <w:tcW w:w="1500" w:type="dxa"/>
                        <w:shd w:val="clear" w:color="auto" w:fill="FFFFFF"/>
                        <w:tcMar>
                          <w:top w:w="0" w:type="dxa"/>
                          <w:left w:w="40" w:type="dxa"/>
                          <w:bottom w:w="0" w:type="dxa"/>
                          <w:right w:w="40" w:type="dxa"/>
                        </w:tcMar>
                        <w:hideMark/>
                      </w:tcPr>
                      <w:p>
                        <w:pPr>
                          <w:jc w:val="both"/>
                          <w:rPr>
                            <w:color w:val="000000"/>
                            <w:szCs w:val="24"/>
                          </w:rPr>
                        </w:pPr>
                        <w:r>
                          <w:rPr>
                            <w:color w:val="000000"/>
                            <w:szCs w:val="24"/>
                          </w:rPr>
                          <w:t>Socialinė priežiūra šeimoms</w:t>
                        </w:r>
                      </w:p>
                    </w:tc>
                    <w:tc>
                      <w:tcPr>
                        <w:tcW w:w="1843" w:type="dxa"/>
                        <w:shd w:val="clear" w:color="auto" w:fill="FFFFFF"/>
                        <w:tcMar>
                          <w:top w:w="0" w:type="dxa"/>
                          <w:left w:w="40" w:type="dxa"/>
                          <w:bottom w:w="0" w:type="dxa"/>
                          <w:right w:w="40" w:type="dxa"/>
                        </w:tcMar>
                        <w:hideMark/>
                      </w:tcPr>
                      <w:p>
                        <w:pPr>
                          <w:jc w:val="both"/>
                          <w:rPr>
                            <w:color w:val="000000"/>
                            <w:szCs w:val="24"/>
                          </w:rPr>
                        </w:pPr>
                        <w:r>
                          <w:rPr>
                            <w:color w:val="000000"/>
                            <w:szCs w:val="24"/>
                          </w:rPr>
                          <w:t>Apibrėžimas</w:t>
                        </w:r>
                      </w:p>
                    </w:tc>
                    <w:tc>
                      <w:tcPr>
                        <w:tcW w:w="4541" w:type="dxa"/>
                        <w:shd w:val="clear" w:color="auto" w:fill="FFFFFF"/>
                        <w:tcMar>
                          <w:top w:w="0" w:type="dxa"/>
                          <w:left w:w="40" w:type="dxa"/>
                          <w:bottom w:w="0" w:type="dxa"/>
                          <w:right w:w="40" w:type="dxa"/>
                        </w:tcMar>
                        <w:hideMark/>
                      </w:tcPr>
                      <w:p>
                        <w:pPr>
                          <w:jc w:val="both"/>
                          <w:rPr>
                            <w:color w:val="000000"/>
                            <w:szCs w:val="24"/>
                          </w:rPr>
                        </w:pPr>
                        <w:r>
                          <w:rPr>
                            <w:color w:val="000000"/>
                            <w:szCs w:val="24"/>
                          </w:rPr>
                          <w:t>Paslaugos, teikiamos sunkumų patiriančiai šeimai, turinčiai ar besilaukiančiai vaikų (krizė, socialinių įgūdžių stoka, priklausomybės, smurtas artimoje aplinkoje,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w:t>
                        </w:r>
                      </w:p>
                    </w:tc>
                  </w:tr>
                </w:tbl>
                <w:p/>
              </w:sdtContent>
            </w:sdt>
            <w:sdt>
              <w:sdtPr>
                <w:alias w:val="1.3 pp."/>
                <w:tag w:val="part_29e9a881e17a4f398efd7c7ffa8f03b3"/>
                <w:lock w:val="sdtLocked"/>
                <w:richText/>
              </w:sdtPr>
              <w:sdtContent>
                <w:p>
                  <w:pPr>
                    <w:spacing w:line="276" w:lineRule="auto"/>
                    <w:ind w:firstLine="709"/>
                    <w:jc w:val="both"/>
                    <w:rPr>
                      <w:color w:val="000000"/>
                      <w:szCs w:val="24"/>
                    </w:rPr>
                  </w:pPr>
                  <w:sdt>
                    <w:sdtPr>
                      <w:alias w:val="Numeris"/>
                      <w:tag w:val="nr_29e9a881e17a4f398efd7c7ffa8f03b3"/>
                      <w:lock w:val="sdtLocked"/>
                      <w:richText/>
                    </w:sdtPr>
                    <w:sdtContent>
                      <w:r>
                        <w:rPr>
                          <w:color w:val="000000"/>
                          <w:szCs w:val="24"/>
                        </w:rPr>
                        <w:t>1.3</w:t>
                      </w:r>
                    </w:sdtContent>
                  </w:sdt>
                  <w:r>
                    <w:rPr>
                      <w:color w:val="000000"/>
                      <w:szCs w:val="24"/>
                    </w:rPr>
                    <w:t>. Pakeičiu 12.5 papunkčio pirmąją pastraipą ir ją 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70"/>
                    <w:gridCol w:w="923"/>
                    <w:gridCol w:w="1855"/>
                    <w:gridCol w:w="1504"/>
                    <w:gridCol w:w="4541"/>
                  </w:tblGrid>
                  <w:tr>
                    <w:trPr>
                      <w:trHeight w:val="23"/>
                    </w:trPr>
                    <w:tc>
                      <w:tcPr>
                        <w:tcW w:w="670" w:type="dxa"/>
                        <w:shd w:val="clear" w:color="auto" w:fill="FFFFFF"/>
                        <w:tcMar>
                          <w:top w:w="0" w:type="dxa"/>
                          <w:left w:w="40" w:type="dxa"/>
                          <w:bottom w:w="0" w:type="dxa"/>
                          <w:right w:w="40" w:type="dxa"/>
                        </w:tcMar>
                        <w:hideMark/>
                      </w:tcPr>
                      <w:p>
                        <w:pPr>
                          <w:spacing w:line="360" w:lineRule="auto"/>
                          <w:jc w:val="both"/>
                          <w:rPr>
                            <w:color w:val="000000"/>
                            <w:szCs w:val="24"/>
                          </w:rPr>
                        </w:pPr>
                        <w:r>
                          <w:rPr>
                            <w:color w:val="000000"/>
                            <w:szCs w:val="24"/>
                          </w:rPr>
                          <w:t>„12.5.</w:t>
                        </w:r>
                      </w:p>
                    </w:tc>
                    <w:tc>
                      <w:tcPr>
                        <w:tcW w:w="923" w:type="dxa"/>
                        <w:shd w:val="clear" w:color="auto" w:fill="FFFFFF"/>
                        <w:tcMar>
                          <w:top w:w="0" w:type="dxa"/>
                          <w:left w:w="40" w:type="dxa"/>
                          <w:bottom w:w="0" w:type="dxa"/>
                          <w:right w:w="40" w:type="dxa"/>
                        </w:tcMar>
                        <w:hideMark/>
                      </w:tcPr>
                      <w:p>
                        <w:pPr>
                          <w:spacing w:line="360" w:lineRule="auto"/>
                          <w:jc w:val="both"/>
                          <w:rPr>
                            <w:color w:val="000000"/>
                            <w:szCs w:val="24"/>
                          </w:rPr>
                        </w:pPr>
                        <w:r>
                          <w:rPr>
                            <w:color w:val="000000"/>
                            <w:szCs w:val="24"/>
                          </w:rPr>
                          <w:t>340</w:t>
                        </w:r>
                      </w:p>
                    </w:tc>
                    <w:tc>
                      <w:tcPr>
                        <w:tcW w:w="1855" w:type="dxa"/>
                        <w:shd w:val="clear" w:color="auto" w:fill="FFFFFF"/>
                        <w:tcMar>
                          <w:top w:w="0" w:type="dxa"/>
                          <w:left w:w="40" w:type="dxa"/>
                          <w:bottom w:w="0" w:type="dxa"/>
                          <w:right w:w="40" w:type="dxa"/>
                        </w:tcMar>
                        <w:hideMark/>
                      </w:tcPr>
                      <w:p>
                        <w:pPr>
                          <w:jc w:val="both"/>
                          <w:rPr>
                            <w:color w:val="000000"/>
                            <w:szCs w:val="24"/>
                          </w:rPr>
                        </w:pPr>
                        <w:r>
                          <w:rPr>
                            <w:color w:val="000000"/>
                            <w:szCs w:val="24"/>
                          </w:rPr>
                          <w:t>Laikinas apnakvindinimas</w:t>
                        </w:r>
                      </w:p>
                    </w:tc>
                    <w:tc>
                      <w:tcPr>
                        <w:tcW w:w="1504" w:type="dxa"/>
                        <w:shd w:val="clear" w:color="auto" w:fill="FFFFFF"/>
                        <w:tcMar>
                          <w:top w:w="0" w:type="dxa"/>
                          <w:left w:w="40" w:type="dxa"/>
                          <w:bottom w:w="0" w:type="dxa"/>
                          <w:right w:w="40" w:type="dxa"/>
                        </w:tcMar>
                        <w:hideMark/>
                      </w:tcPr>
                      <w:p>
                        <w:pPr>
                          <w:spacing w:line="360" w:lineRule="auto"/>
                          <w:jc w:val="both"/>
                          <w:rPr>
                            <w:color w:val="000000"/>
                            <w:szCs w:val="24"/>
                          </w:rPr>
                        </w:pPr>
                        <w:r>
                          <w:rPr>
                            <w:color w:val="000000"/>
                            <w:szCs w:val="24"/>
                          </w:rPr>
                          <w:t>Apibrėžimas</w:t>
                        </w:r>
                      </w:p>
                    </w:tc>
                    <w:tc>
                      <w:tcPr>
                        <w:tcW w:w="4541" w:type="dxa"/>
                        <w:shd w:val="clear" w:color="auto" w:fill="FFFFFF"/>
                        <w:tcMar>
                          <w:top w:w="0" w:type="dxa"/>
                          <w:left w:w="40" w:type="dxa"/>
                          <w:bottom w:w="0" w:type="dxa"/>
                          <w:right w:w="40" w:type="dxa"/>
                        </w:tcMar>
                        <w:hideMark/>
                      </w:tcPr>
                      <w:p>
                        <w:pPr>
                          <w:jc w:val="both"/>
                          <w:rPr>
                            <w:color w:val="000000"/>
                            <w:szCs w:val="24"/>
                          </w:rPr>
                        </w:pPr>
                        <w:r>
                          <w:rPr>
                            <w:color w:val="000000"/>
                            <w:szCs w:val="24"/>
                          </w:rPr>
                          <w:t>Nakvynės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tc>
                  </w:tr>
                </w:tbl>
                <w:p/>
              </w:sdtContent>
            </w:sdt>
            <w:sdt>
              <w:sdtPr>
                <w:alias w:val="1.4 pp."/>
                <w:tag w:val="part_b288526d78854c63afd4c1582f126be2"/>
                <w:lock w:val="sdtLocked"/>
                <w:richText/>
              </w:sdtPr>
              <w:sdtContent>
                <w:p>
                  <w:pPr>
                    <w:spacing w:line="276" w:lineRule="auto"/>
                    <w:ind w:firstLine="709"/>
                    <w:jc w:val="both"/>
                    <w:rPr>
                      <w:color w:val="000000"/>
                      <w:szCs w:val="24"/>
                    </w:rPr>
                  </w:pPr>
                  <w:sdt>
                    <w:sdtPr>
                      <w:alias w:val="Numeris"/>
                      <w:tag w:val="nr_b288526d78854c63afd4c1582f126be2"/>
                      <w:lock w:val="sdtLocked"/>
                      <w:richText/>
                    </w:sdtPr>
                    <w:sdtContent>
                      <w:r>
                        <w:rPr>
                          <w:color w:val="000000"/>
                          <w:szCs w:val="24"/>
                        </w:rPr>
                        <w:t>1.4</w:t>
                      </w:r>
                    </w:sdtContent>
                  </w:sdt>
                  <w:r>
                    <w:rPr>
                      <w:color w:val="000000"/>
                      <w:szCs w:val="24"/>
                    </w:rPr>
                    <w:t>. Pakeičiu 12.5 papunkčio antrąją pastraipą ir ją 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4"/>
                    <w:gridCol w:w="851"/>
                    <w:gridCol w:w="1966"/>
                    <w:gridCol w:w="1436"/>
                    <w:gridCol w:w="4536"/>
                  </w:tblGrid>
                  <w:tr>
                    <w:trPr>
                      <w:trHeight w:val="23"/>
                    </w:trPr>
                    <w:tc>
                      <w:tcPr>
                        <w:tcW w:w="704" w:type="dxa"/>
                        <w:shd w:val="clear" w:color="auto" w:fill="FFFFFF"/>
                        <w:tcMar>
                          <w:top w:w="0" w:type="dxa"/>
                          <w:left w:w="40" w:type="dxa"/>
                          <w:bottom w:w="0" w:type="dxa"/>
                          <w:right w:w="40" w:type="dxa"/>
                        </w:tcMar>
                        <w:hideMark/>
                      </w:tcPr>
                      <w:p>
                        <w:pPr>
                          <w:rPr>
                            <w:szCs w:val="24"/>
                            <w:lang w:eastAsia="lt-LT"/>
                          </w:rPr>
                        </w:pPr>
                      </w:p>
                    </w:tc>
                    <w:tc>
                      <w:tcPr>
                        <w:tcW w:w="851" w:type="dxa"/>
                        <w:shd w:val="clear" w:color="auto" w:fill="FFFFFF"/>
                        <w:tcMar>
                          <w:top w:w="0" w:type="dxa"/>
                          <w:left w:w="40" w:type="dxa"/>
                          <w:bottom w:w="0" w:type="dxa"/>
                          <w:right w:w="40" w:type="dxa"/>
                        </w:tcMar>
                        <w:hideMark/>
                      </w:tcPr>
                      <w:p>
                        <w:pPr>
                          <w:rPr>
                            <w:szCs w:val="24"/>
                            <w:lang w:eastAsia="lt-LT"/>
                          </w:rPr>
                        </w:pPr>
                      </w:p>
                    </w:tc>
                    <w:tc>
                      <w:tcPr>
                        <w:tcW w:w="1966" w:type="dxa"/>
                        <w:shd w:val="clear" w:color="auto" w:fill="FFFFFF"/>
                      </w:tcPr>
                      <w:p>
                        <w:pPr>
                          <w:rPr>
                            <w:szCs w:val="24"/>
                            <w:lang w:eastAsia="lt-LT"/>
                          </w:rPr>
                        </w:pPr>
                      </w:p>
                    </w:tc>
                    <w:tc>
                      <w:tcPr>
                        <w:tcW w:w="1436" w:type="dxa"/>
                        <w:shd w:val="clear" w:color="auto" w:fill="FFFFFF"/>
                        <w:tcMar>
                          <w:top w:w="0" w:type="dxa"/>
                          <w:left w:w="40" w:type="dxa"/>
                          <w:bottom w:w="0" w:type="dxa"/>
                          <w:right w:w="40" w:type="dxa"/>
                        </w:tcMar>
                        <w:hideMark/>
                      </w:tcPr>
                      <w:p>
                        <w:pPr>
                          <w:rPr>
                            <w:szCs w:val="24"/>
                            <w:lang w:eastAsia="lt-LT"/>
                          </w:rPr>
                        </w:pPr>
                        <w:r>
                          <w:rPr>
                            <w:szCs w:val="24"/>
                            <w:lang w:eastAsia="lt-LT"/>
                          </w:rPr>
                          <w:t>„Gavėjai</w:t>
                        </w:r>
                      </w:p>
                    </w:tc>
                    <w:tc>
                      <w:tcPr>
                        <w:tcW w:w="4536" w:type="dxa"/>
                        <w:shd w:val="clear" w:color="auto" w:fill="FFFFFF"/>
                        <w:tcMar>
                          <w:top w:w="0" w:type="dxa"/>
                          <w:left w:w="40" w:type="dxa"/>
                          <w:bottom w:w="0" w:type="dxa"/>
                          <w:right w:w="40" w:type="dxa"/>
                        </w:tcMar>
                        <w:hideMark/>
                      </w:tcPr>
                      <w:p>
                        <w:pPr>
                          <w:jc w:val="both"/>
                          <w:rPr>
                            <w:szCs w:val="24"/>
                            <w:lang w:eastAsia="lt-LT"/>
                          </w:rPr>
                        </w:pPr>
                        <w:r>
                          <w:rPr>
                            <w:szCs w:val="24"/>
                            <w:lang w:eastAsia="lt-LT"/>
                          </w:rPr>
                          <w:t xml:space="preserve">Socialinę riziką patiriantys suaugę asmenys, </w:t>
                        </w:r>
                      </w:p>
                      <w:p>
                        <w:pPr>
                          <w:jc w:val="both"/>
                          <w:rPr>
                            <w:szCs w:val="24"/>
                            <w:lang w:eastAsia="lt-LT"/>
                          </w:rPr>
                        </w:pPr>
                        <w:r>
                          <w:rPr>
                            <w:szCs w:val="24"/>
                            <w:lang w:eastAsia="lt-LT"/>
                          </w:rPr>
                          <w:t xml:space="preserve">senyvo amžiaus asmenys, </w:t>
                        </w:r>
                      </w:p>
                      <w:p>
                        <w:pPr>
                          <w:jc w:val="both"/>
                          <w:rPr>
                            <w:szCs w:val="24"/>
                            <w:lang w:eastAsia="lt-LT"/>
                          </w:rPr>
                        </w:pPr>
                        <w:r>
                          <w:rPr>
                            <w:szCs w:val="24"/>
                            <w:lang w:eastAsia="lt-LT"/>
                          </w:rPr>
                          <w:t xml:space="preserve">smurto artimoje aplinkoje pavojų keliantys asmenys, </w:t>
                        </w:r>
                      </w:p>
                      <w:p>
                        <w:pPr>
                          <w:jc w:val="both"/>
                          <w:rPr>
                            <w:szCs w:val="24"/>
                            <w:lang w:eastAsia="lt-LT"/>
                          </w:rPr>
                        </w:pPr>
                        <w:r>
                          <w:rPr>
                            <w:szCs w:val="24"/>
                            <w:lang w:eastAsia="lt-LT"/>
                          </w:rPr>
                          <w:t xml:space="preserve">iš pataisos įstaigų paleisti asmenys, nuo kurių paleidimo iš pataisos įstaigos dienos praėjo ne daugiau nei 12 mėn., </w:t>
                        </w:r>
                      </w:p>
                      <w:p>
                        <w:pPr>
                          <w:jc w:val="both"/>
                          <w:rPr>
                            <w:szCs w:val="24"/>
                            <w:lang w:eastAsia="lt-LT"/>
                          </w:rPr>
                        </w:pPr>
                        <w:r>
                          <w:rPr>
                            <w:szCs w:val="24"/>
                            <w:lang w:eastAsia="lt-LT"/>
                          </w:rPr>
                          <w:t>socialinę riziką patiriančios šeimos.“</w:t>
                        </w:r>
                      </w:p>
                    </w:tc>
                  </w:tr>
                </w:tbl>
                <w:p/>
              </w:sdtContent>
            </w:sdt>
            <w:sdt>
              <w:sdtPr>
                <w:alias w:val="1.5 pp."/>
                <w:tag w:val="part_a72b027b06de43acbe1e475e7ee35465"/>
                <w:lock w:val="sdtLocked"/>
                <w:richText/>
              </w:sdtPr>
              <w:sdtContent>
                <w:p>
                  <w:pPr>
                    <w:spacing w:line="276" w:lineRule="auto"/>
                    <w:ind w:firstLine="709"/>
                    <w:jc w:val="both"/>
                    <w:rPr>
                      <w:color w:val="000000"/>
                      <w:szCs w:val="24"/>
                    </w:rPr>
                  </w:pPr>
                  <w:sdt>
                    <w:sdtPr>
                      <w:alias w:val="Numeris"/>
                      <w:tag w:val="nr_a72b027b06de43acbe1e475e7ee35465"/>
                      <w:lock w:val="sdtLocked"/>
                      <w:richText/>
                    </w:sdtPr>
                    <w:sdtContent>
                      <w:r>
                        <w:rPr>
                          <w:color w:val="000000"/>
                          <w:szCs w:val="24"/>
                        </w:rPr>
                        <w:t>1.5</w:t>
                      </w:r>
                    </w:sdtContent>
                  </w:sdt>
                  <w:r>
                    <w:rPr>
                      <w:color w:val="000000"/>
                      <w:szCs w:val="24"/>
                    </w:rPr>
                    <w:t>. Pakeičiu 12.5 papunkčio ketvirtąją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1"/>
                    <w:gridCol w:w="956"/>
                    <w:gridCol w:w="1809"/>
                    <w:gridCol w:w="1418"/>
                    <w:gridCol w:w="4536"/>
                  </w:tblGrid>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809"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8"/>
                          </w:rPr>
                        </w:pPr>
                        <w:r>
                          <w:rPr>
                            <w:szCs w:val="28"/>
                          </w:rPr>
                          <w:t>„Teikimo trukmė / dažnumas</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Cs w:val="28"/>
                          </w:rPr>
                        </w:pPr>
                        <w:r>
                          <w:rPr>
                            <w:szCs w:val="28"/>
                          </w:rPr>
                          <w:t>Teikiama pagal poreikį, bet nepertraukiamai gali būti teikiama ne ilgiau kaip 7 paras. Smurto artimoje aplinkoje pavojų keliančiam asmeniui – pagal poreikį, bet nepertraukiamai gali būti teikiama ne ilgiau kaip 15 parų.“</w:t>
                        </w:r>
                      </w:p>
                    </w:tc>
                  </w:tr>
                </w:tbl>
                <w:p/>
              </w:sdtContent>
            </w:sdt>
            <w:sdt>
              <w:sdtPr>
                <w:alias w:val="1.6 pp."/>
                <w:tag w:val="part_9f8c33ce3b9544c780c96177cdba78c2"/>
                <w:lock w:val="sdtLocked"/>
                <w:richText/>
              </w:sdtPr>
              <w:sdtContent>
                <w:p>
                  <w:pPr>
                    <w:spacing w:line="276" w:lineRule="auto"/>
                    <w:ind w:firstLine="709"/>
                    <w:jc w:val="both"/>
                    <w:rPr>
                      <w:color w:val="000000"/>
                      <w:szCs w:val="24"/>
                    </w:rPr>
                  </w:pPr>
                  <w:sdt>
                    <w:sdtPr>
                      <w:alias w:val="Numeris"/>
                      <w:tag w:val="nr_9f8c33ce3b9544c780c96177cdba78c2"/>
                      <w:lock w:val="sdtLocked"/>
                      <w:richText/>
                    </w:sdtPr>
                    <w:sdtContent>
                      <w:r>
                        <w:rPr>
                          <w:color w:val="000000"/>
                          <w:szCs w:val="24"/>
                        </w:rPr>
                        <w:t>1.6</w:t>
                      </w:r>
                    </w:sdtContent>
                  </w:sdt>
                  <w:r>
                    <w:rPr>
                      <w:color w:val="000000"/>
                      <w:szCs w:val="24"/>
                    </w:rPr>
                    <w:t>. Pakeičiu 12.6 papunkčio antrąją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1"/>
                    <w:gridCol w:w="956"/>
                    <w:gridCol w:w="1809"/>
                    <w:gridCol w:w="1418"/>
                    <w:gridCol w:w="4536"/>
                  </w:tblGrid>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809"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8"/>
                          </w:rPr>
                        </w:pPr>
                        <w:r>
                          <w:rPr>
                            <w:szCs w:val="28"/>
                          </w:rPr>
                          <w:t>„Gavėjai</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Cs w:val="28"/>
                          </w:rPr>
                        </w:pPr>
                        <w:r>
                          <w:rPr>
                            <w:szCs w:val="28"/>
                          </w:rPr>
                          <w:t xml:space="preserve">Vaikai, kuriems pagal Vaiko teisių apsaugos pagrindų įstatymą nustatyta laikinoji priežiūra, kiti tos šeimos vaikai kartu su jų atstovais (atstovu) pagal įstatymą, </w:t>
                        </w:r>
                      </w:p>
                      <w:p>
                        <w:pPr>
                          <w:widowControl w:val="0"/>
                          <w:jc w:val="both"/>
                          <w:rPr>
                            <w:szCs w:val="28"/>
                          </w:rPr>
                        </w:pPr>
                        <w:r>
                          <w:rPr>
                            <w:szCs w:val="28"/>
                          </w:rPr>
                          <w:t xml:space="preserve">socialinę riziką patiriantys vaikai ir jų šeimos, </w:t>
                        </w:r>
                      </w:p>
                      <w:p>
                        <w:pPr>
                          <w:widowControl w:val="0"/>
                          <w:jc w:val="both"/>
                          <w:rPr>
                            <w:szCs w:val="28"/>
                          </w:rPr>
                        </w:pPr>
                        <w:r>
                          <w:rPr>
                            <w:szCs w:val="28"/>
                          </w:rPr>
                          <w:t>socialinę riziką patiriantys suaugę asmenys,</w:t>
                        </w:r>
                      </w:p>
                      <w:p>
                        <w:pPr>
                          <w:widowControl w:val="0"/>
                          <w:jc w:val="both"/>
                          <w:rPr>
                            <w:szCs w:val="28"/>
                          </w:rPr>
                        </w:pPr>
                        <w:r>
                          <w:rPr>
                            <w:szCs w:val="28"/>
                          </w:rPr>
                          <w:t xml:space="preserve">socialinę riziką patiriančios šeimos, </w:t>
                        </w:r>
                      </w:p>
                      <w:p>
                        <w:pPr>
                          <w:rPr>
                            <w:strike/>
                            <w:szCs w:val="28"/>
                          </w:rPr>
                        </w:pPr>
                        <w:r>
                          <w:rPr>
                            <w:color w:val="000000"/>
                          </w:rPr>
                          <w:t xml:space="preserve">smurto artimoje aplinkoje pavojų keliantys asmenys, </w:t>
                        </w:r>
                      </w:p>
                      <w:p>
                        <w:pPr>
                          <w:widowControl w:val="0"/>
                          <w:jc w:val="both"/>
                          <w:rPr>
                            <w:szCs w:val="28"/>
                          </w:rPr>
                        </w:pPr>
                        <w:r>
                          <w:rPr>
                            <w:szCs w:val="28"/>
                          </w:rPr>
                          <w:t xml:space="preserve">iš pataisos įstaigų paleisti asmenys, nuo kurių paleidimo iš pataisos įstaigos dienos praėjo ne daugiau nei 12 mėn., </w:t>
                        </w:r>
                      </w:p>
                      <w:p>
                        <w:pPr>
                          <w:widowControl w:val="0"/>
                          <w:jc w:val="both"/>
                          <w:rPr>
                            <w:szCs w:val="28"/>
                          </w:rPr>
                        </w:pPr>
                        <w:r>
                          <w:rPr>
                            <w:szCs w:val="28"/>
                          </w:rPr>
                          <w:t>kiti asmenys (pvz., smurtą patyrę asmenys, smurto artimoje aplinkoje pavojų patiriantys asmenys, jų vaikai ir kt.).“</w:t>
                        </w:r>
                      </w:p>
                    </w:tc>
                  </w:tr>
                </w:tbl>
                <w:p/>
              </w:sdtContent>
            </w:sdt>
            <w:sdt>
              <w:sdtPr>
                <w:alias w:val="1.7 pp."/>
                <w:tag w:val="part_fd95db5e8f034e43ab4dc7f29745b985"/>
                <w:lock w:val="sdtLocked"/>
                <w:richText/>
              </w:sdtPr>
              <w:sdtContent>
                <w:p>
                  <w:pPr>
                    <w:spacing w:line="276" w:lineRule="auto"/>
                    <w:ind w:firstLine="709"/>
                    <w:jc w:val="both"/>
                    <w:rPr>
                      <w:color w:val="000000"/>
                      <w:szCs w:val="24"/>
                    </w:rPr>
                  </w:pPr>
                  <w:sdt>
                    <w:sdtPr>
                      <w:alias w:val="Numeris"/>
                      <w:tag w:val="nr_fd95db5e8f034e43ab4dc7f29745b985"/>
                      <w:lock w:val="sdtLocked"/>
                      <w:richText/>
                    </w:sdtPr>
                    <w:sdtContent>
                      <w:r>
                        <w:rPr>
                          <w:color w:val="000000"/>
                          <w:szCs w:val="24"/>
                        </w:rPr>
                        <w:t>1.7</w:t>
                      </w:r>
                    </w:sdtContent>
                  </w:sdt>
                  <w:r>
                    <w:rPr>
                      <w:color w:val="000000"/>
                      <w:szCs w:val="24"/>
                    </w:rPr>
                    <w:t>. Pakeičiu 12.6 papunkčio septintąją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1"/>
                    <w:gridCol w:w="956"/>
                    <w:gridCol w:w="1742"/>
                    <w:gridCol w:w="1485"/>
                    <w:gridCol w:w="4536"/>
                  </w:tblGrid>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ind w:firstLine="851"/>
                          <w:rPr>
                            <w:b/>
                            <w:bCs/>
                            <w:szCs w:val="28"/>
                          </w:rPr>
                        </w:pPr>
                        <w:r>
                          <w:rPr>
                            <w:color w:val="000000"/>
                            <w:szCs w:val="24"/>
                          </w:rPr>
                          <w:t>:</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Cs w:val="28"/>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Cs w:val="28"/>
                          </w:rPr>
                        </w:pPr>
                      </w:p>
                    </w:tc>
                    <w:tc>
                      <w:tcPr>
                        <w:tcW w:w="148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Cs w:val="28"/>
                          </w:rPr>
                        </w:pPr>
                        <w:r>
                          <w:rPr>
                            <w:szCs w:val="28"/>
                          </w:rPr>
                          <w:t>„Ypatumai</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Cs w:val="28"/>
                          </w:rPr>
                        </w:pPr>
                        <w:r>
                          <w:rPr>
                            <w:szCs w:val="28"/>
                          </w:rPr>
                          <w:t>Tame pačiame krizių centre neturi būti apgyvendinami smurtą patyrę asmenys, smurto artimoje aplinkoje pavojų patiriantys asmenys, nuo prekybos žmonėmis nukentėję asmenys kartu su smurto artimoje aplinkoje pavojų keliančiais asmenimis.“</w:t>
                        </w:r>
                      </w:p>
                    </w:tc>
                  </w:tr>
                </w:tbl>
                <w:p/>
              </w:sdtContent>
            </w:sdt>
            <w:sdt>
              <w:sdtPr>
                <w:alias w:val="1.8 pp."/>
                <w:tag w:val="part_92fbc7ff043b48d4a6ec83471c9eb074"/>
                <w:lock w:val="sdtLocked"/>
                <w:richText/>
              </w:sdtPr>
              <w:sdtContent>
                <w:p>
                  <w:pPr>
                    <w:spacing w:line="276" w:lineRule="auto"/>
                    <w:ind w:firstLine="709"/>
                    <w:jc w:val="both"/>
                    <w:rPr>
                      <w:color w:val="000000"/>
                      <w:szCs w:val="24"/>
                    </w:rPr>
                  </w:pPr>
                  <w:sdt>
                    <w:sdtPr>
                      <w:alias w:val="Numeris"/>
                      <w:tag w:val="nr_92fbc7ff043b48d4a6ec83471c9eb074"/>
                      <w:lock w:val="sdtLocked"/>
                      <w:richText/>
                    </w:sdtPr>
                    <w:sdtContent>
                      <w:r>
                        <w:rPr>
                          <w:color w:val="000000"/>
                          <w:szCs w:val="24"/>
                        </w:rPr>
                        <w:t>1.8</w:t>
                      </w:r>
                    </w:sdtContent>
                  </w:sdt>
                  <w:r>
                    <w:rPr>
                      <w:color w:val="000000"/>
                      <w:szCs w:val="24"/>
                    </w:rPr>
                    <w:t>. Pakeičiu 12.7 papunkčio antrąją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1"/>
                    <w:gridCol w:w="963"/>
                    <w:gridCol w:w="1735"/>
                    <w:gridCol w:w="1485"/>
                    <w:gridCol w:w="4536"/>
                  </w:tblGrid>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4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8"/>
                          </w:rPr>
                        </w:pPr>
                        <w:r>
                          <w:rPr>
                            <w:szCs w:val="28"/>
                          </w:rPr>
                          <w:t>„Gavėjai</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Cs w:val="28"/>
                          </w:rPr>
                        </w:pPr>
                        <w:r>
                          <w:rPr>
                            <w:szCs w:val="28"/>
                          </w:rPr>
                          <w:t xml:space="preserve">Vaikai su negalia ir jų šeimos, </w:t>
                        </w:r>
                      </w:p>
                      <w:p>
                        <w:pPr>
                          <w:widowControl w:val="0"/>
                          <w:jc w:val="both"/>
                          <w:rPr>
                            <w:szCs w:val="28"/>
                          </w:rPr>
                        </w:pPr>
                        <w:r>
                          <w:rPr>
                            <w:szCs w:val="28"/>
                          </w:rPr>
                          <w:t>vaikai, kuriems pagal Vaiko teisių apsaugos pagrindų įstatymą nustatyta laikinoji priežiūra, kiti tos šeimos vaikai kartu su jų atstovais pagal įstatymą,</w:t>
                        </w:r>
                      </w:p>
                      <w:p>
                        <w:pPr>
                          <w:widowControl w:val="0"/>
                          <w:jc w:val="both"/>
                          <w:rPr>
                            <w:szCs w:val="28"/>
                          </w:rPr>
                        </w:pPr>
                        <w:r>
                          <w:rPr>
                            <w:szCs w:val="28"/>
                          </w:rPr>
                          <w:t xml:space="preserve">suaugę asmenys su negalia ir jų šeimos, artimieji, </w:t>
                        </w:r>
                      </w:p>
                      <w:p>
                        <w:pPr>
                          <w:widowControl w:val="0"/>
                          <w:jc w:val="both"/>
                          <w:rPr>
                            <w:szCs w:val="28"/>
                          </w:rPr>
                        </w:pPr>
                        <w:r>
                          <w:rPr>
                            <w:szCs w:val="28"/>
                          </w:rPr>
                          <w:t xml:space="preserve">senyvo amžiaus asmenys ir jų šeimos, artimieji, </w:t>
                        </w:r>
                      </w:p>
                      <w:p>
                        <w:pPr>
                          <w:widowControl w:val="0"/>
                          <w:jc w:val="both"/>
                          <w:rPr>
                            <w:szCs w:val="28"/>
                          </w:rPr>
                        </w:pPr>
                        <w:r>
                          <w:rPr>
                            <w:szCs w:val="28"/>
                          </w:rPr>
                          <w:t xml:space="preserve">krizinėje situacijoje (skyrybos, darbo praradimas, artimojo netektis ir kt.) esančios šeimos ir jų nariai, </w:t>
                        </w:r>
                      </w:p>
                      <w:p>
                        <w:pPr>
                          <w:widowControl w:val="0"/>
                          <w:jc w:val="both"/>
                          <w:rPr>
                            <w:szCs w:val="28"/>
                          </w:rPr>
                        </w:pPr>
                        <w:r>
                          <w:rPr>
                            <w:szCs w:val="28"/>
                          </w:rPr>
                          <w:t xml:space="preserve">socialinę riziką patyrę ar patiriantys vaikai ir jų šeimos, </w:t>
                        </w:r>
                      </w:p>
                      <w:p>
                        <w:pPr>
                          <w:widowControl w:val="0"/>
                          <w:jc w:val="both"/>
                          <w:rPr>
                            <w:szCs w:val="28"/>
                          </w:rPr>
                        </w:pPr>
                        <w:r>
                          <w:rPr>
                            <w:szCs w:val="28"/>
                          </w:rPr>
                          <w:t xml:space="preserve">socialinę riziką patyrę ar patiriantys suaugę asmenys ir jų šeimos, </w:t>
                        </w:r>
                      </w:p>
                      <w:p>
                        <w:pPr>
                          <w:widowControl w:val="0"/>
                          <w:jc w:val="both"/>
                          <w:rPr>
                            <w:szCs w:val="28"/>
                          </w:rPr>
                        </w:pPr>
                        <w:r>
                          <w:rPr>
                            <w:szCs w:val="28"/>
                          </w:rPr>
                          <w:t xml:space="preserve">smurto artimoje aplinkoje pavojų keliantys asmenys, </w:t>
                        </w:r>
                      </w:p>
                      <w:p>
                        <w:pPr>
                          <w:widowControl w:val="0"/>
                          <w:jc w:val="both"/>
                          <w:rPr>
                            <w:szCs w:val="28"/>
                          </w:rPr>
                        </w:pPr>
                        <w:r>
                          <w:rPr>
                            <w:szCs w:val="28"/>
                          </w:rPr>
                          <w:t>kiti asmenys ir jų šeimos.“</w:t>
                        </w:r>
                      </w:p>
                    </w:tc>
                  </w:tr>
                </w:tbl>
                <w:p/>
              </w:sdtContent>
            </w:sdt>
            <w:sdt>
              <w:sdtPr>
                <w:alias w:val="1.9 pp."/>
                <w:tag w:val="part_d0b2b41c26364bd195488823ac60f0fe"/>
                <w:lock w:val="sdtLocked"/>
                <w:richText/>
              </w:sdtPr>
              <w:sdtContent>
                <w:p>
                  <w:pPr>
                    <w:spacing w:line="276" w:lineRule="auto"/>
                    <w:ind w:firstLine="709"/>
                    <w:jc w:val="both"/>
                    <w:rPr>
                      <w:color w:val="000000"/>
                      <w:szCs w:val="24"/>
                    </w:rPr>
                  </w:pPr>
                  <w:sdt>
                    <w:sdtPr>
                      <w:alias w:val="Numeris"/>
                      <w:tag w:val="nr_d0b2b41c26364bd195488823ac60f0fe"/>
                      <w:lock w:val="sdtLocked"/>
                      <w:richText/>
                    </w:sdtPr>
                    <w:sdtContent>
                      <w:r>
                        <w:rPr>
                          <w:color w:val="000000"/>
                          <w:szCs w:val="24"/>
                        </w:rPr>
                        <w:t>1.9</w:t>
                      </w:r>
                    </w:sdtContent>
                  </w:sdt>
                  <w:r>
                    <w:rPr>
                      <w:color w:val="000000"/>
                      <w:szCs w:val="24"/>
                    </w:rPr>
                    <w:t>. Pakeičiu 12.8 papunkčio antrąją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1"/>
                    <w:gridCol w:w="956"/>
                    <w:gridCol w:w="1809"/>
                    <w:gridCol w:w="1418"/>
                    <w:gridCol w:w="4536"/>
                  </w:tblGrid>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809"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8"/>
                          </w:rPr>
                        </w:pPr>
                        <w:r>
                          <w:rPr>
                            <w:szCs w:val="28"/>
                          </w:rPr>
                          <w:t>„Gavėjai</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Cs w:val="28"/>
                          </w:rPr>
                        </w:pPr>
                        <w:r>
                          <w:rPr>
                            <w:szCs w:val="28"/>
                          </w:rPr>
                          <w:t>Socialinę riziką patiriantys suaugę asmenys,</w:t>
                        </w:r>
                      </w:p>
                      <w:p>
                        <w:pPr>
                          <w:widowControl w:val="0"/>
                          <w:jc w:val="both"/>
                          <w:rPr>
                            <w:szCs w:val="28"/>
                          </w:rPr>
                        </w:pPr>
                        <w:r>
                          <w:rPr>
                            <w:szCs w:val="28"/>
                          </w:rPr>
                          <w:t xml:space="preserve">senyvo amžiaus asmenys, </w:t>
                        </w:r>
                      </w:p>
                      <w:p>
                        <w:pPr>
                          <w:widowControl w:val="0"/>
                          <w:jc w:val="both"/>
                          <w:rPr>
                            <w:szCs w:val="28"/>
                          </w:rPr>
                        </w:pPr>
                        <w:r>
                          <w:rPr>
                            <w:szCs w:val="28"/>
                          </w:rPr>
                          <w:t xml:space="preserve">smurto artimoje aplinkoje pavojų keliantys asmenys, </w:t>
                        </w:r>
                      </w:p>
                      <w:p>
                        <w:pPr>
                          <w:widowControl w:val="0"/>
                          <w:jc w:val="both"/>
                          <w:rPr>
                            <w:szCs w:val="28"/>
                          </w:rPr>
                        </w:pPr>
                        <w:r>
                          <w:rPr>
                            <w:szCs w:val="28"/>
                          </w:rPr>
                          <w:t>kiti socialinę riziką patiriantys asmenys (pvz., besilaukiančios moterys, nepilnametės besilaukiančios merginos ir nepilnametės moterys).“</w:t>
                        </w:r>
                      </w:p>
                    </w:tc>
                  </w:tr>
                </w:tbl>
                <w:p/>
              </w:sdtContent>
            </w:sdt>
            <w:sdt>
              <w:sdtPr>
                <w:alias w:val="1.10 pp."/>
                <w:tag w:val="part_dabfb2c1ac134ed69ee310c71678f6a0"/>
                <w:lock w:val="sdtLocked"/>
                <w:richText/>
              </w:sdtPr>
              <w:sdtContent>
                <w:p>
                  <w:pPr>
                    <w:ind w:firstLine="851"/>
                    <w:jc w:val="both"/>
                    <w:rPr>
                      <w:color w:val="000000"/>
                      <w:szCs w:val="24"/>
                    </w:rPr>
                  </w:pPr>
                  <w:sdt>
                    <w:sdtPr>
                      <w:alias w:val="Numeris"/>
                      <w:tag w:val="nr_dabfb2c1ac134ed69ee310c71678f6a0"/>
                      <w:lock w:val="sdtLocked"/>
                      <w:richText/>
                    </w:sdtPr>
                    <w:sdtContent>
                      <w:r>
                        <w:rPr>
                          <w:color w:val="000000"/>
                          <w:szCs w:val="24"/>
                        </w:rPr>
                        <w:t>1.10</w:t>
                      </w:r>
                    </w:sdtContent>
                  </w:sdt>
                  <w:r>
                    <w:rPr>
                      <w:color w:val="000000"/>
                      <w:szCs w:val="24"/>
                    </w:rPr>
                    <w:t>. Pakeičiu 15.1 papunkčio ketvirtąją pastraipą ir ją išdėstau taip:</w:t>
                  </w:r>
                </w:p>
                <w:tbl>
                  <w:tblPr>
                    <w:tblW w:w="1059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70"/>
                    <w:gridCol w:w="964"/>
                    <w:gridCol w:w="964"/>
                    <w:gridCol w:w="1377"/>
                    <w:gridCol w:w="1843"/>
                    <w:gridCol w:w="4680"/>
                  </w:tblGrid>
                  <w:tr>
                    <w:trPr>
                      <w:cantSplit/>
                      <w:trHeight w:val="23"/>
                    </w:trPr>
                    <w:tc>
                      <w:tcPr>
                        <w:tcW w:w="770" w:type="dxa"/>
                        <w:shd w:val="clear" w:color="auto" w:fill="FFFFFF"/>
                      </w:tcPr>
                      <w:p>
                        <w:pPr>
                          <w:widowControl w:val="0"/>
                          <w:rPr>
                            <w:szCs w:val="24"/>
                          </w:rPr>
                        </w:pPr>
                      </w:p>
                    </w:tc>
                    <w:tc>
                      <w:tcPr>
                        <w:tcW w:w="964" w:type="dxa"/>
                        <w:shd w:val="clear" w:color="auto" w:fill="FFFFFF"/>
                      </w:tcPr>
                      <w:p>
                        <w:pPr>
                          <w:widowControl w:val="0"/>
                          <w:rPr>
                            <w:szCs w:val="24"/>
                          </w:rPr>
                        </w:pPr>
                      </w:p>
                    </w:tc>
                    <w:tc>
                      <w:tcPr>
                        <w:tcW w:w="964" w:type="dxa"/>
                        <w:shd w:val="clear" w:color="auto" w:fill="FFFFFF"/>
                      </w:tcPr>
                      <w:p>
                        <w:pPr>
                          <w:widowControl w:val="0"/>
                          <w:rPr>
                            <w:szCs w:val="24"/>
                          </w:rPr>
                        </w:pPr>
                      </w:p>
                    </w:tc>
                    <w:tc>
                      <w:tcPr>
                        <w:tcW w:w="1377" w:type="dxa"/>
                        <w:shd w:val="clear" w:color="auto" w:fill="FFFFFF"/>
                      </w:tcPr>
                      <w:p>
                        <w:pPr>
                          <w:widowControl w:val="0"/>
                          <w:rPr>
                            <w:szCs w:val="24"/>
                          </w:rPr>
                        </w:pPr>
                      </w:p>
                    </w:tc>
                    <w:tc>
                      <w:tcPr>
                        <w:tcW w:w="1843" w:type="dxa"/>
                        <w:shd w:val="clear" w:color="auto" w:fill="FFFFFF"/>
                      </w:tcPr>
                      <w:p>
                        <w:pPr>
                          <w:widowControl w:val="0"/>
                          <w:rPr>
                            <w:szCs w:val="24"/>
                          </w:rPr>
                        </w:pPr>
                        <w:r>
                          <w:rPr>
                            <w:szCs w:val="24"/>
                          </w:rPr>
                          <w:t>Teikimo trukmė / dažnumas</w:t>
                        </w:r>
                      </w:p>
                    </w:tc>
                    <w:tc>
                      <w:tcPr>
                        <w:tcW w:w="4680" w:type="dxa"/>
                        <w:shd w:val="clear" w:color="auto" w:fill="FFFFFF"/>
                      </w:tcPr>
                      <w:p>
                        <w:pPr>
                          <w:jc w:val="both"/>
                          <w:rPr>
                            <w:color w:val="000000"/>
                            <w:szCs w:val="24"/>
                            <w:lang w:eastAsia="lt-LT"/>
                          </w:rPr>
                        </w:pPr>
                        <w:r>
                          <w:rPr>
                            <w:color w:val="000000"/>
                            <w:szCs w:val="24"/>
                            <w:lang w:eastAsia="lt-LT"/>
                          </w:rPr>
                          <w:t>Nuo 3 val. per dieną iki 5 dienų per savaitę institucijoje,</w:t>
                        </w:r>
                      </w:p>
                      <w:p>
                        <w:pPr>
                          <w:jc w:val="both"/>
                          <w:rPr>
                            <w:szCs w:val="24"/>
                          </w:rPr>
                        </w:pPr>
                        <w:r>
                          <w:rPr>
                            <w:color w:val="000000"/>
                            <w:szCs w:val="24"/>
                            <w:lang w:eastAsia="lt-LT"/>
                          </w:rPr>
                          <w:t>iki 25 val. per savaitę asmens namuose,</w:t>
                        </w:r>
                      </w:p>
                      <w:p>
                        <w:pPr>
                          <w:jc w:val="both"/>
                          <w:rPr>
                            <w:szCs w:val="24"/>
                          </w:rPr>
                        </w:pPr>
                        <w:r>
                          <w:rPr>
                            <w:szCs w:val="24"/>
                          </w:rPr>
                          <w:t>iki 40 val. per savaitę asmens namuose asmeniui su negalia, kuriam nustatytas pirmojo arba antrojo lygio specialusis nuolatinės slaugos poreikis.</w:t>
                        </w:r>
                      </w:p>
                      <w:p>
                        <w:pPr>
                          <w:jc w:val="both"/>
                          <w:rPr>
                            <w:szCs w:val="24"/>
                          </w:rPr>
                        </w:pPr>
                        <w:r>
                          <w:rPr>
                            <w:szCs w:val="24"/>
                          </w:rPr>
                          <w:t>Išimtiniais atvejais, kai asmeniui, atsižvelgiant į individualius jo poreikius ir savarankiškumą (asmeniui, iš šeimos narių negaunančiam pagalbos ir (ar) priežiūros, vienam gyvenančiam asmeniui ir kt.), reikia ilgesnės trukmės paslaugos, gali būti skiriama iki 70 val. per savaitę trukmės dienos socialinės globos asmens namuose paslauga“.</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9a7305c6211ee81b8b446907f594f">
                    <w:r w:rsidRPr="00532B9F">
                      <w:rPr>
                        <w:rFonts w:ascii="Times New Roman" w:eastAsia="MS Mincho" w:hAnsi="Times New Roman"/>
                        <w:sz w:val="20"/>
                        <w:i/>
                        <w:iCs/>
                        <w:color w:val="0000FF" w:themeColor="hyperlink"/>
                        <w:u w:val="single"/>
                      </w:rPr>
                      <w:t>A1-632</w:t>
                    </w:r>
                  </w:fldSimple>
                  <w:r>
                    <w:rPr>
                      <w:rFonts w:ascii="Times New Roman" w:eastAsia="MS Mincho" w:hAnsi="Times New Roman"/>
                      <w:sz w:val="20"/>
                      <w:i/>
                      <w:iCs/>
                    </w:rPr>
                    <w:t>,
2023-09-26,
paskelbta TAR 2023-09-26, i. k. 2023-18729            </w:t>
                  </w:r>
                </w:p>
                <w:p/>
              </w:sdtContent>
            </w:sdt>
            <w:sdt>
              <w:sdtPr>
                <w:alias w:val="1.11 pp."/>
                <w:tag w:val="part_11b271714d114351921912c025aba297"/>
                <w:lock w:val="sdtLocked"/>
                <w:richText/>
              </w:sdtPr>
              <w:sdtContent>
                <w:p>
                  <w:pPr>
                    <w:spacing w:line="360" w:lineRule="auto"/>
                    <w:ind w:firstLine="709"/>
                    <w:jc w:val="both"/>
                    <w:rPr>
                      <w:color w:val="000000"/>
                      <w:szCs w:val="24"/>
                    </w:rPr>
                  </w:pPr>
                  <w:sdt>
                    <w:sdtPr>
                      <w:alias w:val="Numeris"/>
                      <w:tag w:val="nr_11b271714d114351921912c025aba297"/>
                      <w:lock w:val="sdtLocked"/>
                      <w:richText/>
                    </w:sdtPr>
                    <w:sdtContent>
                      <w:r>
                        <w:rPr>
                          <w:color w:val="000000"/>
                          <w:szCs w:val="24"/>
                        </w:rPr>
                        <w:t>1.11</w:t>
                      </w:r>
                    </w:sdtContent>
                  </w:sdt>
                  <w:r>
                    <w:rPr>
                      <w:color w:val="000000"/>
                      <w:szCs w:val="24"/>
                    </w:rPr>
                    <w:t>. Pakeičiu 15.1 papunkčio penktąją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0"/>
                    <w:gridCol w:w="964"/>
                    <w:gridCol w:w="1734"/>
                    <w:gridCol w:w="1486"/>
                    <w:gridCol w:w="4536"/>
                  </w:tblGrid>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4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„Paslaugos sudėtis</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Cs w:val="24"/>
                          </w:rPr>
                        </w:pPr>
                        <w:r>
                          <w:rPr>
                            <w:szCs w:val="24"/>
                          </w:rPr>
                          <w:t xml:space="preserve">Kai paslauga teikiama asmens namuose: maitinimo organizavimas (jei maistą pristato tarnybos), pagalba maitinantis, asmens maitinimas, </w:t>
                        </w:r>
                      </w:p>
                      <w:p>
                        <w:pPr>
                          <w:widowControl w:val="0"/>
                          <w:jc w:val="both"/>
                          <w:rPr>
                            <w:szCs w:val="24"/>
                          </w:rPr>
                        </w:pPr>
                        <w:r>
                          <w:rPr>
                            <w:szCs w:val="24"/>
                          </w:rPr>
                          <w:t xml:space="preserve">pagalba buityje ir namų ruošoje, </w:t>
                        </w:r>
                      </w:p>
                      <w:p>
                        <w:pPr>
                          <w:widowControl w:val="0"/>
                          <w:jc w:val="both"/>
                          <w:rPr>
                            <w:szCs w:val="24"/>
                          </w:rPr>
                        </w:pPr>
                        <w:r>
                          <w:rPr>
                            <w:szCs w:val="24"/>
                          </w:rPr>
                          <w:t xml:space="preserve">kasdienė asmens higiena ir priežiūra, </w:t>
                        </w:r>
                      </w:p>
                      <w:p>
                        <w:pPr>
                          <w:widowControl w:val="0"/>
                          <w:jc w:val="both"/>
                          <w:rPr>
                            <w:szCs w:val="24"/>
                          </w:rPr>
                        </w:pPr>
                        <w:r>
                          <w:rPr>
                            <w:szCs w:val="24"/>
                          </w:rPr>
                          <w:t xml:space="preserve">sveikatos priežiūros paslaugų organizavimas, </w:t>
                        </w:r>
                      </w:p>
                      <w:p>
                        <w:pPr>
                          <w:widowControl w:val="0"/>
                          <w:jc w:val="both"/>
                          <w:rPr>
                            <w:szCs w:val="24"/>
                          </w:rPr>
                        </w:pPr>
                        <w:r>
                          <w:rPr>
                            <w:szCs w:val="24"/>
                          </w:rPr>
                          <w:t xml:space="preserve">palydėjimas į įvairias įstaigas, </w:t>
                        </w:r>
                      </w:p>
                      <w:p>
                        <w:pPr>
                          <w:widowControl w:val="0"/>
                          <w:jc w:val="both"/>
                          <w:rPr>
                            <w:szCs w:val="24"/>
                          </w:rPr>
                        </w:pPr>
                        <w:r>
                          <w:rPr>
                            <w:szCs w:val="24"/>
                          </w:rPr>
                          <w:t>kitos paslaugos, reikalingos siekiant asmeniui sudaryti galimybes gyventi savo namuose.</w:t>
                        </w:r>
                      </w:p>
                      <w:p>
                        <w:pPr>
                          <w:widowControl w:val="0"/>
                          <w:jc w:val="both"/>
                          <w:rPr>
                            <w:szCs w:val="24"/>
                          </w:rPr>
                        </w:pPr>
                      </w:p>
                      <w:p>
                        <w:pPr>
                          <w:widowControl w:val="0"/>
                          <w:jc w:val="both"/>
                          <w:rPr>
                            <w:szCs w:val="24"/>
                          </w:rPr>
                        </w:pPr>
                        <w:r>
                          <w:rPr>
                            <w:szCs w:val="24"/>
                          </w:rPr>
                          <w:t>Kai paslauga teikiama institucijoje:</w:t>
                        </w:r>
                      </w:p>
                      <w:p>
                        <w:pPr>
                          <w:jc w:val="both"/>
                          <w:rPr>
                            <w:szCs w:val="24"/>
                            <w:lang w:eastAsia="lt-LT"/>
                          </w:rPr>
                        </w:pPr>
                        <w:r>
                          <w:rPr>
                            <w:szCs w:val="24"/>
                            <w:lang w:eastAsia="lt-LT"/>
                          </w:rPr>
                          <w:t>bendravimas,</w:t>
                        </w:r>
                      </w:p>
                      <w:p>
                        <w:pPr>
                          <w:jc w:val="both"/>
                          <w:rPr>
                            <w:szCs w:val="24"/>
                            <w:lang w:eastAsia="lt-LT"/>
                          </w:rPr>
                        </w:pPr>
                        <w:r>
                          <w:rPr>
                            <w:szCs w:val="24"/>
                            <w:lang w:eastAsia="lt-LT"/>
                          </w:rPr>
                          <w:t xml:space="preserve">laisvalaikio organizavimas, </w:t>
                        </w:r>
                      </w:p>
                      <w:p>
                        <w:pPr>
                          <w:jc w:val="both"/>
                          <w:rPr>
                            <w:szCs w:val="24"/>
                            <w:lang w:eastAsia="lt-LT"/>
                          </w:rPr>
                        </w:pPr>
                        <w:r>
                          <w:rPr>
                            <w:szCs w:val="24"/>
                            <w:lang w:eastAsia="lt-LT"/>
                          </w:rPr>
                          <w:t xml:space="preserve">ugdymo organizavimas (vaikams su negalia, suaugusiems asmenims su negalia iki 21 m.), </w:t>
                        </w:r>
                      </w:p>
                      <w:p>
                        <w:pPr>
                          <w:jc w:val="both"/>
                          <w:rPr>
                            <w:szCs w:val="24"/>
                            <w:lang w:eastAsia="lt-LT"/>
                          </w:rPr>
                        </w:pPr>
                        <w:r>
                          <w:rPr>
                            <w:szCs w:val="24"/>
                            <w:lang w:eastAsia="lt-LT"/>
                          </w:rPr>
                          <w:t xml:space="preserve">maitinimo organizavimas (kai paslauga teikiama ilgiau nei 5 val. per dieną), </w:t>
                        </w:r>
                      </w:p>
                      <w:p>
                        <w:pPr>
                          <w:jc w:val="both"/>
                          <w:rPr>
                            <w:szCs w:val="24"/>
                            <w:lang w:eastAsia="lt-LT"/>
                          </w:rPr>
                        </w:pPr>
                        <w:r>
                          <w:rPr>
                            <w:szCs w:val="24"/>
                          </w:rPr>
                          <w:t xml:space="preserve">pagalba maitinantis arba asmens maitinimas, </w:t>
                        </w:r>
                      </w:p>
                      <w:p>
                        <w:pPr>
                          <w:jc w:val="both"/>
                          <w:rPr>
                            <w:szCs w:val="24"/>
                            <w:lang w:eastAsia="lt-LT"/>
                          </w:rPr>
                        </w:pPr>
                        <w:r>
                          <w:rPr>
                            <w:szCs w:val="24"/>
                            <w:lang w:eastAsia="lt-LT"/>
                          </w:rPr>
                          <w:t xml:space="preserve">kasdienių asmens higienos įgūdžių ugdymas, palaikymas  ir (ar) atkūrimas, </w:t>
                        </w:r>
                      </w:p>
                      <w:p>
                        <w:pPr>
                          <w:jc w:val="both"/>
                          <w:rPr>
                            <w:strike/>
                            <w:szCs w:val="24"/>
                            <w:lang w:eastAsia="lt-LT"/>
                          </w:rPr>
                        </w:pPr>
                        <w:r>
                          <w:rPr>
                            <w:szCs w:val="24"/>
                            <w:lang w:eastAsia="lt-LT"/>
                          </w:rPr>
                          <w:t xml:space="preserve">psichologinė, psichoterapinė pagalba, </w:t>
                        </w:r>
                      </w:p>
                      <w:p>
                        <w:pPr>
                          <w:jc w:val="both"/>
                          <w:rPr>
                            <w:szCs w:val="24"/>
                            <w:lang w:eastAsia="lt-LT"/>
                          </w:rPr>
                        </w:pPr>
                        <w:r>
                          <w:rPr>
                            <w:szCs w:val="24"/>
                            <w:lang w:eastAsia="lt-LT"/>
                          </w:rPr>
                          <w:t xml:space="preserve">socialinių įgūdžių ugdymas, palaikymas ir (ar) atkūrimas, </w:t>
                        </w:r>
                      </w:p>
                      <w:p>
                        <w:pPr>
                          <w:jc w:val="both"/>
                          <w:rPr>
                            <w:strike/>
                            <w:szCs w:val="24"/>
                            <w:lang w:eastAsia="lt-LT"/>
                          </w:rPr>
                        </w:pPr>
                        <w:r>
                          <w:rPr>
                            <w:szCs w:val="24"/>
                            <w:lang w:eastAsia="lt-LT"/>
                          </w:rPr>
                          <w:t>darbo įgūdžių ugdymas (siuvimas, mezgimas, audimas, dailės dirbiniai, keramika, savarankiškas patalpų, aplinkos tvarkymas ir pan.),</w:t>
                        </w:r>
                        <w:r>
                          <w:rPr>
                            <w:szCs w:val="24"/>
                          </w:rPr>
                          <w:t xml:space="preserve"> </w:t>
                        </w:r>
                      </w:p>
                      <w:p>
                        <w:pPr>
                          <w:jc w:val="both"/>
                          <w:rPr>
                            <w:szCs w:val="24"/>
                            <w:lang w:eastAsia="lt-LT"/>
                          </w:rPr>
                        </w:pPr>
                        <w:r>
                          <w:rPr>
                            <w:szCs w:val="24"/>
                            <w:lang w:eastAsia="lt-LT"/>
                          </w:rPr>
                          <w:t>sveikatos priežiūros paslaugų organizavimas ir (ar) teikimas,</w:t>
                        </w:r>
                      </w:p>
                      <w:p>
                        <w:pPr>
                          <w:widowControl w:val="0"/>
                          <w:jc w:val="both"/>
                          <w:rPr>
                            <w:szCs w:val="24"/>
                          </w:rPr>
                        </w:pPr>
                        <w:r>
                          <w:rPr>
                            <w:szCs w:val="24"/>
                            <w:lang w:eastAsia="lt-LT"/>
                          </w:rPr>
                          <w:t>transporto paslaugų organizavimas ir (ar) teikimas.</w:t>
                        </w:r>
                        <w:r>
                          <w:rPr>
                            <w:szCs w:val="24"/>
                          </w:rPr>
                          <w:t>“</w:t>
                        </w:r>
                      </w:p>
                    </w:tc>
                  </w:tr>
                </w:tbl>
                <w:p/>
              </w:sdtContent>
            </w:sdt>
          </w:sdtContent>
        </w:sdt>
        <w:sdt>
          <w:sdtPr>
            <w:alias w:val="2 p."/>
            <w:tag w:val="part_fa9aaa624b8142049f1302c5633a854d"/>
            <w:lock w:val="sdtLocked"/>
            <w:richText/>
          </w:sdtPr>
          <w:sdtContent>
            <w:p>
              <w:pPr>
                <w:ind w:firstLine="851"/>
                <w:jc w:val="both"/>
                <w:rPr>
                  <w:color w:val="000000"/>
                </w:rPr>
              </w:pPr>
              <w:sdt>
                <w:sdtPr>
                  <w:alias w:val="Numeris"/>
                  <w:tag w:val="nr_fa9aaa624b8142049f1302c5633a854d"/>
                  <w:lock w:val="sdtLocked"/>
                  <w:richText/>
                </w:sdtPr>
                <w:sdtContent>
                  <w:r>
                    <w:rPr>
                      <w:szCs w:val="24"/>
                    </w:rPr>
                    <w:t>2</w:t>
                  </w:r>
                </w:sdtContent>
              </w:sdt>
              <w:r>
                <w:rPr>
                  <w:szCs w:val="24"/>
                </w:rPr>
                <w:t xml:space="preserve">. N u s t a t a u,  kad asmenims, dėl kurių sprendimas skirti dienos socialinę globą asmens namuose priimtas iki šio įsakymo įsigaliojimo dienos, dienos socialinės globos asmens namuose paslaugos trukmės reikalavimai taikomi pagal Socialinių paslaugų katalogo nuostatas, galiojusias iki šio įsakymo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9a7305c6211ee81b8b446907f594f">
                <w:r w:rsidRPr="00532B9F">
                  <w:rPr>
                    <w:rFonts w:ascii="Times New Roman" w:eastAsia="MS Mincho" w:hAnsi="Times New Roman"/>
                    <w:sz w:val="20"/>
                    <w:i/>
                    <w:iCs/>
                    <w:color w:val="0000FF" w:themeColor="hyperlink"/>
                    <w:u w:val="single"/>
                  </w:rPr>
                  <w:t>A1-632</w:t>
                </w:r>
              </w:fldSimple>
              <w:r>
                <w:rPr>
                  <w:rFonts w:ascii="Times New Roman" w:eastAsia="MS Mincho" w:hAnsi="Times New Roman"/>
                  <w:sz w:val="20"/>
                  <w:i/>
                  <w:iCs/>
                </w:rPr>
                <w:t>,
2023-09-26,
paskelbta TAR 2023-09-26, i. k. 2023-18729            </w:t>
              </w:r>
            </w:p>
            <w:p/>
          </w:sdtContent>
        </w:sdt>
        <w:sdt>
          <w:sdtPr>
            <w:alias w:val="signatura"/>
            <w:tag w:val="part_9bb937b68b9d474a8a581ee976753324"/>
            <w:lock w:val="sdtLocked"/>
            <w:richText/>
          </w:sdtPr>
          <w:sdtContent>
            <w:p>
              <w:pPr>
                <w:tabs>
                  <w:tab w:val="left" w:pos="851"/>
                </w:tabs>
              </w:pPr>
            </w:p>
            <w:p>
              <w:pPr>
                <w:tabs>
                  <w:tab w:val="left" w:pos="851"/>
                </w:tabs>
              </w:pPr>
            </w:p>
            <w:p>
              <w:pPr>
                <w:tabs>
                  <w:tab w:val="left" w:pos="851"/>
                </w:tabs>
              </w:pPr>
            </w:p>
            <w:p>
              <w:pPr>
                <w:tabs>
                  <w:tab w:val="left" w:pos="851"/>
                </w:tabs>
                <w:rPr>
                  <w:bCs/>
                  <w:color w:val="000000"/>
                  <w:szCs w:val="24"/>
                  <w:lang w:eastAsia="lt-LT"/>
                </w:rPr>
              </w:pPr>
              <w:r>
                <w:rPr>
                  <w:bCs/>
                  <w:szCs w:val="24"/>
                </w:rPr>
                <w:t>Socialinės apsaugos ir darbo ministrė</w:t>
                <w:tab/>
                <w:tab/>
                <w:tab/>
                <w:t xml:space="preserve">                    Monika Navickienė</w:t>
                <w:tab/>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09a7305c6211ee81b8b446907f594f">
            <w:r w:rsidRPr="00532B9F">
              <w:rPr>
                <w:rFonts w:ascii="Times New Roman" w:eastAsia="MS Mincho" w:hAnsi="Times New Roman"/>
                <w:sz w:val="20"/>
                <w:iCs/>
                <w:color w:val="0000FF" w:themeColor="hyperlink"/>
                <w:u w:val="single"/>
              </w:rPr>
              <w:t>A1-632</w:t>
            </w:r>
          </w:fldSimple>
          <w:r>
            <w:rPr>
              <w:rFonts w:ascii="Times New Roman" w:eastAsia="MS Mincho" w:hAnsi="Times New Roman"/>
              <w:sz w:val="20"/>
              <w:iCs/>
            </w:rPr>
            <w:t>,
2023-09-26,
paskelbta TAR 2023-09-26, i. k. 2023-18729                </w:t>
          </w:r>
        </w:p>
        <w:p>
          <w:pPr>
            <w:jc w:val="both"/>
            <w:rPr>
              <w:rFonts w:ascii="Times New Roman" w:hAnsi="Times New Roman"/>
            </w:rPr>
          </w:pPr>
          <w:r>
            <w:rPr>
              <w:rFonts w:ascii="Times New Roman" w:hAnsi="Times New Roman"/>
              <w:sz w:val="20"/>
            </w:rPr>
            <w:t>Dėl Lietuvos Respublikos socialinės apsaugos ir darbo ministro 2023 m. liepos 17 d. įsakymo Nr. A1-463 „Dėl Lietuvos Respublikos socialinės apsaugos ir darbo ministro 2006 m. balandžio 5 d. įsakymo Nr. A1-93 „Dėl Socialinių paslaugų katalogo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370C23C"/>
  <w15:docId w15:val="{B3007FAF-3C5C-46EF-850B-01EF7779DEA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5969">
      <w:bodyDiv w:val="1"/>
      <w:marLeft w:val="0"/>
      <w:marRight w:val="0"/>
      <w:marTop w:val="0"/>
      <w:marBottom w:val="0"/>
      <w:divBdr>
        <w:top w:val="none" w:sz="0" w:space="0" w:color="auto"/>
        <w:left w:val="none" w:sz="0" w:space="0" w:color="auto"/>
        <w:bottom w:val="none" w:sz="0" w:space="0" w:color="auto"/>
        <w:right w:val="none" w:sz="0" w:space="0" w:color="auto"/>
      </w:divBdr>
    </w:div>
    <w:div w:id="16977403">
      <w:bodyDiv w:val="1"/>
      <w:marLeft w:val="0"/>
      <w:marRight w:val="0"/>
      <w:marTop w:val="0"/>
      <w:marBottom w:val="0"/>
      <w:divBdr>
        <w:top w:val="none" w:sz="0" w:space="0" w:color="auto"/>
        <w:left w:val="none" w:sz="0" w:space="0" w:color="auto"/>
        <w:bottom w:val="none" w:sz="0" w:space="0" w:color="auto"/>
        <w:right w:val="none" w:sz="0" w:space="0" w:color="auto"/>
      </w:divBdr>
    </w:div>
    <w:div w:id="33237545">
      <w:bodyDiv w:val="1"/>
      <w:marLeft w:val="0"/>
      <w:marRight w:val="0"/>
      <w:marTop w:val="0"/>
      <w:marBottom w:val="0"/>
      <w:divBdr>
        <w:top w:val="none" w:sz="0" w:space="0" w:color="auto"/>
        <w:left w:val="none" w:sz="0" w:space="0" w:color="auto"/>
        <w:bottom w:val="none" w:sz="0" w:space="0" w:color="auto"/>
        <w:right w:val="none" w:sz="0" w:space="0" w:color="auto"/>
      </w:divBdr>
    </w:div>
    <w:div w:id="34500342">
      <w:bodyDiv w:val="1"/>
      <w:marLeft w:val="0"/>
      <w:marRight w:val="0"/>
      <w:marTop w:val="0"/>
      <w:marBottom w:val="0"/>
      <w:divBdr>
        <w:top w:val="none" w:sz="0" w:space="0" w:color="auto"/>
        <w:left w:val="none" w:sz="0" w:space="0" w:color="auto"/>
        <w:bottom w:val="none" w:sz="0" w:space="0" w:color="auto"/>
        <w:right w:val="none" w:sz="0" w:space="0" w:color="auto"/>
      </w:divBdr>
    </w:div>
    <w:div w:id="119347505">
      <w:bodyDiv w:val="1"/>
      <w:marLeft w:val="0"/>
      <w:marRight w:val="0"/>
      <w:marTop w:val="0"/>
      <w:marBottom w:val="0"/>
      <w:divBdr>
        <w:top w:val="none" w:sz="0" w:space="0" w:color="auto"/>
        <w:left w:val="none" w:sz="0" w:space="0" w:color="auto"/>
        <w:bottom w:val="none" w:sz="0" w:space="0" w:color="auto"/>
        <w:right w:val="none" w:sz="0" w:space="0" w:color="auto"/>
      </w:divBdr>
      <w:divsChild>
        <w:div w:id="1283616151">
          <w:marLeft w:val="0"/>
          <w:marRight w:val="0"/>
          <w:marTop w:val="0"/>
          <w:marBottom w:val="0"/>
          <w:divBdr>
            <w:top w:val="none" w:sz="0" w:space="0" w:color="auto"/>
            <w:left w:val="none" w:sz="0" w:space="0" w:color="auto"/>
            <w:bottom w:val="none" w:sz="0" w:space="0" w:color="auto"/>
            <w:right w:val="none" w:sz="0" w:space="0" w:color="auto"/>
          </w:divBdr>
        </w:div>
        <w:div w:id="1497306834">
          <w:marLeft w:val="0"/>
          <w:marRight w:val="0"/>
          <w:marTop w:val="0"/>
          <w:marBottom w:val="0"/>
          <w:divBdr>
            <w:top w:val="none" w:sz="0" w:space="0" w:color="auto"/>
            <w:left w:val="none" w:sz="0" w:space="0" w:color="auto"/>
            <w:bottom w:val="none" w:sz="0" w:space="0" w:color="auto"/>
            <w:right w:val="none" w:sz="0" w:space="0" w:color="auto"/>
          </w:divBdr>
        </w:div>
      </w:divsChild>
    </w:div>
    <w:div w:id="170222399">
      <w:bodyDiv w:val="1"/>
      <w:marLeft w:val="0"/>
      <w:marRight w:val="0"/>
      <w:marTop w:val="0"/>
      <w:marBottom w:val="0"/>
      <w:divBdr>
        <w:top w:val="none" w:sz="0" w:space="0" w:color="auto"/>
        <w:left w:val="none" w:sz="0" w:space="0" w:color="auto"/>
        <w:bottom w:val="none" w:sz="0" w:space="0" w:color="auto"/>
        <w:right w:val="none" w:sz="0" w:space="0" w:color="auto"/>
      </w:divBdr>
    </w:div>
    <w:div w:id="174611075">
      <w:bodyDiv w:val="1"/>
      <w:marLeft w:val="0"/>
      <w:marRight w:val="0"/>
      <w:marTop w:val="0"/>
      <w:marBottom w:val="0"/>
      <w:divBdr>
        <w:top w:val="none" w:sz="0" w:space="0" w:color="auto"/>
        <w:left w:val="none" w:sz="0" w:space="0" w:color="auto"/>
        <w:bottom w:val="none" w:sz="0" w:space="0" w:color="auto"/>
        <w:right w:val="none" w:sz="0" w:space="0" w:color="auto"/>
      </w:divBdr>
    </w:div>
    <w:div w:id="201720245">
      <w:bodyDiv w:val="1"/>
      <w:marLeft w:val="0"/>
      <w:marRight w:val="0"/>
      <w:marTop w:val="0"/>
      <w:marBottom w:val="0"/>
      <w:divBdr>
        <w:top w:val="none" w:sz="0" w:space="0" w:color="auto"/>
        <w:left w:val="none" w:sz="0" w:space="0" w:color="auto"/>
        <w:bottom w:val="none" w:sz="0" w:space="0" w:color="auto"/>
        <w:right w:val="none" w:sz="0" w:space="0" w:color="auto"/>
      </w:divBdr>
    </w:div>
    <w:div w:id="216936965">
      <w:bodyDiv w:val="1"/>
      <w:marLeft w:val="0"/>
      <w:marRight w:val="0"/>
      <w:marTop w:val="0"/>
      <w:marBottom w:val="0"/>
      <w:divBdr>
        <w:top w:val="none" w:sz="0" w:space="0" w:color="auto"/>
        <w:left w:val="none" w:sz="0" w:space="0" w:color="auto"/>
        <w:bottom w:val="none" w:sz="0" w:space="0" w:color="auto"/>
        <w:right w:val="none" w:sz="0" w:space="0" w:color="auto"/>
      </w:divBdr>
    </w:div>
    <w:div w:id="329452185">
      <w:bodyDiv w:val="1"/>
      <w:marLeft w:val="0"/>
      <w:marRight w:val="0"/>
      <w:marTop w:val="0"/>
      <w:marBottom w:val="0"/>
      <w:divBdr>
        <w:top w:val="none" w:sz="0" w:space="0" w:color="auto"/>
        <w:left w:val="none" w:sz="0" w:space="0" w:color="auto"/>
        <w:bottom w:val="none" w:sz="0" w:space="0" w:color="auto"/>
        <w:right w:val="none" w:sz="0" w:space="0" w:color="auto"/>
      </w:divBdr>
    </w:div>
    <w:div w:id="400981613">
      <w:bodyDiv w:val="1"/>
      <w:marLeft w:val="0"/>
      <w:marRight w:val="0"/>
      <w:marTop w:val="0"/>
      <w:marBottom w:val="0"/>
      <w:divBdr>
        <w:top w:val="none" w:sz="0" w:space="0" w:color="auto"/>
        <w:left w:val="none" w:sz="0" w:space="0" w:color="auto"/>
        <w:bottom w:val="none" w:sz="0" w:space="0" w:color="auto"/>
        <w:right w:val="none" w:sz="0" w:space="0" w:color="auto"/>
      </w:divBdr>
    </w:div>
    <w:div w:id="420222823">
      <w:bodyDiv w:val="1"/>
      <w:marLeft w:val="0"/>
      <w:marRight w:val="0"/>
      <w:marTop w:val="0"/>
      <w:marBottom w:val="0"/>
      <w:divBdr>
        <w:top w:val="none" w:sz="0" w:space="0" w:color="auto"/>
        <w:left w:val="none" w:sz="0" w:space="0" w:color="auto"/>
        <w:bottom w:val="none" w:sz="0" w:space="0" w:color="auto"/>
        <w:right w:val="none" w:sz="0" w:space="0" w:color="auto"/>
      </w:divBdr>
    </w:div>
    <w:div w:id="431055184">
      <w:bodyDiv w:val="1"/>
      <w:marLeft w:val="0"/>
      <w:marRight w:val="0"/>
      <w:marTop w:val="0"/>
      <w:marBottom w:val="0"/>
      <w:divBdr>
        <w:top w:val="none" w:sz="0" w:space="0" w:color="auto"/>
        <w:left w:val="none" w:sz="0" w:space="0" w:color="auto"/>
        <w:bottom w:val="none" w:sz="0" w:space="0" w:color="auto"/>
        <w:right w:val="none" w:sz="0" w:space="0" w:color="auto"/>
      </w:divBdr>
    </w:div>
    <w:div w:id="431437310">
      <w:bodyDiv w:val="1"/>
      <w:marLeft w:val="0"/>
      <w:marRight w:val="0"/>
      <w:marTop w:val="0"/>
      <w:marBottom w:val="0"/>
      <w:divBdr>
        <w:top w:val="none" w:sz="0" w:space="0" w:color="auto"/>
        <w:left w:val="none" w:sz="0" w:space="0" w:color="auto"/>
        <w:bottom w:val="none" w:sz="0" w:space="0" w:color="auto"/>
        <w:right w:val="none" w:sz="0" w:space="0" w:color="auto"/>
      </w:divBdr>
    </w:div>
    <w:div w:id="445471484">
      <w:bodyDiv w:val="1"/>
      <w:marLeft w:val="0"/>
      <w:marRight w:val="0"/>
      <w:marTop w:val="0"/>
      <w:marBottom w:val="0"/>
      <w:divBdr>
        <w:top w:val="none" w:sz="0" w:space="0" w:color="auto"/>
        <w:left w:val="none" w:sz="0" w:space="0" w:color="auto"/>
        <w:bottom w:val="none" w:sz="0" w:space="0" w:color="auto"/>
        <w:right w:val="none" w:sz="0" w:space="0" w:color="auto"/>
      </w:divBdr>
    </w:div>
    <w:div w:id="452751724">
      <w:bodyDiv w:val="1"/>
      <w:marLeft w:val="0"/>
      <w:marRight w:val="0"/>
      <w:marTop w:val="0"/>
      <w:marBottom w:val="0"/>
      <w:divBdr>
        <w:top w:val="none" w:sz="0" w:space="0" w:color="auto"/>
        <w:left w:val="none" w:sz="0" w:space="0" w:color="auto"/>
        <w:bottom w:val="none" w:sz="0" w:space="0" w:color="auto"/>
        <w:right w:val="none" w:sz="0" w:space="0" w:color="auto"/>
      </w:divBdr>
    </w:div>
    <w:div w:id="492962275">
      <w:bodyDiv w:val="1"/>
      <w:marLeft w:val="0"/>
      <w:marRight w:val="0"/>
      <w:marTop w:val="0"/>
      <w:marBottom w:val="0"/>
      <w:divBdr>
        <w:top w:val="none" w:sz="0" w:space="0" w:color="auto"/>
        <w:left w:val="none" w:sz="0" w:space="0" w:color="auto"/>
        <w:bottom w:val="none" w:sz="0" w:space="0" w:color="auto"/>
        <w:right w:val="none" w:sz="0" w:space="0" w:color="auto"/>
      </w:divBdr>
    </w:div>
    <w:div w:id="504977324">
      <w:bodyDiv w:val="1"/>
      <w:marLeft w:val="0"/>
      <w:marRight w:val="0"/>
      <w:marTop w:val="0"/>
      <w:marBottom w:val="0"/>
      <w:divBdr>
        <w:top w:val="none" w:sz="0" w:space="0" w:color="auto"/>
        <w:left w:val="none" w:sz="0" w:space="0" w:color="auto"/>
        <w:bottom w:val="none" w:sz="0" w:space="0" w:color="auto"/>
        <w:right w:val="none" w:sz="0" w:space="0" w:color="auto"/>
      </w:divBdr>
    </w:div>
    <w:div w:id="538904053">
      <w:bodyDiv w:val="1"/>
      <w:marLeft w:val="0"/>
      <w:marRight w:val="0"/>
      <w:marTop w:val="0"/>
      <w:marBottom w:val="0"/>
      <w:divBdr>
        <w:top w:val="none" w:sz="0" w:space="0" w:color="auto"/>
        <w:left w:val="none" w:sz="0" w:space="0" w:color="auto"/>
        <w:bottom w:val="none" w:sz="0" w:space="0" w:color="auto"/>
        <w:right w:val="none" w:sz="0" w:space="0" w:color="auto"/>
      </w:divBdr>
    </w:div>
    <w:div w:id="569316637">
      <w:bodyDiv w:val="1"/>
      <w:marLeft w:val="0"/>
      <w:marRight w:val="0"/>
      <w:marTop w:val="0"/>
      <w:marBottom w:val="0"/>
      <w:divBdr>
        <w:top w:val="none" w:sz="0" w:space="0" w:color="auto"/>
        <w:left w:val="none" w:sz="0" w:space="0" w:color="auto"/>
        <w:bottom w:val="none" w:sz="0" w:space="0" w:color="auto"/>
        <w:right w:val="none" w:sz="0" w:space="0" w:color="auto"/>
      </w:divBdr>
      <w:divsChild>
        <w:div w:id="307246611">
          <w:marLeft w:val="0"/>
          <w:marRight w:val="0"/>
          <w:marTop w:val="0"/>
          <w:marBottom w:val="0"/>
          <w:divBdr>
            <w:top w:val="none" w:sz="0" w:space="0" w:color="auto"/>
            <w:left w:val="none" w:sz="0" w:space="0" w:color="auto"/>
            <w:bottom w:val="none" w:sz="0" w:space="0" w:color="auto"/>
            <w:right w:val="none" w:sz="0" w:space="0" w:color="auto"/>
          </w:divBdr>
        </w:div>
        <w:div w:id="2146776756">
          <w:marLeft w:val="0"/>
          <w:marRight w:val="0"/>
          <w:marTop w:val="0"/>
          <w:marBottom w:val="0"/>
          <w:divBdr>
            <w:top w:val="none" w:sz="0" w:space="0" w:color="auto"/>
            <w:left w:val="none" w:sz="0" w:space="0" w:color="auto"/>
            <w:bottom w:val="none" w:sz="0" w:space="0" w:color="auto"/>
            <w:right w:val="none" w:sz="0" w:space="0" w:color="auto"/>
          </w:divBdr>
        </w:div>
      </w:divsChild>
    </w:div>
    <w:div w:id="647709773">
      <w:bodyDiv w:val="1"/>
      <w:marLeft w:val="0"/>
      <w:marRight w:val="0"/>
      <w:marTop w:val="0"/>
      <w:marBottom w:val="0"/>
      <w:divBdr>
        <w:top w:val="none" w:sz="0" w:space="0" w:color="auto"/>
        <w:left w:val="none" w:sz="0" w:space="0" w:color="auto"/>
        <w:bottom w:val="none" w:sz="0" w:space="0" w:color="auto"/>
        <w:right w:val="none" w:sz="0" w:space="0" w:color="auto"/>
      </w:divBdr>
    </w:div>
    <w:div w:id="762454485">
      <w:bodyDiv w:val="1"/>
      <w:marLeft w:val="0"/>
      <w:marRight w:val="0"/>
      <w:marTop w:val="0"/>
      <w:marBottom w:val="0"/>
      <w:divBdr>
        <w:top w:val="none" w:sz="0" w:space="0" w:color="auto"/>
        <w:left w:val="none" w:sz="0" w:space="0" w:color="auto"/>
        <w:bottom w:val="none" w:sz="0" w:space="0" w:color="auto"/>
        <w:right w:val="none" w:sz="0" w:space="0" w:color="auto"/>
      </w:divBdr>
    </w:div>
    <w:div w:id="786974102">
      <w:bodyDiv w:val="1"/>
      <w:marLeft w:val="0"/>
      <w:marRight w:val="0"/>
      <w:marTop w:val="0"/>
      <w:marBottom w:val="0"/>
      <w:divBdr>
        <w:top w:val="none" w:sz="0" w:space="0" w:color="auto"/>
        <w:left w:val="none" w:sz="0" w:space="0" w:color="auto"/>
        <w:bottom w:val="none" w:sz="0" w:space="0" w:color="auto"/>
        <w:right w:val="none" w:sz="0" w:space="0" w:color="auto"/>
      </w:divBdr>
    </w:div>
    <w:div w:id="789473602">
      <w:bodyDiv w:val="1"/>
      <w:marLeft w:val="0"/>
      <w:marRight w:val="0"/>
      <w:marTop w:val="0"/>
      <w:marBottom w:val="0"/>
      <w:divBdr>
        <w:top w:val="none" w:sz="0" w:space="0" w:color="auto"/>
        <w:left w:val="none" w:sz="0" w:space="0" w:color="auto"/>
        <w:bottom w:val="none" w:sz="0" w:space="0" w:color="auto"/>
        <w:right w:val="none" w:sz="0" w:space="0" w:color="auto"/>
      </w:divBdr>
    </w:div>
    <w:div w:id="888107238">
      <w:bodyDiv w:val="1"/>
      <w:marLeft w:val="0"/>
      <w:marRight w:val="0"/>
      <w:marTop w:val="0"/>
      <w:marBottom w:val="0"/>
      <w:divBdr>
        <w:top w:val="none" w:sz="0" w:space="0" w:color="auto"/>
        <w:left w:val="none" w:sz="0" w:space="0" w:color="auto"/>
        <w:bottom w:val="none" w:sz="0" w:space="0" w:color="auto"/>
        <w:right w:val="none" w:sz="0" w:space="0" w:color="auto"/>
      </w:divBdr>
    </w:div>
    <w:div w:id="895504992">
      <w:bodyDiv w:val="1"/>
      <w:marLeft w:val="0"/>
      <w:marRight w:val="0"/>
      <w:marTop w:val="0"/>
      <w:marBottom w:val="0"/>
      <w:divBdr>
        <w:top w:val="none" w:sz="0" w:space="0" w:color="auto"/>
        <w:left w:val="none" w:sz="0" w:space="0" w:color="auto"/>
        <w:bottom w:val="none" w:sz="0" w:space="0" w:color="auto"/>
        <w:right w:val="none" w:sz="0" w:space="0" w:color="auto"/>
      </w:divBdr>
    </w:div>
    <w:div w:id="899756497">
      <w:bodyDiv w:val="1"/>
      <w:marLeft w:val="0"/>
      <w:marRight w:val="0"/>
      <w:marTop w:val="0"/>
      <w:marBottom w:val="0"/>
      <w:divBdr>
        <w:top w:val="none" w:sz="0" w:space="0" w:color="auto"/>
        <w:left w:val="none" w:sz="0" w:space="0" w:color="auto"/>
        <w:bottom w:val="none" w:sz="0" w:space="0" w:color="auto"/>
        <w:right w:val="none" w:sz="0" w:space="0" w:color="auto"/>
      </w:divBdr>
      <w:divsChild>
        <w:div w:id="2081244952">
          <w:marLeft w:val="0"/>
          <w:marRight w:val="0"/>
          <w:marTop w:val="0"/>
          <w:marBottom w:val="0"/>
          <w:divBdr>
            <w:top w:val="none" w:sz="0" w:space="0" w:color="auto"/>
            <w:left w:val="none" w:sz="0" w:space="0" w:color="auto"/>
            <w:bottom w:val="none" w:sz="0" w:space="0" w:color="auto"/>
            <w:right w:val="none" w:sz="0" w:space="0" w:color="auto"/>
          </w:divBdr>
        </w:div>
        <w:div w:id="58139945">
          <w:marLeft w:val="0"/>
          <w:marRight w:val="0"/>
          <w:marTop w:val="0"/>
          <w:marBottom w:val="0"/>
          <w:divBdr>
            <w:top w:val="none" w:sz="0" w:space="0" w:color="auto"/>
            <w:left w:val="none" w:sz="0" w:space="0" w:color="auto"/>
            <w:bottom w:val="none" w:sz="0" w:space="0" w:color="auto"/>
            <w:right w:val="none" w:sz="0" w:space="0" w:color="auto"/>
          </w:divBdr>
        </w:div>
      </w:divsChild>
    </w:div>
    <w:div w:id="908732747">
      <w:bodyDiv w:val="1"/>
      <w:marLeft w:val="0"/>
      <w:marRight w:val="0"/>
      <w:marTop w:val="0"/>
      <w:marBottom w:val="0"/>
      <w:divBdr>
        <w:top w:val="none" w:sz="0" w:space="0" w:color="auto"/>
        <w:left w:val="none" w:sz="0" w:space="0" w:color="auto"/>
        <w:bottom w:val="none" w:sz="0" w:space="0" w:color="auto"/>
        <w:right w:val="none" w:sz="0" w:space="0" w:color="auto"/>
      </w:divBdr>
    </w:div>
    <w:div w:id="924847932">
      <w:bodyDiv w:val="1"/>
      <w:marLeft w:val="0"/>
      <w:marRight w:val="0"/>
      <w:marTop w:val="0"/>
      <w:marBottom w:val="0"/>
      <w:divBdr>
        <w:top w:val="none" w:sz="0" w:space="0" w:color="auto"/>
        <w:left w:val="none" w:sz="0" w:space="0" w:color="auto"/>
        <w:bottom w:val="none" w:sz="0" w:space="0" w:color="auto"/>
        <w:right w:val="none" w:sz="0" w:space="0" w:color="auto"/>
      </w:divBdr>
    </w:div>
    <w:div w:id="925847310">
      <w:bodyDiv w:val="1"/>
      <w:marLeft w:val="0"/>
      <w:marRight w:val="0"/>
      <w:marTop w:val="0"/>
      <w:marBottom w:val="0"/>
      <w:divBdr>
        <w:top w:val="none" w:sz="0" w:space="0" w:color="auto"/>
        <w:left w:val="none" w:sz="0" w:space="0" w:color="auto"/>
        <w:bottom w:val="none" w:sz="0" w:space="0" w:color="auto"/>
        <w:right w:val="none" w:sz="0" w:space="0" w:color="auto"/>
      </w:divBdr>
    </w:div>
    <w:div w:id="955062388">
      <w:bodyDiv w:val="1"/>
      <w:marLeft w:val="0"/>
      <w:marRight w:val="0"/>
      <w:marTop w:val="0"/>
      <w:marBottom w:val="0"/>
      <w:divBdr>
        <w:top w:val="none" w:sz="0" w:space="0" w:color="auto"/>
        <w:left w:val="none" w:sz="0" w:space="0" w:color="auto"/>
        <w:bottom w:val="none" w:sz="0" w:space="0" w:color="auto"/>
        <w:right w:val="none" w:sz="0" w:space="0" w:color="auto"/>
      </w:divBdr>
    </w:div>
    <w:div w:id="1037200399">
      <w:bodyDiv w:val="1"/>
      <w:marLeft w:val="0"/>
      <w:marRight w:val="0"/>
      <w:marTop w:val="0"/>
      <w:marBottom w:val="0"/>
      <w:divBdr>
        <w:top w:val="none" w:sz="0" w:space="0" w:color="auto"/>
        <w:left w:val="none" w:sz="0" w:space="0" w:color="auto"/>
        <w:bottom w:val="none" w:sz="0" w:space="0" w:color="auto"/>
        <w:right w:val="none" w:sz="0" w:space="0" w:color="auto"/>
      </w:divBdr>
    </w:div>
    <w:div w:id="1086726304">
      <w:bodyDiv w:val="1"/>
      <w:marLeft w:val="0"/>
      <w:marRight w:val="0"/>
      <w:marTop w:val="0"/>
      <w:marBottom w:val="0"/>
      <w:divBdr>
        <w:top w:val="none" w:sz="0" w:space="0" w:color="auto"/>
        <w:left w:val="none" w:sz="0" w:space="0" w:color="auto"/>
        <w:bottom w:val="none" w:sz="0" w:space="0" w:color="auto"/>
        <w:right w:val="none" w:sz="0" w:space="0" w:color="auto"/>
      </w:divBdr>
      <w:divsChild>
        <w:div w:id="2100715056">
          <w:marLeft w:val="0"/>
          <w:marRight w:val="0"/>
          <w:marTop w:val="0"/>
          <w:marBottom w:val="0"/>
          <w:divBdr>
            <w:top w:val="none" w:sz="0" w:space="0" w:color="auto"/>
            <w:left w:val="none" w:sz="0" w:space="0" w:color="auto"/>
            <w:bottom w:val="none" w:sz="0" w:space="0" w:color="auto"/>
            <w:right w:val="none" w:sz="0" w:space="0" w:color="auto"/>
          </w:divBdr>
        </w:div>
        <w:div w:id="537471040">
          <w:marLeft w:val="0"/>
          <w:marRight w:val="0"/>
          <w:marTop w:val="0"/>
          <w:marBottom w:val="0"/>
          <w:divBdr>
            <w:top w:val="none" w:sz="0" w:space="0" w:color="auto"/>
            <w:left w:val="none" w:sz="0" w:space="0" w:color="auto"/>
            <w:bottom w:val="none" w:sz="0" w:space="0" w:color="auto"/>
            <w:right w:val="none" w:sz="0" w:space="0" w:color="auto"/>
          </w:divBdr>
        </w:div>
      </w:divsChild>
    </w:div>
    <w:div w:id="1181580339">
      <w:bodyDiv w:val="1"/>
      <w:marLeft w:val="0"/>
      <w:marRight w:val="0"/>
      <w:marTop w:val="0"/>
      <w:marBottom w:val="0"/>
      <w:divBdr>
        <w:top w:val="none" w:sz="0" w:space="0" w:color="auto"/>
        <w:left w:val="none" w:sz="0" w:space="0" w:color="auto"/>
        <w:bottom w:val="none" w:sz="0" w:space="0" w:color="auto"/>
        <w:right w:val="none" w:sz="0" w:space="0" w:color="auto"/>
      </w:divBdr>
    </w:div>
    <w:div w:id="1321157657">
      <w:bodyDiv w:val="1"/>
      <w:marLeft w:val="0"/>
      <w:marRight w:val="0"/>
      <w:marTop w:val="0"/>
      <w:marBottom w:val="0"/>
      <w:divBdr>
        <w:top w:val="none" w:sz="0" w:space="0" w:color="auto"/>
        <w:left w:val="none" w:sz="0" w:space="0" w:color="auto"/>
        <w:bottom w:val="none" w:sz="0" w:space="0" w:color="auto"/>
        <w:right w:val="none" w:sz="0" w:space="0" w:color="auto"/>
      </w:divBdr>
    </w:div>
    <w:div w:id="1393892372">
      <w:bodyDiv w:val="1"/>
      <w:marLeft w:val="0"/>
      <w:marRight w:val="0"/>
      <w:marTop w:val="0"/>
      <w:marBottom w:val="0"/>
      <w:divBdr>
        <w:top w:val="none" w:sz="0" w:space="0" w:color="auto"/>
        <w:left w:val="none" w:sz="0" w:space="0" w:color="auto"/>
        <w:bottom w:val="none" w:sz="0" w:space="0" w:color="auto"/>
        <w:right w:val="none" w:sz="0" w:space="0" w:color="auto"/>
      </w:divBdr>
    </w:div>
    <w:div w:id="1403022104">
      <w:bodyDiv w:val="1"/>
      <w:marLeft w:val="0"/>
      <w:marRight w:val="0"/>
      <w:marTop w:val="0"/>
      <w:marBottom w:val="0"/>
      <w:divBdr>
        <w:top w:val="none" w:sz="0" w:space="0" w:color="auto"/>
        <w:left w:val="none" w:sz="0" w:space="0" w:color="auto"/>
        <w:bottom w:val="none" w:sz="0" w:space="0" w:color="auto"/>
        <w:right w:val="none" w:sz="0" w:space="0" w:color="auto"/>
      </w:divBdr>
    </w:div>
    <w:div w:id="1442069818">
      <w:bodyDiv w:val="1"/>
      <w:marLeft w:val="0"/>
      <w:marRight w:val="0"/>
      <w:marTop w:val="0"/>
      <w:marBottom w:val="0"/>
      <w:divBdr>
        <w:top w:val="none" w:sz="0" w:space="0" w:color="auto"/>
        <w:left w:val="none" w:sz="0" w:space="0" w:color="auto"/>
        <w:bottom w:val="none" w:sz="0" w:space="0" w:color="auto"/>
        <w:right w:val="none" w:sz="0" w:space="0" w:color="auto"/>
      </w:divBdr>
      <w:divsChild>
        <w:div w:id="1872644369">
          <w:marLeft w:val="0"/>
          <w:marRight w:val="0"/>
          <w:marTop w:val="0"/>
          <w:marBottom w:val="0"/>
          <w:divBdr>
            <w:top w:val="none" w:sz="0" w:space="0" w:color="auto"/>
            <w:left w:val="none" w:sz="0" w:space="0" w:color="auto"/>
            <w:bottom w:val="none" w:sz="0" w:space="0" w:color="auto"/>
            <w:right w:val="none" w:sz="0" w:space="0" w:color="auto"/>
          </w:divBdr>
          <w:divsChild>
            <w:div w:id="185337533">
              <w:marLeft w:val="0"/>
              <w:marRight w:val="0"/>
              <w:marTop w:val="0"/>
              <w:marBottom w:val="0"/>
              <w:divBdr>
                <w:top w:val="none" w:sz="0" w:space="0" w:color="auto"/>
                <w:left w:val="none" w:sz="0" w:space="0" w:color="auto"/>
                <w:bottom w:val="none" w:sz="0" w:space="0" w:color="auto"/>
                <w:right w:val="none" w:sz="0" w:space="0" w:color="auto"/>
              </w:divBdr>
            </w:div>
            <w:div w:id="390663158">
              <w:marLeft w:val="0"/>
              <w:marRight w:val="0"/>
              <w:marTop w:val="0"/>
              <w:marBottom w:val="0"/>
              <w:divBdr>
                <w:top w:val="none" w:sz="0" w:space="0" w:color="auto"/>
                <w:left w:val="none" w:sz="0" w:space="0" w:color="auto"/>
                <w:bottom w:val="none" w:sz="0" w:space="0" w:color="auto"/>
                <w:right w:val="none" w:sz="0" w:space="0" w:color="auto"/>
              </w:divBdr>
            </w:div>
            <w:div w:id="1751388594">
              <w:marLeft w:val="0"/>
              <w:marRight w:val="0"/>
              <w:marTop w:val="0"/>
              <w:marBottom w:val="0"/>
              <w:divBdr>
                <w:top w:val="none" w:sz="0" w:space="0" w:color="auto"/>
                <w:left w:val="none" w:sz="0" w:space="0" w:color="auto"/>
                <w:bottom w:val="none" w:sz="0" w:space="0" w:color="auto"/>
                <w:right w:val="none" w:sz="0" w:space="0" w:color="auto"/>
              </w:divBdr>
            </w:div>
            <w:div w:id="2040474275">
              <w:marLeft w:val="0"/>
              <w:marRight w:val="0"/>
              <w:marTop w:val="0"/>
              <w:marBottom w:val="0"/>
              <w:divBdr>
                <w:top w:val="none" w:sz="0" w:space="0" w:color="auto"/>
                <w:left w:val="none" w:sz="0" w:space="0" w:color="auto"/>
                <w:bottom w:val="none" w:sz="0" w:space="0" w:color="auto"/>
                <w:right w:val="none" w:sz="0" w:space="0" w:color="auto"/>
              </w:divBdr>
            </w:div>
            <w:div w:id="1375498689">
              <w:marLeft w:val="0"/>
              <w:marRight w:val="0"/>
              <w:marTop w:val="0"/>
              <w:marBottom w:val="0"/>
              <w:divBdr>
                <w:top w:val="none" w:sz="0" w:space="0" w:color="auto"/>
                <w:left w:val="none" w:sz="0" w:space="0" w:color="auto"/>
                <w:bottom w:val="none" w:sz="0" w:space="0" w:color="auto"/>
                <w:right w:val="none" w:sz="0" w:space="0" w:color="auto"/>
              </w:divBdr>
            </w:div>
            <w:div w:id="711153680">
              <w:marLeft w:val="0"/>
              <w:marRight w:val="0"/>
              <w:marTop w:val="0"/>
              <w:marBottom w:val="0"/>
              <w:divBdr>
                <w:top w:val="none" w:sz="0" w:space="0" w:color="auto"/>
                <w:left w:val="none" w:sz="0" w:space="0" w:color="auto"/>
                <w:bottom w:val="none" w:sz="0" w:space="0" w:color="auto"/>
                <w:right w:val="none" w:sz="0" w:space="0" w:color="auto"/>
              </w:divBdr>
            </w:div>
          </w:divsChild>
        </w:div>
        <w:div w:id="816915484">
          <w:marLeft w:val="0"/>
          <w:marRight w:val="0"/>
          <w:marTop w:val="0"/>
          <w:marBottom w:val="0"/>
          <w:divBdr>
            <w:top w:val="none" w:sz="0" w:space="0" w:color="auto"/>
            <w:left w:val="none" w:sz="0" w:space="0" w:color="auto"/>
            <w:bottom w:val="none" w:sz="0" w:space="0" w:color="auto"/>
            <w:right w:val="none" w:sz="0" w:space="0" w:color="auto"/>
          </w:divBdr>
        </w:div>
      </w:divsChild>
    </w:div>
    <w:div w:id="1468932633">
      <w:bodyDiv w:val="1"/>
      <w:marLeft w:val="0"/>
      <w:marRight w:val="0"/>
      <w:marTop w:val="0"/>
      <w:marBottom w:val="0"/>
      <w:divBdr>
        <w:top w:val="none" w:sz="0" w:space="0" w:color="auto"/>
        <w:left w:val="none" w:sz="0" w:space="0" w:color="auto"/>
        <w:bottom w:val="none" w:sz="0" w:space="0" w:color="auto"/>
        <w:right w:val="none" w:sz="0" w:space="0" w:color="auto"/>
      </w:divBdr>
    </w:div>
    <w:div w:id="1525167824">
      <w:bodyDiv w:val="1"/>
      <w:marLeft w:val="0"/>
      <w:marRight w:val="0"/>
      <w:marTop w:val="0"/>
      <w:marBottom w:val="0"/>
      <w:divBdr>
        <w:top w:val="none" w:sz="0" w:space="0" w:color="auto"/>
        <w:left w:val="none" w:sz="0" w:space="0" w:color="auto"/>
        <w:bottom w:val="none" w:sz="0" w:space="0" w:color="auto"/>
        <w:right w:val="none" w:sz="0" w:space="0" w:color="auto"/>
      </w:divBdr>
    </w:div>
    <w:div w:id="1526677110">
      <w:bodyDiv w:val="1"/>
      <w:marLeft w:val="0"/>
      <w:marRight w:val="0"/>
      <w:marTop w:val="0"/>
      <w:marBottom w:val="0"/>
      <w:divBdr>
        <w:top w:val="none" w:sz="0" w:space="0" w:color="auto"/>
        <w:left w:val="none" w:sz="0" w:space="0" w:color="auto"/>
        <w:bottom w:val="none" w:sz="0" w:space="0" w:color="auto"/>
        <w:right w:val="none" w:sz="0" w:space="0" w:color="auto"/>
      </w:divBdr>
    </w:div>
    <w:div w:id="1542671914">
      <w:bodyDiv w:val="1"/>
      <w:marLeft w:val="0"/>
      <w:marRight w:val="0"/>
      <w:marTop w:val="0"/>
      <w:marBottom w:val="0"/>
      <w:divBdr>
        <w:top w:val="none" w:sz="0" w:space="0" w:color="auto"/>
        <w:left w:val="none" w:sz="0" w:space="0" w:color="auto"/>
        <w:bottom w:val="none" w:sz="0" w:space="0" w:color="auto"/>
        <w:right w:val="none" w:sz="0" w:space="0" w:color="auto"/>
      </w:divBdr>
    </w:div>
    <w:div w:id="1554123155">
      <w:bodyDiv w:val="1"/>
      <w:marLeft w:val="0"/>
      <w:marRight w:val="0"/>
      <w:marTop w:val="0"/>
      <w:marBottom w:val="0"/>
      <w:divBdr>
        <w:top w:val="none" w:sz="0" w:space="0" w:color="auto"/>
        <w:left w:val="none" w:sz="0" w:space="0" w:color="auto"/>
        <w:bottom w:val="none" w:sz="0" w:space="0" w:color="auto"/>
        <w:right w:val="none" w:sz="0" w:space="0" w:color="auto"/>
      </w:divBdr>
      <w:divsChild>
        <w:div w:id="717704693">
          <w:marLeft w:val="0"/>
          <w:marRight w:val="0"/>
          <w:marTop w:val="0"/>
          <w:marBottom w:val="0"/>
          <w:divBdr>
            <w:top w:val="none" w:sz="0" w:space="0" w:color="auto"/>
            <w:left w:val="none" w:sz="0" w:space="0" w:color="auto"/>
            <w:bottom w:val="none" w:sz="0" w:space="0" w:color="auto"/>
            <w:right w:val="none" w:sz="0" w:space="0" w:color="auto"/>
          </w:divBdr>
        </w:div>
        <w:div w:id="1129588221">
          <w:marLeft w:val="0"/>
          <w:marRight w:val="0"/>
          <w:marTop w:val="0"/>
          <w:marBottom w:val="0"/>
          <w:divBdr>
            <w:top w:val="none" w:sz="0" w:space="0" w:color="auto"/>
            <w:left w:val="none" w:sz="0" w:space="0" w:color="auto"/>
            <w:bottom w:val="none" w:sz="0" w:space="0" w:color="auto"/>
            <w:right w:val="none" w:sz="0" w:space="0" w:color="auto"/>
          </w:divBdr>
        </w:div>
      </w:divsChild>
    </w:div>
    <w:div w:id="1554542882">
      <w:bodyDiv w:val="1"/>
      <w:marLeft w:val="0"/>
      <w:marRight w:val="0"/>
      <w:marTop w:val="0"/>
      <w:marBottom w:val="0"/>
      <w:divBdr>
        <w:top w:val="none" w:sz="0" w:space="0" w:color="auto"/>
        <w:left w:val="none" w:sz="0" w:space="0" w:color="auto"/>
        <w:bottom w:val="none" w:sz="0" w:space="0" w:color="auto"/>
        <w:right w:val="none" w:sz="0" w:space="0" w:color="auto"/>
      </w:divBdr>
    </w:div>
    <w:div w:id="1635988152">
      <w:bodyDiv w:val="1"/>
      <w:marLeft w:val="0"/>
      <w:marRight w:val="0"/>
      <w:marTop w:val="0"/>
      <w:marBottom w:val="0"/>
      <w:divBdr>
        <w:top w:val="none" w:sz="0" w:space="0" w:color="auto"/>
        <w:left w:val="none" w:sz="0" w:space="0" w:color="auto"/>
        <w:bottom w:val="none" w:sz="0" w:space="0" w:color="auto"/>
        <w:right w:val="none" w:sz="0" w:space="0" w:color="auto"/>
      </w:divBdr>
    </w:div>
    <w:div w:id="1649095669">
      <w:bodyDiv w:val="1"/>
      <w:marLeft w:val="0"/>
      <w:marRight w:val="0"/>
      <w:marTop w:val="0"/>
      <w:marBottom w:val="0"/>
      <w:divBdr>
        <w:top w:val="none" w:sz="0" w:space="0" w:color="auto"/>
        <w:left w:val="none" w:sz="0" w:space="0" w:color="auto"/>
        <w:bottom w:val="none" w:sz="0" w:space="0" w:color="auto"/>
        <w:right w:val="none" w:sz="0" w:space="0" w:color="auto"/>
      </w:divBdr>
    </w:div>
    <w:div w:id="1659840109">
      <w:bodyDiv w:val="1"/>
      <w:marLeft w:val="0"/>
      <w:marRight w:val="0"/>
      <w:marTop w:val="0"/>
      <w:marBottom w:val="0"/>
      <w:divBdr>
        <w:top w:val="none" w:sz="0" w:space="0" w:color="auto"/>
        <w:left w:val="none" w:sz="0" w:space="0" w:color="auto"/>
        <w:bottom w:val="none" w:sz="0" w:space="0" w:color="auto"/>
        <w:right w:val="none" w:sz="0" w:space="0" w:color="auto"/>
      </w:divBdr>
    </w:div>
    <w:div w:id="1668090341">
      <w:bodyDiv w:val="1"/>
      <w:marLeft w:val="0"/>
      <w:marRight w:val="0"/>
      <w:marTop w:val="0"/>
      <w:marBottom w:val="0"/>
      <w:divBdr>
        <w:top w:val="none" w:sz="0" w:space="0" w:color="auto"/>
        <w:left w:val="none" w:sz="0" w:space="0" w:color="auto"/>
        <w:bottom w:val="none" w:sz="0" w:space="0" w:color="auto"/>
        <w:right w:val="none" w:sz="0" w:space="0" w:color="auto"/>
      </w:divBdr>
    </w:div>
    <w:div w:id="1706518400">
      <w:bodyDiv w:val="1"/>
      <w:marLeft w:val="0"/>
      <w:marRight w:val="0"/>
      <w:marTop w:val="0"/>
      <w:marBottom w:val="0"/>
      <w:divBdr>
        <w:top w:val="none" w:sz="0" w:space="0" w:color="auto"/>
        <w:left w:val="none" w:sz="0" w:space="0" w:color="auto"/>
        <w:bottom w:val="none" w:sz="0" w:space="0" w:color="auto"/>
        <w:right w:val="none" w:sz="0" w:space="0" w:color="auto"/>
      </w:divBdr>
    </w:div>
    <w:div w:id="1725786004">
      <w:bodyDiv w:val="1"/>
      <w:marLeft w:val="0"/>
      <w:marRight w:val="0"/>
      <w:marTop w:val="0"/>
      <w:marBottom w:val="0"/>
      <w:divBdr>
        <w:top w:val="none" w:sz="0" w:space="0" w:color="auto"/>
        <w:left w:val="none" w:sz="0" w:space="0" w:color="auto"/>
        <w:bottom w:val="none" w:sz="0" w:space="0" w:color="auto"/>
        <w:right w:val="none" w:sz="0" w:space="0" w:color="auto"/>
      </w:divBdr>
    </w:div>
    <w:div w:id="1728527456">
      <w:bodyDiv w:val="1"/>
      <w:marLeft w:val="0"/>
      <w:marRight w:val="0"/>
      <w:marTop w:val="0"/>
      <w:marBottom w:val="0"/>
      <w:divBdr>
        <w:top w:val="none" w:sz="0" w:space="0" w:color="auto"/>
        <w:left w:val="none" w:sz="0" w:space="0" w:color="auto"/>
        <w:bottom w:val="none" w:sz="0" w:space="0" w:color="auto"/>
        <w:right w:val="none" w:sz="0" w:space="0" w:color="auto"/>
      </w:divBdr>
    </w:div>
    <w:div w:id="1780418464">
      <w:bodyDiv w:val="1"/>
      <w:marLeft w:val="0"/>
      <w:marRight w:val="0"/>
      <w:marTop w:val="0"/>
      <w:marBottom w:val="0"/>
      <w:divBdr>
        <w:top w:val="none" w:sz="0" w:space="0" w:color="auto"/>
        <w:left w:val="none" w:sz="0" w:space="0" w:color="auto"/>
        <w:bottom w:val="none" w:sz="0" w:space="0" w:color="auto"/>
        <w:right w:val="none" w:sz="0" w:space="0" w:color="auto"/>
      </w:divBdr>
    </w:div>
    <w:div w:id="1846628322">
      <w:bodyDiv w:val="1"/>
      <w:marLeft w:val="0"/>
      <w:marRight w:val="0"/>
      <w:marTop w:val="0"/>
      <w:marBottom w:val="0"/>
      <w:divBdr>
        <w:top w:val="none" w:sz="0" w:space="0" w:color="auto"/>
        <w:left w:val="none" w:sz="0" w:space="0" w:color="auto"/>
        <w:bottom w:val="none" w:sz="0" w:space="0" w:color="auto"/>
        <w:right w:val="none" w:sz="0" w:space="0" w:color="auto"/>
      </w:divBdr>
    </w:div>
    <w:div w:id="1890922344">
      <w:bodyDiv w:val="1"/>
      <w:marLeft w:val="0"/>
      <w:marRight w:val="0"/>
      <w:marTop w:val="0"/>
      <w:marBottom w:val="0"/>
      <w:divBdr>
        <w:top w:val="none" w:sz="0" w:space="0" w:color="auto"/>
        <w:left w:val="none" w:sz="0" w:space="0" w:color="auto"/>
        <w:bottom w:val="none" w:sz="0" w:space="0" w:color="auto"/>
        <w:right w:val="none" w:sz="0" w:space="0" w:color="auto"/>
      </w:divBdr>
      <w:divsChild>
        <w:div w:id="1638218404">
          <w:marLeft w:val="0"/>
          <w:marRight w:val="0"/>
          <w:marTop w:val="0"/>
          <w:marBottom w:val="0"/>
          <w:divBdr>
            <w:top w:val="none" w:sz="0" w:space="0" w:color="auto"/>
            <w:left w:val="none" w:sz="0" w:space="0" w:color="auto"/>
            <w:bottom w:val="none" w:sz="0" w:space="0" w:color="auto"/>
            <w:right w:val="none" w:sz="0" w:space="0" w:color="auto"/>
          </w:divBdr>
        </w:div>
        <w:div w:id="777868070">
          <w:marLeft w:val="0"/>
          <w:marRight w:val="0"/>
          <w:marTop w:val="0"/>
          <w:marBottom w:val="0"/>
          <w:divBdr>
            <w:top w:val="none" w:sz="0" w:space="0" w:color="auto"/>
            <w:left w:val="none" w:sz="0" w:space="0" w:color="auto"/>
            <w:bottom w:val="none" w:sz="0" w:space="0" w:color="auto"/>
            <w:right w:val="none" w:sz="0" w:space="0" w:color="auto"/>
          </w:divBdr>
        </w:div>
      </w:divsChild>
    </w:div>
    <w:div w:id="1909417061">
      <w:bodyDiv w:val="1"/>
      <w:marLeft w:val="0"/>
      <w:marRight w:val="0"/>
      <w:marTop w:val="0"/>
      <w:marBottom w:val="0"/>
      <w:divBdr>
        <w:top w:val="none" w:sz="0" w:space="0" w:color="auto"/>
        <w:left w:val="none" w:sz="0" w:space="0" w:color="auto"/>
        <w:bottom w:val="none" w:sz="0" w:space="0" w:color="auto"/>
        <w:right w:val="none" w:sz="0" w:space="0" w:color="auto"/>
      </w:divBdr>
      <w:divsChild>
        <w:div w:id="1224214728">
          <w:marLeft w:val="0"/>
          <w:marRight w:val="0"/>
          <w:marTop w:val="0"/>
          <w:marBottom w:val="0"/>
          <w:divBdr>
            <w:top w:val="none" w:sz="0" w:space="0" w:color="auto"/>
            <w:left w:val="none" w:sz="0" w:space="0" w:color="auto"/>
            <w:bottom w:val="none" w:sz="0" w:space="0" w:color="auto"/>
            <w:right w:val="none" w:sz="0" w:space="0" w:color="auto"/>
          </w:divBdr>
        </w:div>
        <w:div w:id="1944653010">
          <w:marLeft w:val="0"/>
          <w:marRight w:val="0"/>
          <w:marTop w:val="0"/>
          <w:marBottom w:val="0"/>
          <w:divBdr>
            <w:top w:val="none" w:sz="0" w:space="0" w:color="auto"/>
            <w:left w:val="none" w:sz="0" w:space="0" w:color="auto"/>
            <w:bottom w:val="none" w:sz="0" w:space="0" w:color="auto"/>
            <w:right w:val="none" w:sz="0" w:space="0" w:color="auto"/>
          </w:divBdr>
        </w:div>
      </w:divsChild>
    </w:div>
    <w:div w:id="1926260179">
      <w:bodyDiv w:val="1"/>
      <w:marLeft w:val="0"/>
      <w:marRight w:val="0"/>
      <w:marTop w:val="0"/>
      <w:marBottom w:val="0"/>
      <w:divBdr>
        <w:top w:val="none" w:sz="0" w:space="0" w:color="auto"/>
        <w:left w:val="none" w:sz="0" w:space="0" w:color="auto"/>
        <w:bottom w:val="none" w:sz="0" w:space="0" w:color="auto"/>
        <w:right w:val="none" w:sz="0" w:space="0" w:color="auto"/>
      </w:divBdr>
    </w:div>
    <w:div w:id="1939604855">
      <w:bodyDiv w:val="1"/>
      <w:marLeft w:val="0"/>
      <w:marRight w:val="0"/>
      <w:marTop w:val="0"/>
      <w:marBottom w:val="0"/>
      <w:divBdr>
        <w:top w:val="none" w:sz="0" w:space="0" w:color="auto"/>
        <w:left w:val="none" w:sz="0" w:space="0" w:color="auto"/>
        <w:bottom w:val="none" w:sz="0" w:space="0" w:color="auto"/>
        <w:right w:val="none" w:sz="0" w:space="0" w:color="auto"/>
      </w:divBdr>
    </w:div>
    <w:div w:id="2025858440">
      <w:bodyDiv w:val="1"/>
      <w:marLeft w:val="0"/>
      <w:marRight w:val="0"/>
      <w:marTop w:val="0"/>
      <w:marBottom w:val="0"/>
      <w:divBdr>
        <w:top w:val="none" w:sz="0" w:space="0" w:color="auto"/>
        <w:left w:val="none" w:sz="0" w:space="0" w:color="auto"/>
        <w:bottom w:val="none" w:sz="0" w:space="0" w:color="auto"/>
        <w:right w:val="none" w:sz="0" w:space="0" w:color="auto"/>
      </w:divBdr>
    </w:div>
    <w:div w:id="2040279088">
      <w:bodyDiv w:val="1"/>
      <w:marLeft w:val="0"/>
      <w:marRight w:val="0"/>
      <w:marTop w:val="0"/>
      <w:marBottom w:val="0"/>
      <w:divBdr>
        <w:top w:val="none" w:sz="0" w:space="0" w:color="auto"/>
        <w:left w:val="none" w:sz="0" w:space="0" w:color="auto"/>
        <w:bottom w:val="none" w:sz="0" w:space="0" w:color="auto"/>
        <w:right w:val="none" w:sz="0" w:space="0" w:color="auto"/>
      </w:divBdr>
    </w:div>
    <w:div w:id="2042853586">
      <w:bodyDiv w:val="1"/>
      <w:marLeft w:val="0"/>
      <w:marRight w:val="0"/>
      <w:marTop w:val="0"/>
      <w:marBottom w:val="0"/>
      <w:divBdr>
        <w:top w:val="none" w:sz="0" w:space="0" w:color="auto"/>
        <w:left w:val="none" w:sz="0" w:space="0" w:color="auto"/>
        <w:bottom w:val="none" w:sz="0" w:space="0" w:color="auto"/>
        <w:right w:val="none" w:sz="0" w:space="0" w:color="auto"/>
      </w:divBdr>
    </w:div>
    <w:div w:id="2061782073">
      <w:bodyDiv w:val="1"/>
      <w:marLeft w:val="0"/>
      <w:marRight w:val="0"/>
      <w:marTop w:val="0"/>
      <w:marBottom w:val="0"/>
      <w:divBdr>
        <w:top w:val="none" w:sz="0" w:space="0" w:color="auto"/>
        <w:left w:val="none" w:sz="0" w:space="0" w:color="auto"/>
        <w:bottom w:val="none" w:sz="0" w:space="0" w:color="auto"/>
        <w:right w:val="none" w:sz="0" w:space="0" w:color="auto"/>
      </w:divBdr>
    </w:div>
    <w:div w:id="2084793160">
      <w:bodyDiv w:val="1"/>
      <w:marLeft w:val="0"/>
      <w:marRight w:val="0"/>
      <w:marTop w:val="0"/>
      <w:marBottom w:val="0"/>
      <w:divBdr>
        <w:top w:val="none" w:sz="0" w:space="0" w:color="auto"/>
        <w:left w:val="none" w:sz="0" w:space="0" w:color="auto"/>
        <w:bottom w:val="none" w:sz="0" w:space="0" w:color="auto"/>
        <w:right w:val="none" w:sz="0" w:space="0" w:color="auto"/>
      </w:divBdr>
      <w:divsChild>
        <w:div w:id="802768816">
          <w:marLeft w:val="0"/>
          <w:marRight w:val="0"/>
          <w:marTop w:val="0"/>
          <w:marBottom w:val="0"/>
          <w:divBdr>
            <w:top w:val="none" w:sz="0" w:space="0" w:color="auto"/>
            <w:left w:val="none" w:sz="0" w:space="0" w:color="auto"/>
            <w:bottom w:val="none" w:sz="0" w:space="0" w:color="auto"/>
            <w:right w:val="none" w:sz="0" w:space="0" w:color="auto"/>
          </w:divBdr>
        </w:div>
        <w:div w:id="1167019525">
          <w:marLeft w:val="0"/>
          <w:marRight w:val="0"/>
          <w:marTop w:val="0"/>
          <w:marBottom w:val="0"/>
          <w:divBdr>
            <w:top w:val="none" w:sz="0" w:space="0" w:color="auto"/>
            <w:left w:val="none" w:sz="0" w:space="0" w:color="auto"/>
            <w:bottom w:val="none" w:sz="0" w:space="0" w:color="auto"/>
            <w:right w:val="none" w:sz="0" w:space="0" w:color="auto"/>
          </w:divBdr>
        </w:div>
        <w:div w:id="583026190">
          <w:marLeft w:val="0"/>
          <w:marRight w:val="0"/>
          <w:marTop w:val="0"/>
          <w:marBottom w:val="0"/>
          <w:divBdr>
            <w:top w:val="none" w:sz="0" w:space="0" w:color="auto"/>
            <w:left w:val="none" w:sz="0" w:space="0" w:color="auto"/>
            <w:bottom w:val="none" w:sz="0" w:space="0" w:color="auto"/>
            <w:right w:val="none" w:sz="0" w:space="0" w:color="auto"/>
          </w:divBdr>
        </w:div>
        <w:div w:id="639383222">
          <w:marLeft w:val="0"/>
          <w:marRight w:val="0"/>
          <w:marTop w:val="0"/>
          <w:marBottom w:val="0"/>
          <w:divBdr>
            <w:top w:val="none" w:sz="0" w:space="0" w:color="auto"/>
            <w:left w:val="none" w:sz="0" w:space="0" w:color="auto"/>
            <w:bottom w:val="none" w:sz="0" w:space="0" w:color="auto"/>
            <w:right w:val="none" w:sz="0" w:space="0" w:color="auto"/>
          </w:divBdr>
        </w:div>
        <w:div w:id="11107213">
          <w:marLeft w:val="0"/>
          <w:marRight w:val="0"/>
          <w:marTop w:val="0"/>
          <w:marBottom w:val="0"/>
          <w:divBdr>
            <w:top w:val="none" w:sz="0" w:space="0" w:color="auto"/>
            <w:left w:val="none" w:sz="0" w:space="0" w:color="auto"/>
            <w:bottom w:val="none" w:sz="0" w:space="0" w:color="auto"/>
            <w:right w:val="none" w:sz="0" w:space="0" w:color="auto"/>
          </w:divBdr>
        </w:div>
      </w:divsChild>
    </w:div>
    <w:div w:id="2088191329">
      <w:bodyDiv w:val="1"/>
      <w:marLeft w:val="0"/>
      <w:marRight w:val="0"/>
      <w:marTop w:val="0"/>
      <w:marBottom w:val="0"/>
      <w:divBdr>
        <w:top w:val="none" w:sz="0" w:space="0" w:color="auto"/>
        <w:left w:val="none" w:sz="0" w:space="0" w:color="auto"/>
        <w:bottom w:val="none" w:sz="0" w:space="0" w:color="auto"/>
        <w:right w:val="none" w:sz="0" w:space="0" w:color="auto"/>
      </w:divBdr>
    </w:div>
    <w:div w:id="2091582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8beb405b9504c229a492b95e74d8ae4" PartId="909efa6a1d414ac8a8426253adb49f35">
    <Part Type="punktas" Nr="1" Abbr="1 p." DocPartId="a6d8d0a17bd9414295af1a261734b832" PartId="28c5b21d62d546d69b14a3b6ea796614">
      <Part Type="papunktis" Nr="1.1" Abbr="1.1 pp." DocPartId="13c4c777cb4b404590c629993b7bb990" PartId="202744efc3b849e982f34b2a20bd4d6c"/>
      <Part Type="papunktis" Nr="1.2" Abbr="1.2 pp." DocPartId="50627687bc854adcb8eef57c7c445d57" PartId="c4712af8719d49a7af35deb15836bdc6"/>
      <Part Type="papunktis" Nr="1.3" Abbr="1.3 pp." DocPartId="f88f3025dc6047ae96ea43064d57b497" PartId="29e9a881e17a4f398efd7c7ffa8f03b3"/>
      <Part Type="papunktis" Nr="1.4" Abbr="1.4 pp." DocPartId="c0602aa3855843f1bc2267c03a389677" PartId="b288526d78854c63afd4c1582f126be2"/>
      <Part Type="papunktis" Nr="1.5" Abbr="1.5 pp." DocPartId="1a5a33b08a97406bba79779e5a898558" PartId="a72b027b06de43acbe1e475e7ee35465"/>
      <Part Type="papunktis" Nr="1.6" Abbr="1.6 pp." DocPartId="3fcbee738baf42039a4eb98dd33cb3ea" PartId="9f8c33ce3b9544c780c96177cdba78c2"/>
      <Part Type="papunktis" Nr="1.7" Abbr="1.7 pp." DocPartId="ed8893e770de440db23a96548a02f3cd" PartId="fd95db5e8f034e43ab4dc7f29745b985"/>
      <Part Type="papunktis" Nr="1.8" Abbr="1.8 pp." DocPartId="7771d2c65ea64365885f2ee6005a0ff2" PartId="92fbc7ff043b48d4a6ec83471c9eb074"/>
      <Part Type="papunktis" Nr="1.9" Abbr="1.9 pp." DocPartId="567210c302254afbbb4bb72ef3f551aa" PartId="d0b2b41c26364bd195488823ac60f0fe"/>
      <Part Type="papunktis" Nr="1.10" Abbr="1.10 pp." DocPartId="4498d08de92d42f0a3eb9453a04e6a2c" PartId="dabfb2c1ac134ed69ee310c71678f6a0"/>
      <Part Type="papunktis" Nr="1.11" Abbr="1.11 pp." DocPartId="8f4b78c1a2a740df8ab8f38993db5b59" PartId="11b271714d114351921912c025aba297"/>
    </Part>
    <Part Type="punktas" Nr="2" Abbr="2 p." DocPartId="97045c66d08b4c6994a4f9b23e106de2" PartId="fa9aaa624b8142049f1302c5633a854d"/>
    <Part Type="signatura" DocPartId="93c3d63f451e4554a3d7877fb6f00347" PartId="9bb937b68b9d474a8a581ee976753324"/>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CA795B36-8666-401F-B4BD-5F5779B65378}">
  <ds:schemaRefs>
    <ds:schemaRef ds:uri="http://lrs.lt/TAIS/DocParts"/>
  </ds:schemaRefs>
</ds:datastoreItem>
</file>

<file path=customXml/itemProps2.xml><?xml version="1.0" encoding="utf-8"?>
<ds:datastoreItem xmlns:ds="http://schemas.openxmlformats.org/officeDocument/2006/customXml" ds:itemID="{7B1E482B-6335-4767-A1C4-B0DFAC4DBD8F}">
  <ds:schemaRefs>
    <ds:schemaRef ds:uri="http://schemas.openxmlformats.org/officeDocument/2006/bibliography"/>
  </ds:schemaRefs>
</ds:datastoreItem>
</file>

<file path=customXml/itemProps3.xml><?xml version="1.0" encoding="utf-8"?>
<ds:datastoreItem xmlns:ds="http://schemas.openxmlformats.org/officeDocument/2006/customXml" ds:itemID="{4C789481-EE39-4D94-99DD-88036DB5B2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5</Pages>
  <Words>4919</Words>
  <Characters>2805</Characters>
  <Application>Microsoft Office Word</Application>
  <DocSecurity>0</DocSecurity>
  <Lines>23</Lines>
  <Paragraphs>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Soc. apsaugos ir darbo min.</Company>
  <LinksUpToDate>false</LinksUpToDate>
  <CharactersWithSpaces>7709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2023-07-17T05:49:00Z</dcterms:created>
  <dc:creator>LR SADM</dc:creator>
  <lastModifiedBy>TAMALIŪNIENĖ Vilija</lastModifiedBy>
  <lastPrinted>2018-04-13T06:21:00Z</lastPrinted>
  <dcterms:modified xsi:type="dcterms:W3CDTF">2023-09-27T04:38:00Z</dcterms:modified>
  <revision>4</revision>
</coreProperties>
</file>

<file path=docProps/custom.xml><?xml version="1.0" encoding="utf-8"?>
<Properties xmlns="http://schemas.openxmlformats.org/officeDocument/2006/custom-properties">
  <property fmtid="{D5CDD505-2E9C-101B-9397-08002B2CF9AE}" pid="2" name="_NewReviewCycle">
    <vt:lpwstr xmlns:vt="http://schemas.openxmlformats.org/officeDocument/2006/docPropsVTypes"/>
  </property>
</Properties>
</file>