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203ac3c71d490c8312ca6b24bad703"/>
        <w:lock w:val="sdtLocked"/>
        <w:richText/>
      </w:sdtPr>
      <w:sdtContent>
        <w:p>
          <w:pPr>
            <w:jc w:val="both"/>
            <w:rPr>
              <w:rFonts w:ascii="Times New Roman" w:hAnsi="Times New Roman"/>
            </w:rPr>
          </w:pPr>
          <w:r>
            <w:rPr>
              <w:rFonts w:ascii="Times New Roman" w:hAnsi="Times New Roman"/>
              <w:b/>
              <w:i/>
            </w:rPr>
            <w:t>Suvestinė redakcija nuo 2022-04-28 iki 2022-12-27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8" o:title=""/>
              </v:shape>
              <o:OLEObject Type="Embed" ProgID="CorelPhotoPaint.Image.9" ShapeID="_x0000_i1025" DrawAspect="Content" ObjectID="_0000000001" r:id="rId9"/>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f9d1169e41854648acd24b5b2fadeffe"/>
        <w:lock w:val="sdtLocked"/>
        <w:richText/>
      </w:sdtPr>
      <w:sdtContent>
        <w:p>
          <w:pPr>
            <w:widowControl w:val="0"/>
            <w:suppressAutoHyphens/>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f9d1169e41854648acd24b5b2fadeffe"/>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9c068dd71c1d45d8be9e79a9e2a92d84"/>
            <w:lock w:val="sdtLocked"/>
            <w:richText/>
          </w:sdtPr>
          <w:sdtContent>
            <w:p>
              <w:pPr>
                <w:widowControl w:val="0"/>
                <w:suppressAutoHyphens/>
                <w:jc w:val="center"/>
                <w:rPr>
                  <w:rFonts w:eastAsia="SimSun" w:cs="Mangal"/>
                  <w:b/>
                  <w:kern w:val="2"/>
                  <w:szCs w:val="24"/>
                  <w:lang w:eastAsia="zh-CN" w:bidi="hi-IN"/>
                </w:rPr>
              </w:pPr>
              <w:sdt>
                <w:sdtPr>
                  <w:alias w:val="Numeris"/>
                  <w:tag w:val="nr_9c068dd71c1d45d8be9e79a9e2a92d84"/>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jc w:val="center"/>
                <w:rPr>
                  <w:rFonts w:eastAsia="SimSun"/>
                  <w:b/>
                  <w:lang w:eastAsia="zh-CN" w:bidi="hi-IN"/>
                </w:rPr>
              </w:pPr>
              <w:sdt>
                <w:sdtPr>
                  <w:alias w:val="Pavadinimas"/>
                  <w:tag w:val="title_9c068dd71c1d45d8be9e79a9e2a92d84"/>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6-1 p."/>
                <w:tag w:val="part_1b5b13b5a267474f8af8b3ed5919803a"/>
                <w:lock w:val="sdtLocked"/>
                <w:richText/>
              </w:sdtPr>
              <w:sdtContent>
                <w:p>
                  <w:pPr>
                    <w:widowControl w:val="0"/>
                    <w:tabs>
                      <w:tab w:val="left" w:pos="0"/>
                    </w:tabs>
                    <w:suppressAutoHyphens/>
                    <w:ind w:firstLine="709"/>
                    <w:jc w:val="both"/>
                    <w:rPr>
                      <w:bCs/>
                      <w:szCs w:val="24"/>
                      <w:lang w:eastAsia="zh-CN"/>
                    </w:rPr>
                  </w:pPr>
                  <w:sdt>
                    <w:sdtPr>
                      <w:alias w:val="Numeris"/>
                      <w:tag w:val="nr_1b5b13b5a267474f8af8b3ed5919803a"/>
                      <w:lock w:val="sdtLocked"/>
                      <w:richText/>
                    </w:sdtPr>
                    <w:sdtContent>
                      <w:r>
                        <w:rPr>
                          <w:bCs/>
                          <w:szCs w:val="24"/>
                          <w:lang w:eastAsia="zh-CN"/>
                        </w:rPr>
                        <w:t>36¹</w:t>
                      </w:r>
                    </w:sdtContent>
                  </w:sdt>
                  <w:r>
                    <w:rPr>
                      <w:bCs/>
                      <w:szCs w:val="24"/>
                      <w:lang w:eastAsia="zh-CN"/>
                    </w:rPr>
                    <w:t>. Tais atvejais, kai būstui šildyti ir karštam vandeniui ruošti naudojamas kietasis ar kitoks kuras, kurio faktinės sąnaudos kiekvieną mėnesį nenustatomos, kompensacijos apskaičiuojamos, vadovaujantis kompensacijų būstui šildyti apskaičiavimo metodika, pagal asmens pateiktas sąskaitas - faktūras ir mokėjimo dokumentus (kasos čekį, kasos pajamų orderį, mokėjimo nurodymą ir kt.). Išmokama kompensacijos suma negali būti didesnė už sąskaitoje - faktūroje ir mokėjimo dokumentuose nurodytą</w:t>
                  </w:r>
                  <w:r>
                    <w:rPr>
                      <w:color w:val="000000"/>
                      <w:sz w:val="20"/>
                      <w:lang w:eastAsia="lt-LT"/>
                    </w:rPr>
                    <w:t xml:space="preserve"> </w:t>
                  </w:r>
                  <w:r>
                    <w:rPr>
                      <w:bCs/>
                      <w:szCs w:val="24"/>
                      <w:lang w:eastAsia="zh-CN"/>
                    </w:rPr>
                    <w:t>sumą.</w:t>
                  </w:r>
                </w:p>
                <w:p>
                  <w:pPr>
                    <w:widowControl w:val="0"/>
                    <w:tabs>
                      <w:tab w:val="left" w:pos="0"/>
                    </w:tabs>
                    <w:suppressAutoHyphens/>
                    <w:ind w:firstLine="709"/>
                    <w:jc w:val="both"/>
                    <w:rPr>
                      <w:szCs w:val="24"/>
                      <w:lang w:eastAsia="lt-LT"/>
                    </w:rPr>
                  </w:pPr>
                  <w:r>
                    <w:rPr>
                      <w:bCs/>
                      <w:szCs w:val="24"/>
                      <w:lang w:eastAsia="zh-CN"/>
                    </w:rPr>
                    <w:t>Pareiškėjui nereikia pateikti sąskaitų - faktūrų ir mokėjimo dokumentų, kai būstui šildyti ir karštam vandeniui ruošti naudojamos malkos.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36cf03e0011ec992fe4cdfceb5666">
                    <w:r w:rsidRPr="00532B9F">
                      <w:rPr>
                        <w:rFonts w:ascii="Times New Roman" w:eastAsia="MS Mincho" w:hAnsi="Times New Roman"/>
                        <w:sz w:val="20"/>
                        <w:i/>
                        <w:iCs/>
                        <w:color w:val="0000FF" w:themeColor="hyperlink"/>
                        <w:u w:val="single"/>
                      </w:rPr>
                      <w:t>T3-273</w:t>
                    </w:r>
                  </w:fldSimple>
                  <w:r>
                    <w:rPr>
                      <w:rFonts w:ascii="Times New Roman" w:eastAsia="MS Mincho" w:hAnsi="Times New Roman"/>
                      <w:sz w:val="20"/>
                      <w:i/>
                      <w:iCs/>
                    </w:rPr>
                    <w:t>,
2021-10-29,
paskelbta TAR 2021-11-05, i. k. 2021-23084        </w:t>
                  </w:r>
                </w:p>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584add552e6747e08ede795a693eac71"/>
                        <w:lock w:val="sdtLocked"/>
                        <w:richText/>
                      </w:sdtPr>
                      <w:sdtContent>
                        <w:p>
                          <w:pPr>
                            <w:widowControl w:val="0"/>
                            <w:tabs>
                              <w:tab w:val="left" w:pos="0"/>
                            </w:tabs>
                            <w:suppressAutoHyphens/>
                            <w:ind w:firstLine="709"/>
                            <w:jc w:val="both"/>
                            <w:rPr>
                              <w:bCs/>
                              <w:szCs w:val="24"/>
                              <w:lang w:eastAsia="zh-CN"/>
                            </w:rPr>
                          </w:pPr>
                          <w:sdt>
                            <w:sdtPr>
                              <w:alias w:val="Numeris"/>
                              <w:tag w:val="nr_584add552e6747e08ede795a693eac71"/>
                              <w:lock w:val="sdtLocked"/>
                              <w:richText/>
                            </w:sdt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0a364236e5514a8e8297fdea5abd16ad"/>
                            <w:lock w:val="sdtLocked"/>
                            <w:richText/>
                          </w:sdtPr>
                          <w:sdtContent>
                            <w:p>
                              <w:pPr>
                                <w:widowControl w:val="0"/>
                                <w:tabs>
                                  <w:tab w:val="left" w:pos="0"/>
                                </w:tabs>
                                <w:suppressAutoHyphens/>
                                <w:ind w:firstLine="709"/>
                                <w:jc w:val="both"/>
                                <w:rPr>
                                  <w:bCs/>
                                  <w:szCs w:val="24"/>
                                  <w:lang w:eastAsia="zh-CN"/>
                                </w:rPr>
                              </w:pPr>
                              <w:sdt>
                                <w:sdtPr>
                                  <w:alias w:val="Numeris"/>
                                  <w:tag w:val="nr_0a364236e5514a8e8297fdea5abd16ad"/>
                                  <w:lock w:val="sdtLocked"/>
                                  <w:richText/>
                                </w:sdt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a2e0c2504b844912b6d6ddcd8a2469b3"/>
                            <w:lock w:val="sdtLocked"/>
                            <w:richText/>
                          </w:sdtPr>
                          <w:sdtContent>
                            <w:p>
                              <w:pPr>
                                <w:widowControl w:val="0"/>
                                <w:tabs>
                                  <w:tab w:val="left" w:pos="0"/>
                                </w:tabs>
                                <w:suppressAutoHyphens/>
                                <w:ind w:firstLine="709"/>
                                <w:jc w:val="both"/>
                                <w:rPr>
                                  <w:bCs/>
                                  <w:szCs w:val="24"/>
                                  <w:lang w:eastAsia="zh-CN"/>
                                </w:rPr>
                              </w:pPr>
                              <w:sdt>
                                <w:sdtPr>
                                  <w:alias w:val="Numeris"/>
                                  <w:tag w:val="nr_a2e0c2504b844912b6d6ddcd8a2469b3"/>
                                  <w:lock w:val="sdtLocked"/>
                                  <w:richText/>
                                </w:sdt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bc6fb4cafb0d4d6bbbfd0a288ce59e2d"/>
                            <w:lock w:val="sdtLocked"/>
                            <w:richText/>
                          </w:sdtPr>
                          <w:sdtContent>
                            <w:p>
                              <w:pPr>
                                <w:widowControl w:val="0"/>
                                <w:tabs>
                                  <w:tab w:val="left" w:pos="0"/>
                                </w:tabs>
                                <w:suppressAutoHyphens/>
                                <w:ind w:firstLine="709"/>
                                <w:jc w:val="both"/>
                              </w:pPr>
                              <w:sdt>
                                <w:sdtPr>
                                  <w:alias w:val="Numeris"/>
                                  <w:tag w:val="nr_bc6fb4cafb0d4d6bbbfd0a288ce59e2d"/>
                                  <w:lock w:val="sdtLocked"/>
                                  <w:richText/>
                                </w:sdtPr>
                                <w:sdtContent>
                                  <w:r>
                                    <w:rPr>
                                      <w:bCs/>
                                      <w:szCs w:val="24"/>
                                      <w:lang w:eastAsia="zh-CN"/>
                                    </w:rPr>
                                    <w:t>52.1.3.3</w:t>
                                  </w:r>
                                </w:sdtContent>
                              </w:sdt>
                              <w:r>
                                <w:rPr>
                                  <w:bCs/>
                                  <w:szCs w:val="24"/>
                                  <w:lang w:eastAsia="zh-CN"/>
                                </w:rPr>
                                <w:t>. asmeniui, ne mažiau kaip 6 mėnesius išbuvusiam Lietuvos Respublikos laisvės atėmimo, kardomojo kalinimo vietoje, kai kreipiamasi ne vėliau kaip per du mėnesius nuo paleidimo iš pataisos įstaigos dienos, skiriama 3,2 BSI dydžio pašalpa. Pašalpa išmokama per 24 valandas nuo prašymo ir visų reikalingų dokumentų gavimo Socialinės rūpybos skyriuje dienos, jei lėšos pervedamos per Lietuvos Respublikoje, kitoje Europos Sąjungos valstybėje narėje ar Europos ekonominės erdvės valstybėje įregistruotą kredito įstaigą ar kitą mokėjimo paslaugų teikėją į pareiškėjo nurodytą asmeninę sąskaitą;</w:t>
                              </w:r>
                              <w:r>
                                <w:t xml:space="preserve"> </w:t>
                              </w:r>
                            </w:p>
                          </w:sdtContent>
                        </w:sdt>
                        <w:sdt>
                          <w:sdtPr>
                            <w:alias w:val="52.1.3.4 pp."/>
                            <w:tag w:val="part_e8d84a00f3034203a689b31f5a7bf243"/>
                            <w:lock w:val="sdtLocked"/>
                            <w:richText/>
                          </w:sdtPr>
                          <w:sdtContent>
                            <w:p>
                              <w:pPr>
                                <w:widowControl w:val="0"/>
                                <w:tabs>
                                  <w:tab w:val="left" w:pos="0"/>
                                </w:tabs>
                                <w:suppressAutoHyphens/>
                                <w:ind w:firstLine="709"/>
                                <w:jc w:val="both"/>
                              </w:pPr>
                              <w:sdt>
                                <w:sdtPr>
                                  <w:alias w:val="Numeris"/>
                                  <w:tag w:val="nr_e8d84a00f3034203a689b31f5a7bf243"/>
                                  <w:lock w:val="sdtLocked"/>
                                  <w:richText/>
                                </w:sdtPr>
                                <w:sdtContent>
                                  <w:r>
                                    <w:rPr>
                                      <w:bCs/>
                                      <w:szCs w:val="24"/>
                                      <w:lang w:eastAsia="zh-CN"/>
                                    </w:rPr>
                                    <w:t>52.1.3.4</w:t>
                                  </w:r>
                                </w:sdtContent>
                              </w:sdt>
                              <w:r>
                                <w:rPr>
                                  <w:bCs/>
                                  <w:szCs w:val="24"/>
                                  <w:lang w:eastAsia="zh-CN"/>
                                </w:rPr>
                                <w:t>. iš užsienio valstybės dėl karinės agresijos jų valstybėje pasitraukusiems užsieniečiams, kurie Lietuvos Respublikoje pateikė prašymus dėl laikinosios apsaugos suteikimo, iki ji bus suteikta: vienam asmeniui – 2,5 BSI, už kiekvieną paskesnį bendrai gyvenantį šeimos narį – papildomai po 1 BSI, jeigu tokia pašalpa nebuvo paskirta kitos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8fd607cc811eb9601893677bfd7d8">
                            <w:r w:rsidRPr="00532B9F">
                              <w:rPr>
                                <w:rFonts w:ascii="Times New Roman" w:eastAsia="MS Mincho" w:hAnsi="Times New Roman"/>
                                <w:sz w:val="20"/>
                                <w:i/>
                                <w:iCs/>
                                <w:color w:val="0000FF" w:themeColor="hyperlink"/>
                                <w:u w:val="single"/>
                              </w:rPr>
                              <w:t>T3-45</w:t>
                            </w:r>
                          </w:fldSimple>
                          <w:r>
                            <w:rPr>
                              <w:rFonts w:ascii="Times New Roman" w:eastAsia="MS Mincho" w:hAnsi="Times New Roman"/>
                              <w:sz w:val="20"/>
                              <w:i/>
                              <w:iCs/>
                            </w:rPr>
                            <w:t>,
2021-02-26,
paskelbta TAR 2021-03-04, i. k. 2021-04508            </w:t>
                          </w:r>
                        </w:p>
                        <w:p/>
                      </w:sdtContent>
                    </w:sdt>
                    <w:sdt>
                      <w:sdtPr>
                        <w:alias w:val="52.1.4 pp."/>
                        <w:tag w:val="part_7626534c58544617b31c8efa391a39f6"/>
                        <w:lock w:val="sdtLocked"/>
                        <w:richText/>
                      </w:sdtPr>
                      <w:sdtContent>
                        <w:p>
                          <w:pPr>
                            <w:widowControl w:val="0"/>
                            <w:tabs>
                              <w:tab w:val="left" w:pos="0"/>
                            </w:tabs>
                            <w:suppressAutoHyphens/>
                            <w:ind w:firstLine="709"/>
                            <w:jc w:val="both"/>
                          </w:pPr>
                          <w:r>
                            <w:rPr>
                              <w:bCs/>
                              <w:szCs w:val="24"/>
                              <w:lang w:eastAsia="zh-CN"/>
                            </w:rPr>
                            <w:t xml:space="preserve"> </w:t>
                          </w:r>
                          <w:sdt>
                            <w:sdtPr>
                              <w:alias w:val="Numeris"/>
                              <w:tag w:val="nr_7626534c58544617b31c8efa391a39f6"/>
                              <w:lock w:val="sdtLocked"/>
                              <w:richText/>
                            </w:sdtPr>
                            <w:sdtContent>
                              <w:r>
                                <w:rPr>
                                  <w:bCs/>
                                  <w:szCs w:val="24"/>
                                  <w:lang w:eastAsia="zh-CN"/>
                                </w:rPr>
                                <w:t>52.1.4</w:t>
                              </w:r>
                            </w:sdtContent>
                          </w:sdt>
                          <w:r>
                            <w:rPr>
                              <w:bCs/>
                              <w:szCs w:val="24"/>
                              <w:lang w:eastAsia="zh-CN"/>
                            </w:rPr>
                            <w:t>. Dėl vienkartinės pašalpos, nurodytos 52.1.3.4. papunktyje, skyrimo, asmuo kreipiasi į gyvenamosios vietos seniūniją, užpildo seniūnijos patvirtintos formos prašymą, nurodydamas pašalpos reikalingumo motyvus, pateikia asmens tapatybę patvirtinantį dokumentą (gali pateikti ir vairuotojo pažymėjimą, pensininko pažymėjimą ir kt.) ir Migracijos departamento išduotą registracijos kortelę apie prašymo pateikimą dėl laikinosios apsaugos suteikimo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
                      <w:sdtPr>
                        <w:alias w:val="52.1.5 pp."/>
                        <w:tag w:val="part_f206d1469c9b426281a691594fff8d15"/>
                        <w:lock w:val="sdtLocked"/>
                        <w:richText/>
                      </w:sdtPr>
                      <w:sdtContent>
                        <w:p>
                          <w:pPr>
                            <w:widowControl w:val="0"/>
                            <w:tabs>
                              <w:tab w:val="left" w:pos="0"/>
                            </w:tabs>
                            <w:suppressAutoHyphens/>
                            <w:ind w:firstLine="709"/>
                            <w:jc w:val="both"/>
                            <w:rPr>
                              <w:szCs w:val="24"/>
                              <w:lang w:eastAsia="lt-LT"/>
                            </w:rPr>
                          </w:pPr>
                          <w:sdt>
                            <w:sdtPr>
                              <w:alias w:val="Numeris"/>
                              <w:tag w:val="nr_f206d1469c9b426281a691594fff8d15"/>
                              <w:lock w:val="sdtLocked"/>
                              <w:richText/>
                            </w:sdtPr>
                            <w:sdtContent>
                              <w:r>
                                <w:rPr>
                                  <w:bCs/>
                                  <w:szCs w:val="24"/>
                                  <w:lang w:eastAsia="zh-CN"/>
                                </w:rPr>
                                <w:t>52.1.5</w:t>
                              </w:r>
                            </w:sdtContent>
                          </w:sdt>
                          <w:r>
                            <w:rPr>
                              <w:bCs/>
                              <w:szCs w:val="24"/>
                              <w:lang w:eastAsia="zh-CN"/>
                            </w:rPr>
                            <w:t>. Pašalpa, nurodyta 52.1.3.4. papunktyje,</w:t>
                          </w:r>
                          <w:r>
                            <w:rPr>
                              <w:szCs w:val="24"/>
                              <w:lang w:eastAsia="lt-LT"/>
                            </w:rPr>
                            <w:t xml:space="preserve"> </w:t>
                          </w:r>
                          <w:r>
                            <w:rPr>
                              <w:bCs/>
                              <w:szCs w:val="24"/>
                              <w:lang w:eastAsia="zh-CN"/>
                            </w:rPr>
                            <w:t>skiriama (neskiriama) atsižvelgus į pareiškėjo gyvenamosios seniūnijos siūlymą skyriaus vedėjo įsakymu ir išmokama pašte arba į asmens nurodytą sąskaitą banke.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36cf03e0011ec992fe4cdfceb5666">
            <w:r w:rsidRPr="00532B9F">
              <w:rPr>
                <w:rFonts w:ascii="Times New Roman" w:eastAsia="MS Mincho" w:hAnsi="Times New Roman"/>
                <w:sz w:val="20"/>
                <w:iCs/>
                <w:color w:val="0000FF" w:themeColor="hyperlink"/>
                <w:u w:val="single"/>
              </w:rPr>
              <w:t>T3-273</w:t>
            </w:r>
          </w:fldSimple>
          <w:r>
            <w:rPr>
              <w:rFonts w:ascii="Times New Roman" w:eastAsia="MS Mincho" w:hAnsi="Times New Roman"/>
              <w:sz w:val="20"/>
              <w:iCs/>
            </w:rPr>
            <w:t>,
2021-10-29,
paskelbta TAR 2021-11-05, i. k. 2021-23084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7d71460c61f11ec8d9390588bf2de65">
            <w:r w:rsidRPr="00532B9F">
              <w:rPr>
                <w:rFonts w:ascii="Times New Roman" w:eastAsia="MS Mincho" w:hAnsi="Times New Roman"/>
                <w:sz w:val="20"/>
                <w:iCs/>
                <w:color w:val="0000FF" w:themeColor="hyperlink"/>
                <w:u w:val="single"/>
              </w:rPr>
              <w:t>T3-120</w:t>
            </w:r>
          </w:fldSimple>
          <w:r>
            <w:rPr>
              <w:rFonts w:ascii="Times New Roman" w:eastAsia="MS Mincho" w:hAnsi="Times New Roman"/>
              <w:sz w:val="20"/>
              <w:iCs/>
            </w:rPr>
            <w:t>,
2022-04-27,
paskelbta TAR 2022-04-27, i. k. 2022-08582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15:docId w15:val="{F4EAFA20-33CE-4AAE-A330-C5985C5681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oleObject" Target="embeddings/oleObject4.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ca203ac3c71d490c8312ca6b24bad703">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f9d1169e41854648acd24b5b2fadeffe">
    <Part Type="skyrius" Nr="1" Title="BENDROSIOS NUOSTATOS" DocPartId="d8fe2614147841ce9b04439d72047f56" PartId="9c068dd71c1d45d8be9e79a9e2a92d84">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6-1" Abbr="36-1 p." DocPartId="b644ee8f2b4647c7b0e28b7dcbe86461" PartId="1b5b13b5a267474f8af8b3ed5919803a"/>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584add552e6747e08ede795a693eac71">
            <Part Type="papunktis" Nr="52.1.3.1" Abbr="52.1.3.1 pp." DocPartId="858849a626684d12abb79975b295a2da" PartId="0a364236e5514a8e8297fdea5abd16ad"/>
            <Part Type="papunktis" Nr="52.1.3.2" Abbr="52.1.3.2 pp." DocPartId="09dc8020850744df9f9fcfc3d37e2014" PartId="a2e0c2504b844912b6d6ddcd8a2469b3"/>
            <Part Type="papunktis" Nr="52.1.3.3" Abbr="52.1.3.3 pp." DocPartId="052a77cd34ea4767927659975a469452" PartId="bc6fb4cafb0d4d6bbbfd0a288ce59e2d"/>
            <Part Type="papunktis" Nr="52.1.3.4" Abbr="52.1.3.4 pp." DocPartId="2733c09f95674c309966f4d9fd678ce7" PartId="e8d84a00f3034203a689b31f5a7bf243"/>
          </Part>
          <Part Type="papunktis" Nr="52.1.4" Abbr="52.1.4 pp." DocPartId="138ead923ba547ccb8bc8365cb078b46" PartId="7626534c58544617b31c8efa391a39f6"/>
          <Part Type="papunktis" Nr="52.1.5" Abbr="52.1.5 pp." DocPartId="69752aa26ae746ba969cad5a3f90c66f" PartId="f206d1469c9b426281a691594fff8d15"/>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AB701838-8E74-419B-8F84-E1A6F383E0D1}">
  <ds:schemaRefs>
    <ds:schemaRef ds:uri="http://lrs.lt/TAIS/DocParts"/>
  </ds:schemaRefs>
</ds:datastoreItem>
</file>

<file path=docProps/app.xml><?xml version="1.0" encoding="utf-8"?>
<Properties xmlns="http://schemas.openxmlformats.org/officeDocument/2006/extended-properties">
  <Template>Normal.dotm</Template>
  <TotalTime>10</TotalTime>
  <Pages>14</Pages>
  <Words>6342</Words>
  <Characters>45540</Characters>
  <Application>Microsoft Office Word</Application>
  <DocSecurity>0</DocSecurity>
  <Lines>379</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51779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2022-04-29T05:32:00Z</dcterms:modified>
  <revision>11</revision>
</coreProperties>
</file>