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a0ae6a361e4d40b08099ac8e2506cb"/>
        <w:lock w:val="sdtLocked"/>
        <w:richText/>
      </w:sdtPr>
      <w:sdtContent>
        <w:p>
          <w:pPr>
            <w:jc w:val="both"/>
            <w:rPr>
              <w:rFonts w:ascii="Times New Roman" w:hAnsi="Times New Roman"/>
            </w:rPr>
          </w:pPr>
          <w:r>
            <w:rPr>
              <w:rFonts w:ascii="Times New Roman" w:hAnsi="Times New Roman"/>
              <w:b/>
              <w:i/>
            </w:rPr>
            <w:t>Suvestinė redakcija nuo 2024-10-17 iki 2025-11-04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2021-03-16, i. k. 2021-05263</w:t>
          </w:r>
        </w:p>
        <w:p>
          <w:pPr>
            <w:jc w:val="both"/>
            <w:rPr>
              <w:rFonts w:ascii="Times New Roman" w:hAnsi="Times New Roman"/>
              <w:sz w:val="20"/>
            </w:rPr>
          </w:pPr>
        </w:p>
        <w:p>
          <w:pPr>
            <w:tabs>
              <w:tab w:val="center" w:pos="4819"/>
              <w:tab w:val="right" w:pos="9638"/>
            </w:tabs>
          </w:pPr>
        </w:p>
        <w:p>
          <w:pPr>
            <w:jc w:val="center"/>
            <w:rPr>
              <w:lang w:eastAsia="lt-LT"/>
            </w:rPr>
          </w:pPr>
          <w:r>
            <w:rPr>
              <w:lang w:eastAsia="lt-LT"/>
            </w:rPr>
            <w:drawing>
              <wp:inline distT="0" distB="0" distL="0" distR="0">
                <wp:extent cx="542290" cy="59753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42290" cy="597535"/>
                        </a:xfrm>
                        <a:prstGeom prst="rect">
                          <a:avLst/>
                        </a:prstGeom>
                        <a:noFill/>
                      </pic:spPr>
                    </pic:pic>
                  </a:graphicData>
                </a:graphic>
              </wp:inline>
            </w:drawing>
          </w:r>
        </w:p>
        <w:p>
          <w:pPr>
            <w:jc w:val="center"/>
            <w:rPr>
              <w:b/>
              <w:caps/>
            </w:rPr>
          </w:pPr>
          <w:r>
            <w:rPr>
              <w:b/>
              <w:caps/>
            </w:rPr>
            <w:t>LIETUVOS RESPUBLIKOS Ekonomikos ir inovacijų MINISTRAS</w:t>
          </w:r>
        </w:p>
        <w:p>
          <w:pPr>
            <w:jc w:val="center"/>
            <w:rPr>
              <w:b/>
              <w:caps/>
            </w:rPr>
          </w:pPr>
        </w:p>
        <w:p>
          <w:pPr>
            <w:jc w:val="center"/>
            <w:rPr>
              <w:b/>
              <w:caps/>
            </w:rPr>
          </w:pPr>
          <w:r>
            <w:rPr>
              <w:b/>
              <w:caps/>
            </w:rPr>
            <w:t>įsakymas</w:t>
          </w:r>
        </w:p>
        <w:p>
          <w:pPr>
            <w:jc w:val="center"/>
            <w:rPr>
              <w:b/>
              <w:caps/>
            </w:rPr>
          </w:pPr>
          <w:r>
            <w:rPr>
              <w:b/>
              <w:bCs/>
              <w:caps/>
              <w:color w:val="000000"/>
              <w:szCs w:val="24"/>
              <w:lang w:eastAsia="lt-LT"/>
            </w:rPr>
            <w:t>DĖL valstybės valdomų įmonių ir jų dukterinių bendrovių VYKDOMŲ specialiųjų įpareigojimų SĄRAŠO PATVIRTINIMO</w:t>
          </w:r>
        </w:p>
        <w:p>
          <w:pPr>
            <w:widowControl w:val="0"/>
            <w:tabs>
              <w:tab w:val="left" w:pos="5184"/>
              <w:tab w:val="left" w:pos="10348"/>
            </w:tabs>
            <w:spacing w:line="276" w:lineRule="auto"/>
            <w:jc w:val="center"/>
            <w:textAlignment w:val="center"/>
            <w:rPr>
              <w:color w:val="000000"/>
              <w:szCs w:val="24"/>
              <w:lang w:eastAsia="lt-LT"/>
            </w:rPr>
          </w:pPr>
        </w:p>
        <w:p>
          <w:pPr>
            <w:widowControl w:val="0"/>
            <w:tabs>
              <w:tab w:val="left" w:pos="5184"/>
              <w:tab w:val="left" w:pos="10348"/>
            </w:tabs>
            <w:spacing w:line="276" w:lineRule="auto"/>
            <w:jc w:val="center"/>
            <w:textAlignment w:val="center"/>
            <w:rPr>
              <w:color w:val="000000"/>
              <w:szCs w:val="24"/>
              <w:lang w:eastAsia="lt-LT"/>
            </w:rPr>
          </w:pPr>
          <w:r>
            <w:rPr>
              <w:color w:val="000000"/>
              <w:szCs w:val="24"/>
              <w:lang w:eastAsia="lt-LT"/>
            </w:rPr>
            <w:t>20</w:t>
          </w:r>
          <w:r>
            <w:rPr>
              <w:color w:val="000000"/>
              <w:szCs w:val="24"/>
              <w:lang w:val="en-US" w:eastAsia="lt-LT"/>
            </w:rPr>
            <w:t>21</w:t>
          </w:r>
          <w:r>
            <w:rPr>
              <w:color w:val="000000"/>
              <w:szCs w:val="24"/>
              <w:lang w:eastAsia="lt-LT"/>
            </w:rPr>
            <w:t xml:space="preserve"> m. kovo </w:t>
          </w:r>
          <w:r>
            <w:rPr>
              <w:color w:val="000000"/>
              <w:szCs w:val="24"/>
              <w:lang w:val="en-US" w:eastAsia="lt-LT"/>
            </w:rPr>
            <w:t>16 d.</w:t>
          </w:r>
          <w:r>
            <w:rPr>
              <w:color w:val="000000"/>
              <w:szCs w:val="24"/>
              <w:lang w:eastAsia="lt-LT"/>
            </w:rPr>
            <w:t xml:space="preserve"> Nr. 4-193</w:t>
          </w:r>
        </w:p>
        <w:p>
          <w:pPr>
            <w:widowControl w:val="0"/>
            <w:tabs>
              <w:tab w:val="left" w:pos="5184"/>
              <w:tab w:val="left" w:pos="10348"/>
            </w:tabs>
            <w:spacing w:line="276" w:lineRule="auto"/>
            <w:jc w:val="center"/>
            <w:textAlignment w:val="center"/>
            <w:rPr>
              <w:color w:val="000000"/>
              <w:szCs w:val="24"/>
              <w:lang w:eastAsia="lt-LT"/>
            </w:rPr>
          </w:pPr>
          <w:r>
            <w:rPr>
              <w:color w:val="000000"/>
              <w:szCs w:val="24"/>
              <w:lang w:eastAsia="lt-LT"/>
            </w:rPr>
            <w:t>Vilnius</w:t>
          </w:r>
        </w:p>
        <w:p>
          <w:pPr>
            <w:widowControl w:val="0"/>
            <w:tabs>
              <w:tab w:val="left" w:pos="5184"/>
              <w:tab w:val="left" w:pos="10348"/>
            </w:tabs>
            <w:spacing w:line="276" w:lineRule="auto"/>
            <w:jc w:val="center"/>
            <w:textAlignment w:val="center"/>
            <w:rPr>
              <w:color w:val="000000"/>
              <w:szCs w:val="24"/>
              <w:lang w:eastAsia="lt-LT"/>
            </w:rPr>
          </w:pPr>
        </w:p>
        <w:p>
          <w:pPr>
            <w:widowControl w:val="0"/>
            <w:tabs>
              <w:tab w:val="left" w:pos="5184"/>
              <w:tab w:val="left" w:pos="10348"/>
            </w:tabs>
            <w:spacing w:line="276" w:lineRule="auto"/>
            <w:jc w:val="center"/>
            <w:textAlignment w:val="center"/>
            <w:rPr>
              <w:color w:val="000000"/>
              <w:szCs w:val="24"/>
              <w:lang w:eastAsia="lt-LT"/>
            </w:rPr>
          </w:pPr>
        </w:p>
        <w:sdt>
          <w:sdtPr>
            <w:alias w:val="preambule"/>
            <w:tag w:val="part_aeb0e5a500b3434cbebd29bf3aad400a"/>
            <w:lock w:val="sdtLocked"/>
            <w:richText/>
          </w:sdtPr>
          <w:sdtContent>
            <w:p>
              <w:pPr>
                <w:ind w:firstLine="600"/>
                <w:jc w:val="both"/>
                <w:rPr>
                  <w:szCs w:val="24"/>
                  <w:lang w:eastAsia="lt-LT"/>
                </w:rPr>
              </w:pPr>
              <w:r>
                <w:rPr>
                  <w:szCs w:val="24"/>
                  <w:lang w:eastAsia="lt-LT"/>
                </w:rPr>
                <w:t xml:space="preserve">Vadovaudamasi Lietuvos Respublikos </w:t>
              </w:r>
              <w:r>
                <w:rPr>
                  <w:szCs w:val="24"/>
                  <w:shd w:val="clear" w:color="auto" w:fill="FFFFFF"/>
                  <w:lang w:eastAsia="lt-LT"/>
                </w:rPr>
                <w:t>valstybės ir savivaldybių turto valdymo, naudojimo ir disponavimo juo įstatymo 23 straipsnio 5 dalies 1</w:t>
              </w:r>
              <w:r>
                <w:rPr>
                  <w:szCs w:val="24"/>
                  <w:shd w:val="clear" w:color="auto" w:fill="FFFFFF"/>
                  <w:lang w:val="en-US" w:eastAsia="lt-LT"/>
                </w:rPr>
                <w:t>2</w:t>
              </w:r>
              <w:r>
                <w:rPr>
                  <w:szCs w:val="24"/>
                  <w:shd w:val="clear" w:color="auto" w:fill="FFFFFF"/>
                  <w:lang w:eastAsia="lt-LT"/>
                </w:rPr>
                <w:t xml:space="preserve"> punktu</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2bd170f7bf11eeb15a8086c0c045d4">
                <w:r w:rsidRPr="00532B9F">
                  <w:rPr>
                    <w:rFonts w:ascii="Times New Roman" w:eastAsia="MS Mincho" w:hAnsi="Times New Roman"/>
                    <w:sz w:val="20"/>
                    <w:i/>
                    <w:iCs/>
                    <w:color w:val="0000FF" w:themeColor="hyperlink"/>
                    <w:u w:val="single"/>
                  </w:rPr>
                  <w:t>4-198</w:t>
                </w:r>
              </w:fldSimple>
              <w:r>
                <w:rPr>
                  <w:rFonts w:ascii="Times New Roman" w:eastAsia="MS Mincho" w:hAnsi="Times New Roman"/>
                  <w:sz w:val="20"/>
                  <w:i/>
                  <w:iCs/>
                </w:rPr>
                <w:t>,
2024-04-11,
paskelbta TAR 2024-04-11, i. k. 2024-06787            </w:t>
              </w:r>
            </w:p>
            <w:p/>
          </w:sdtContent>
        </w:sdt>
        <w:sdt>
          <w:sdtPr>
            <w:alias w:val="pastraipa"/>
            <w:tag w:val="part_9d04de5b0c254527891b34d503d129e2"/>
            <w:lock w:val="sdtLocked"/>
            <w:richText/>
          </w:sdtPr>
          <w:sdtContent>
            <w:p>
              <w:pPr>
                <w:widowControl w:val="0"/>
                <w:tabs>
                  <w:tab w:val="left" w:pos="5184"/>
                  <w:tab w:val="left" w:pos="10348"/>
                </w:tabs>
                <w:ind w:firstLine="567"/>
                <w:jc w:val="both"/>
                <w:textAlignment w:val="center"/>
                <w:rPr>
                  <w:szCs w:val="24"/>
                </w:rPr>
              </w:pPr>
              <w:r>
                <w:rPr>
                  <w:color w:val="000000"/>
                  <w:spacing w:val="80"/>
                  <w:szCs w:val="24"/>
                  <w:lang w:eastAsia="lt-LT"/>
                </w:rPr>
                <w:t>tvirtinu</w:t>
              </w:r>
              <w:r>
                <w:rPr>
                  <w:color w:val="000000"/>
                  <w:szCs w:val="24"/>
                  <w:lang w:eastAsia="lt-LT"/>
                </w:rPr>
                <w:t xml:space="preserve"> Valstybės valdomų įmonių ir jų dukterinių bendrovių vykdomų specialiųjų įpareigojimų sąrašą (pridedama).</w:t>
              </w:r>
            </w:p>
          </w:sdtContent>
        </w:sdt>
        <w:sdt>
          <w:sdtPr>
            <w:alias w:val="signatura"/>
            <w:tag w:val="part_c2bd6c61c5ff4a788aa9b26ca22d70a2"/>
            <w:lock w:val="sdtLocked"/>
            <w:richText/>
          </w:sdtPr>
          <w:sdtContent>
            <w:p>
              <w:pPr>
                <w:rPr>
                  <w:color w:val="000000"/>
                  <w:szCs w:val="24"/>
                </w:rPr>
              </w:pPr>
            </w:p>
            <w:p>
              <w:pPr>
                <w:rPr>
                  <w:color w:val="000000"/>
                  <w:szCs w:val="24"/>
                </w:rPr>
              </w:pPr>
            </w:p>
            <w:p>
              <w:pPr>
                <w:rPr>
                  <w:color w:val="000000"/>
                  <w:szCs w:val="24"/>
                </w:rPr>
              </w:pPr>
            </w:p>
            <w:p>
              <w:pPr>
                <w:tabs>
                  <w:tab w:val="left" w:pos="6804"/>
                </w:tabs>
                <w:rPr>
                  <w:color w:val="000000"/>
                  <w:szCs w:val="24"/>
                </w:rPr>
              </w:pPr>
              <w:r>
                <w:rPr>
                  <w:color w:val="000000"/>
                  <w:szCs w:val="24"/>
                </w:rPr>
                <w:t xml:space="preserve">Ekonomikos ir inovacijų ministrė          </w:t>
                <w:tab/>
                <w:t xml:space="preserve">    Aušrinė Armonaitė</w:t>
              </w:r>
            </w:p>
            <w:p>
              <w:pPr>
                <w:rPr>
                  <w:color w:val="000000"/>
                  <w:szCs w:val="24"/>
                </w:rPr>
              </w:pPr>
            </w:p>
          </w:sdtContent>
        </w:sdt>
      </w:sdtContent>
    </w:sdt>
    <w:sdt>
      <w:sdtPr>
        <w:alias w:val="patvirtinta"/>
        <w:tag w:val="part_9f22084a3e0d4608b326b5ad254ac0bc"/>
        <w:lock w:val="sdtLocked"/>
        <w:richText/>
      </w:sdtPr>
      <w:sdtContent>
        <w:p>
          <w:pPr>
            <w:keepLines/>
            <w:widowControl w:val="0"/>
            <w:tabs>
              <w:tab w:val="left" w:pos="1304"/>
              <w:tab w:val="left" w:pos="1457"/>
              <w:tab w:val="left" w:pos="1604"/>
              <w:tab w:val="left" w:pos="1757"/>
            </w:tabs>
            <w:suppressAutoHyphens/>
            <w:ind w:left="5954"/>
            <w:textAlignment w:val="center"/>
            <w:sectPr>
              <w:headerReference w:type="even" r:id="rId25"/>
              <w:headerReference w:type="default" r:id="rId26"/>
              <w:footerReference w:type="even" r:id="rId27"/>
              <w:footerReference w:type="default" r:id="rId28"/>
              <w:headerReference w:type="first" r:id="rId29"/>
              <w:footerReference w:type="first" r:id="rId30"/>
              <w:pgSz w:w="11907" w:h="16839"/>
              <w:pgMar w:top="1134" w:right="708" w:bottom="1134" w:left="1701" w:header="567" w:footer="567" w:gutter="0"/>
              <w:pgNumType w:start="1" w:chapStyle="1"/>
              <w:cols w:space="1296"/>
              <w:titlePg/>
              <w:docGrid w:linePitch="326"/>
            </w:sectPr>
          </w:pPr>
        </w:p>
        <w:p>
          <w:pPr>
            <w:keepLines/>
            <w:widowControl w:val="0"/>
            <w:tabs>
              <w:tab w:val="left" w:pos="1304"/>
              <w:tab w:val="left" w:pos="1457"/>
              <w:tab w:val="left" w:pos="1604"/>
              <w:tab w:val="left" w:pos="1757"/>
            </w:tabs>
            <w:suppressAutoHyphens/>
            <w:ind w:firstLine="4026"/>
            <w:textAlignment w:val="center"/>
            <w:rPr>
              <w:color w:val="000000"/>
              <w:szCs w:val="24"/>
              <w:lang w:eastAsia="lt-LT"/>
            </w:rPr>
          </w:pPr>
          <w:r>
            <w:rPr>
              <w:color w:val="000000"/>
              <w:szCs w:val="24"/>
              <w:lang w:eastAsia="lt-LT"/>
            </w:rPr>
            <w:t>PATVIRTINTA</w:t>
          </w:r>
        </w:p>
        <w:p>
          <w:pPr>
            <w:keepLines/>
            <w:widowControl w:val="0"/>
            <w:tabs>
              <w:tab w:val="left" w:pos="1304"/>
              <w:tab w:val="left" w:pos="1457"/>
              <w:tab w:val="left" w:pos="1604"/>
              <w:tab w:val="left" w:pos="1757"/>
            </w:tabs>
            <w:suppressAutoHyphens/>
            <w:ind w:firstLine="4026"/>
            <w:textAlignment w:val="center"/>
            <w:rPr>
              <w:color w:val="000000"/>
              <w:szCs w:val="24"/>
              <w:lang w:val="en-US" w:eastAsia="lt-LT"/>
            </w:rPr>
          </w:pPr>
          <w:r>
            <w:rPr>
              <w:color w:val="000000"/>
              <w:szCs w:val="24"/>
              <w:lang w:eastAsia="lt-LT"/>
            </w:rPr>
            <w:t>Lietuvos Respublikos ekonomikos ir inovacijų ministro</w:t>
          </w:r>
        </w:p>
        <w:p>
          <w:pPr>
            <w:keepLines/>
            <w:widowControl w:val="0"/>
            <w:tabs>
              <w:tab w:val="left" w:pos="1304"/>
              <w:tab w:val="left" w:pos="1457"/>
              <w:tab w:val="left" w:pos="1604"/>
              <w:tab w:val="left" w:pos="1757"/>
            </w:tabs>
            <w:suppressAutoHyphens/>
            <w:ind w:firstLine="4026"/>
            <w:textAlignment w:val="center"/>
            <w:rPr>
              <w:color w:val="000000"/>
              <w:szCs w:val="24"/>
              <w:lang w:eastAsia="lt-LT"/>
            </w:rPr>
          </w:pPr>
          <w:r>
            <w:rPr>
              <w:color w:val="000000"/>
              <w:szCs w:val="24"/>
              <w:lang w:eastAsia="lt-LT"/>
            </w:rPr>
            <w:t>20</w:t>
          </w:r>
          <w:r>
            <w:rPr>
              <w:color w:val="000000"/>
              <w:szCs w:val="24"/>
              <w:lang w:val="en-US" w:eastAsia="lt-LT"/>
            </w:rPr>
            <w:t>21</w:t>
          </w:r>
          <w:r>
            <w:rPr>
              <w:color w:val="000000"/>
              <w:szCs w:val="24"/>
              <w:lang w:eastAsia="lt-LT"/>
            </w:rPr>
            <w:t xml:space="preserve"> m. kovo </w:t>
          </w:r>
          <w:r>
            <w:rPr>
              <w:color w:val="000000"/>
              <w:szCs w:val="24"/>
              <w:lang w:val="en-US" w:eastAsia="lt-LT"/>
            </w:rPr>
            <w:t xml:space="preserve">16 </w:t>
          </w:r>
          <w:r>
            <w:rPr>
              <w:color w:val="000000"/>
              <w:szCs w:val="24"/>
              <w:lang w:eastAsia="lt-LT"/>
            </w:rPr>
            <w:t xml:space="preserve">d. įsakymu Nr. 4-193 </w:t>
          </w:r>
        </w:p>
        <w:p>
          <w:pPr>
            <w:keepLines/>
            <w:widowControl w:val="0"/>
            <w:tabs>
              <w:tab w:val="left" w:pos="1304"/>
              <w:tab w:val="left" w:pos="1457"/>
              <w:tab w:val="left" w:pos="1604"/>
              <w:tab w:val="left" w:pos="1757"/>
            </w:tabs>
            <w:suppressAutoHyphens/>
            <w:ind w:firstLine="4026"/>
            <w:textAlignment w:val="center"/>
            <w:rPr>
              <w:color w:val="000000"/>
              <w:szCs w:val="24"/>
              <w:lang w:val="en-US" w:eastAsia="lt-LT"/>
            </w:rPr>
          </w:pPr>
          <w:r>
            <w:rPr>
              <w:color w:val="000000"/>
              <w:szCs w:val="24"/>
              <w:lang w:eastAsia="lt-LT"/>
            </w:rPr>
            <w:t>(Lietuvos Respublikos ekonomikos ir inovacijų ministro</w:t>
          </w:r>
        </w:p>
        <w:p>
          <w:pPr>
            <w:keepLines/>
            <w:widowControl w:val="0"/>
            <w:tabs>
              <w:tab w:val="left" w:pos="1304"/>
              <w:tab w:val="left" w:pos="1457"/>
              <w:tab w:val="left" w:pos="1604"/>
              <w:tab w:val="left" w:pos="1757"/>
            </w:tabs>
            <w:suppressAutoHyphens/>
            <w:ind w:firstLine="4026"/>
            <w:textAlignment w:val="center"/>
            <w:rPr>
              <w:color w:val="000000"/>
              <w:szCs w:val="24"/>
              <w:lang w:eastAsia="lt-LT"/>
            </w:rPr>
          </w:pPr>
          <w:r>
            <w:rPr>
              <w:color w:val="000000"/>
              <w:szCs w:val="24"/>
              <w:lang w:eastAsia="lt-LT"/>
            </w:rPr>
            <w:t>20</w:t>
          </w:r>
          <w:r>
            <w:rPr>
              <w:color w:val="000000"/>
              <w:szCs w:val="24"/>
              <w:lang w:val="en-US" w:eastAsia="lt-LT"/>
            </w:rPr>
            <w:t>24</w:t>
          </w:r>
          <w:r>
            <w:rPr>
              <w:color w:val="000000"/>
              <w:szCs w:val="24"/>
              <w:lang w:eastAsia="lt-LT"/>
            </w:rPr>
            <w:t xml:space="preserve"> m. balandžio </w:t>
          </w:r>
          <w:r>
            <w:rPr>
              <w:color w:val="000000"/>
              <w:szCs w:val="24"/>
              <w:lang w:val="en-US" w:eastAsia="lt-LT"/>
            </w:rPr>
            <w:t xml:space="preserve">11 </w:t>
          </w:r>
          <w:r>
            <w:rPr>
              <w:color w:val="000000"/>
              <w:szCs w:val="24"/>
              <w:lang w:eastAsia="lt-LT"/>
            </w:rPr>
            <w:t>d. įsakymo Nr. 4-198</w:t>
          </w:r>
        </w:p>
        <w:p>
          <w:pPr>
            <w:keepLines/>
            <w:widowControl w:val="0"/>
            <w:tabs>
              <w:tab w:val="left" w:pos="1304"/>
              <w:tab w:val="left" w:pos="1457"/>
              <w:tab w:val="left" w:pos="1604"/>
              <w:tab w:val="left" w:pos="1757"/>
            </w:tabs>
            <w:suppressAutoHyphens/>
            <w:ind w:firstLine="4026"/>
            <w:textAlignment w:val="center"/>
            <w:rPr>
              <w:color w:val="000000"/>
              <w:szCs w:val="24"/>
              <w:lang w:eastAsia="lt-LT"/>
            </w:rPr>
          </w:pPr>
          <w:r>
            <w:rPr>
              <w:color w:val="000000"/>
              <w:szCs w:val="24"/>
              <w:lang w:eastAsia="lt-LT"/>
            </w:rPr>
            <w:t>redakcija)</w:t>
          </w:r>
        </w:p>
        <w:p>
          <w:pPr>
            <w:keepLines/>
            <w:widowControl w:val="0"/>
            <w:tabs>
              <w:tab w:val="left" w:pos="1304"/>
              <w:tab w:val="left" w:pos="1457"/>
              <w:tab w:val="left" w:pos="1604"/>
              <w:tab w:val="left" w:pos="1757"/>
            </w:tabs>
            <w:suppressAutoHyphens/>
            <w:textAlignment w:val="center"/>
            <w:rPr>
              <w:color w:val="000000"/>
              <w:szCs w:val="24"/>
              <w:lang w:eastAsia="lt-LT"/>
            </w:rPr>
          </w:pPr>
        </w:p>
        <w:p>
          <w:pPr>
            <w:keepLines/>
            <w:widowControl w:val="0"/>
            <w:suppressAutoHyphens/>
            <w:spacing w:line="288" w:lineRule="auto"/>
            <w:jc w:val="center"/>
            <w:textAlignment w:val="center"/>
            <w:rPr>
              <w:b/>
              <w:bCs/>
              <w:caps/>
              <w:color w:val="000000"/>
              <w:szCs w:val="24"/>
              <w:lang w:eastAsia="lt-LT"/>
            </w:rPr>
          </w:pPr>
          <w:sdt>
            <w:sdtPr>
              <w:alias w:val="Pavadinimas"/>
              <w:tag w:val="title_9f22084a3e0d4608b326b5ad254ac0bc"/>
              <w:lock w:val="sdtLocked"/>
              <w:richText/>
            </w:sdtPr>
            <w:sdtContent>
              <w:r>
                <w:rPr>
                  <w:b/>
                  <w:bCs/>
                  <w:caps/>
                  <w:color w:val="000000"/>
                  <w:szCs w:val="24"/>
                  <w:lang w:eastAsia="lt-LT"/>
                </w:rPr>
                <w:t>Valstybės valdomų įmonių IR JŲ DUKTERINIŲ BENDROVIŲ VYKDOMŲ specialiųjų įpareigojimų SĄRAŠAS</w:t>
              </w:r>
            </w:sdtContent>
          </w:sdt>
        </w:p>
        <w:p>
          <w:pPr>
            <w:widowControl w:val="0"/>
            <w:suppressAutoHyphens/>
            <w:spacing w:line="298" w:lineRule="auto"/>
            <w:jc w:val="center"/>
            <w:textAlignment w:val="center"/>
            <w:rPr>
              <w:color w:val="000000"/>
              <w:szCs w:val="24"/>
              <w:lang w:eastAsia="lt-LT"/>
            </w:rPr>
          </w:pPr>
        </w:p>
        <w:tbl>
          <w:tblPr>
            <w:tblW w:w="4999" w:type="pct"/>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bottom w:w="142" w:type="dxa"/>
              <w:right w:w="28" w:type="dxa"/>
            </w:tblCellMar>
            <w:tblLook w:val="04A0" w:firstRow="1" w:lastRow="0" w:firstColumn="1" w:lastColumn="0" w:noHBand="0" w:noVBand="1"/>
          </w:tblPr>
          <w:tblGrid>
            <w:gridCol w:w="614"/>
            <w:gridCol w:w="4403"/>
            <w:gridCol w:w="2695"/>
            <w:gridCol w:w="2406"/>
          </w:tblGrid>
          <w:tr>
            <w:trPr>
              <w:cantSplit/>
            </w:trPr>
            <w:tc>
              <w:tcPr>
                <w:tcW w:w="303" w:type="pct"/>
                <w:vAlign w:val="center"/>
              </w:tcPr>
              <w:p>
                <w:pPr>
                  <w:jc w:val="center"/>
                  <w:rPr>
                    <w:b/>
                    <w:szCs w:val="24"/>
                  </w:rPr>
                </w:pPr>
                <w:r>
                  <w:rPr>
                    <w:b/>
                    <w:szCs w:val="24"/>
                  </w:rPr>
                  <w:t>Eil.</w:t>
                </w:r>
              </w:p>
              <w:p>
                <w:pPr>
                  <w:jc w:val="center"/>
                  <w:rPr>
                    <w:b/>
                    <w:szCs w:val="24"/>
                  </w:rPr>
                </w:pPr>
                <w:r>
                  <w:rPr>
                    <w:b/>
                    <w:szCs w:val="24"/>
                  </w:rPr>
                  <w:t>Nr.</w:t>
                </w:r>
              </w:p>
            </w:tc>
            <w:tc>
              <w:tcPr>
                <w:tcW w:w="2176" w:type="pct"/>
                <w:vAlign w:val="center"/>
              </w:tcPr>
              <w:p>
                <w:pPr>
                  <w:jc w:val="center"/>
                  <w:rPr>
                    <w:b/>
                    <w:szCs w:val="24"/>
                    <w:lang w:val="en-US"/>
                  </w:rPr>
                </w:pPr>
                <w:r>
                  <w:rPr>
                    <w:b/>
                    <w:szCs w:val="24"/>
                  </w:rPr>
                  <w:t>Specialusis įpareigojimas</w:t>
                </w:r>
              </w:p>
            </w:tc>
            <w:tc>
              <w:tcPr>
                <w:tcW w:w="1332" w:type="pct"/>
                <w:vAlign w:val="center"/>
              </w:tcPr>
              <w:p>
                <w:pPr>
                  <w:jc w:val="center"/>
                  <w:rPr>
                    <w:b/>
                    <w:szCs w:val="24"/>
                  </w:rPr>
                </w:pPr>
                <w:r>
                  <w:rPr>
                    <w:b/>
                    <w:szCs w:val="24"/>
                  </w:rPr>
                  <w:t>Specialųjį įpareigojimą vykdanti įmonė</w:t>
                </w:r>
              </w:p>
            </w:tc>
            <w:tc>
              <w:tcPr>
                <w:tcW w:w="1189" w:type="pct"/>
                <w:vAlign w:val="center"/>
              </w:tcPr>
              <w:p>
                <w:pPr>
                  <w:jc w:val="center"/>
                  <w:rPr>
                    <w:b/>
                    <w:szCs w:val="24"/>
                  </w:rPr>
                </w:pPr>
                <w:r>
                  <w:rPr>
                    <w:b/>
                    <w:szCs w:val="24"/>
                  </w:rPr>
                  <w:t>Valstybei atstovaujanti institucija</w:t>
                </w:r>
              </w:p>
            </w:tc>
          </w:tr>
          <w:tr>
            <w:trPr>
              <w:cantSplit/>
            </w:trPr>
            <w:tc>
              <w:tcPr>
                <w:tcW w:w="303" w:type="pct"/>
              </w:tcPr>
              <w:p>
                <w:pPr>
                  <w:jc w:val="center"/>
                  <w:rPr>
                    <w:szCs w:val="24"/>
                  </w:rPr>
                </w:pPr>
                <w:r>
                  <w:rPr>
                    <w:szCs w:val="24"/>
                  </w:rPr>
                  <w:t>1.</w:t>
                </w:r>
              </w:p>
            </w:tc>
            <w:tc>
              <w:tcPr>
                <w:tcW w:w="2176" w:type="pct"/>
              </w:tcPr>
              <w:p>
                <w:pPr>
                  <w:rPr>
                    <w:szCs w:val="24"/>
                  </w:rPr>
                </w:pPr>
                <w:r>
                  <w:rPr>
                    <w:szCs w:val="24"/>
                  </w:rPr>
                  <w:t>Sėklinių miško medžių plantacijų ir bandomųjų želdinių įveisimas, jų priežiūra ir apsauga</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Lietuvos Respublikos aplinkos ministerija</w:t>
                </w:r>
              </w:p>
            </w:tc>
          </w:tr>
          <w:tr>
            <w:trPr>
              <w:cantSplit/>
            </w:trPr>
            <w:tc>
              <w:tcPr>
                <w:tcW w:w="303" w:type="pct"/>
              </w:tcPr>
              <w:p>
                <w:pPr>
                  <w:jc w:val="center"/>
                  <w:rPr>
                    <w:szCs w:val="24"/>
                  </w:rPr>
                </w:pPr>
                <w:r>
                  <w:rPr>
                    <w:szCs w:val="24"/>
                  </w:rPr>
                  <w:t>2.</w:t>
                </w:r>
              </w:p>
            </w:tc>
            <w:tc>
              <w:tcPr>
                <w:tcW w:w="2176" w:type="pct"/>
              </w:tcPr>
              <w:p>
                <w:pPr>
                  <w:rPr>
                    <w:szCs w:val="24"/>
                  </w:rPr>
                </w:pPr>
                <w:r>
                  <w:rPr>
                    <w:szCs w:val="24"/>
                  </w:rPr>
                  <w:t>Naujiems miškams įveisti skirtų iš Laisvos valstybinės žemės fondo perimtų žemės sklypų, taip pat naudojimui perduotų miško sklypų formavimo, kadastro duomenų bylų sudarymo, registravimo, miškų įveisimo, priežiūros ir tvarkymo veikla, kol medynas pasieks 20 metų amžių</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3.</w:t>
                </w:r>
              </w:p>
            </w:tc>
            <w:tc>
              <w:tcPr>
                <w:tcW w:w="2176" w:type="pct"/>
              </w:tcPr>
              <w:p>
                <w:pPr>
                  <w:rPr>
                    <w:szCs w:val="24"/>
                  </w:rPr>
                </w:pPr>
                <w:r>
                  <w:rPr>
                    <w:szCs w:val="24"/>
                  </w:rPr>
                  <w:t>Miško priešgaisrinė apsauga visų nuosavybės formų miškuose</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4.</w:t>
                </w:r>
              </w:p>
            </w:tc>
            <w:tc>
              <w:tcPr>
                <w:tcW w:w="2176" w:type="pct"/>
              </w:tcPr>
              <w:p>
                <w:pPr>
                  <w:rPr>
                    <w:szCs w:val="24"/>
                  </w:rPr>
                </w:pPr>
                <w:r>
                  <w:rPr>
                    <w:szCs w:val="24"/>
                  </w:rPr>
                  <w:t>Miško kelių tiesimas, rekonstrukcija, remontas ir priežiūra, darbų administravimas</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5.</w:t>
                </w:r>
              </w:p>
            </w:tc>
            <w:tc>
              <w:tcPr>
                <w:tcW w:w="2176" w:type="pct"/>
              </w:tcPr>
              <w:p>
                <w:pPr>
                  <w:rPr>
                    <w:szCs w:val="24"/>
                  </w:rPr>
                </w:pPr>
                <w:r>
                  <w:rPr>
                    <w:szCs w:val="24"/>
                  </w:rPr>
                  <w:t>Gamtotvarkos priemonių įgyvendinimas miškuose, darbų administravimas</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6.</w:t>
                </w:r>
              </w:p>
            </w:tc>
            <w:tc>
              <w:tcPr>
                <w:tcW w:w="2176" w:type="pct"/>
              </w:tcPr>
              <w:p>
                <w:pPr>
                  <w:rPr>
                    <w:szCs w:val="24"/>
                  </w:rPr>
                </w:pPr>
                <w:r>
                  <w:rPr>
                    <w:szCs w:val="24"/>
                  </w:rPr>
                  <w:t>Kitų naudotojų miškų (įskaitant rezervuotus nuosavybės teisėms atkurti) priežiūros, apsaugos ir tvarkymo darbai</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7.</w:t>
                </w:r>
              </w:p>
            </w:tc>
            <w:tc>
              <w:tcPr>
                <w:tcW w:w="2176" w:type="pct"/>
              </w:tcPr>
              <w:p>
                <w:pPr>
                  <w:rPr>
                    <w:szCs w:val="24"/>
                  </w:rPr>
                </w:pPr>
                <w:r>
                  <w:rPr>
                    <w:szCs w:val="24"/>
                  </w:rPr>
                  <w:t>Rekreacinių objektų miškuose įrengimas, priežiūra ir tvarkymas, darbų administravimas</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8.</w:t>
                </w:r>
              </w:p>
            </w:tc>
            <w:tc>
              <w:tcPr>
                <w:tcW w:w="2176" w:type="pct"/>
              </w:tcPr>
              <w:p>
                <w:pPr>
                  <w:rPr>
                    <w:szCs w:val="24"/>
                  </w:rPr>
                </w:pPr>
                <w:r>
                  <w:rPr>
                    <w:szCs w:val="24"/>
                  </w:rPr>
                  <w:t>Miestų miškų priežiūros, apsaugos ir tvarkymo darbai, darbų administravimas</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9.</w:t>
                </w:r>
              </w:p>
            </w:tc>
            <w:tc>
              <w:tcPr>
                <w:tcW w:w="2176" w:type="pct"/>
              </w:tcPr>
              <w:p>
                <w:pPr>
                  <w:rPr>
                    <w:szCs w:val="24"/>
                  </w:rPr>
                </w:pPr>
                <w:r>
                  <w:rPr>
                    <w:szCs w:val="24"/>
                  </w:rPr>
                  <w:t>Nenukirsto valstybinio miško malkinės medienos pardavimas gyventojams, nenukirsto valstybinio miško pardavimas su nuolaida asmenims, nukentėjusiems nuo stichinių nelaimių</w:t>
                </w:r>
              </w:p>
            </w:tc>
            <w:tc>
              <w:tcPr>
                <w:tcW w:w="1332" w:type="pct"/>
              </w:tcPr>
              <w:p>
                <w:pPr>
                  <w:rPr>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10.</w:t>
                </w:r>
              </w:p>
            </w:tc>
            <w:tc>
              <w:tcPr>
                <w:tcW w:w="2176" w:type="pct"/>
              </w:tcPr>
              <w:p>
                <w:pPr>
                  <w:rPr>
                    <w:szCs w:val="24"/>
                  </w:rPr>
                </w:pPr>
                <w:r>
                  <w:rPr>
                    <w:szCs w:val="24"/>
                  </w:rPr>
                  <w:t>Valstybinių miškų pareigūnų veikla miško pažeidimų tyrimo, prevencijos ir miško išteklių apsaugos srityse</w:t>
                </w:r>
              </w:p>
            </w:tc>
            <w:tc>
              <w:tcPr>
                <w:tcW w:w="1332" w:type="pct"/>
              </w:tcPr>
              <w:p>
                <w:pPr>
                  <w:rPr>
                    <w:color w:val="000000"/>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11.</w:t>
                </w:r>
              </w:p>
            </w:tc>
            <w:tc>
              <w:tcPr>
                <w:tcW w:w="2176" w:type="pct"/>
              </w:tcPr>
              <w:p>
                <w:pPr>
                  <w:rPr>
                    <w:szCs w:val="24"/>
                  </w:rPr>
                </w:pPr>
                <w:r>
                  <w:rPr>
                    <w:szCs w:val="24"/>
                  </w:rPr>
                  <w:t>Miškų mokslinio tyrimo ir mokymo objektų įrengimas ir priežiūra, darbų administravimo sąnaudos</w:t>
                </w:r>
              </w:p>
            </w:tc>
            <w:tc>
              <w:tcPr>
                <w:tcW w:w="1332" w:type="pct"/>
              </w:tcPr>
              <w:p>
                <w:pPr>
                  <w:rPr>
                    <w:color w:val="000000"/>
                    <w:szCs w:val="24"/>
                  </w:rPr>
                </w:pPr>
                <w:r>
                  <w:rPr>
                    <w:color w:val="000000"/>
                    <w:szCs w:val="24"/>
                  </w:rPr>
                  <w:t>Valstybės įmonė</w:t>
                </w:r>
                <w:r>
                  <w:rPr>
                    <w:szCs w:val="24"/>
                  </w:rPr>
                  <w:t xml:space="preserve"> Valstybinių miškų urėdija</w:t>
                </w:r>
              </w:p>
            </w:tc>
            <w:tc>
              <w:tcPr>
                <w:tcW w:w="1189" w:type="pct"/>
              </w:tcPr>
              <w:p>
                <w:pPr>
                  <w:rPr>
                    <w:szCs w:val="24"/>
                  </w:rPr>
                </w:pPr>
                <w:r>
                  <w:rPr>
                    <w:szCs w:val="24"/>
                  </w:rPr>
                  <w:t>Aplinkos ministerija</w:t>
                </w:r>
              </w:p>
            </w:tc>
          </w:tr>
          <w:tr>
            <w:trPr>
              <w:cantSplit/>
            </w:trPr>
            <w:tc>
              <w:tcPr>
                <w:tcW w:w="303" w:type="pct"/>
              </w:tcPr>
              <w:p>
                <w:pPr>
                  <w:jc w:val="center"/>
                  <w:rPr>
                    <w:szCs w:val="24"/>
                  </w:rPr>
                </w:pPr>
                <w:r>
                  <w:rPr>
                    <w:szCs w:val="24"/>
                  </w:rPr>
                  <w:t>12.</w:t>
                </w:r>
              </w:p>
            </w:tc>
            <w:tc>
              <w:tcPr>
                <w:tcW w:w="2176" w:type="pct"/>
              </w:tcPr>
              <w:p>
                <w:pPr>
                  <w:rPr>
                    <w:szCs w:val="24"/>
                  </w:rPr>
                </w:pPr>
                <w:r>
                  <w:rPr>
                    <w:szCs w:val="24"/>
                  </w:rPr>
                  <w:t>Nekilnojamojo turto registro ir Nekilnojamojo turto kadastro tvarkymas</w:t>
                </w:r>
              </w:p>
            </w:tc>
            <w:tc>
              <w:tcPr>
                <w:tcW w:w="1332" w:type="pct"/>
              </w:tcPr>
              <w:p>
                <w:pPr>
                  <w:rPr>
                    <w:szCs w:val="24"/>
                  </w:rPr>
                </w:pPr>
                <w:r>
                  <w:rPr>
                    <w:szCs w:val="24"/>
                  </w:rPr>
                  <w:t>Valstybės įmonė Registrų centras</w:t>
                </w:r>
              </w:p>
            </w:tc>
            <w:tc>
              <w:tcPr>
                <w:tcW w:w="1189" w:type="pct"/>
              </w:tcPr>
              <w:p>
                <w:pPr>
                  <w:rPr>
                    <w:szCs w:val="24"/>
                  </w:rPr>
                </w:pPr>
                <w:r>
                  <w:rPr>
                    <w:szCs w:val="24"/>
                  </w:rPr>
                  <w:t>Lietuvos Respublikos ekonomikos ir inovacijų ministerija</w:t>
                </w:r>
              </w:p>
            </w:tc>
          </w:tr>
          <w:tr>
            <w:trPr>
              <w:cantSplit/>
            </w:trPr>
            <w:tc>
              <w:tcPr>
                <w:tcW w:w="303" w:type="pct"/>
              </w:tcPr>
              <w:p>
                <w:pPr>
                  <w:jc w:val="center"/>
                  <w:rPr>
                    <w:szCs w:val="24"/>
                  </w:rPr>
                </w:pPr>
                <w:r>
                  <w:rPr>
                    <w:szCs w:val="24"/>
                  </w:rPr>
                  <w:t>13.</w:t>
                </w:r>
              </w:p>
            </w:tc>
            <w:tc>
              <w:tcPr>
                <w:tcW w:w="2176" w:type="pct"/>
              </w:tcPr>
              <w:p>
                <w:pPr>
                  <w:rPr>
                    <w:szCs w:val="24"/>
                  </w:rPr>
                </w:pPr>
                <w:r>
                  <w:rPr>
                    <w:szCs w:val="24"/>
                  </w:rPr>
                  <w:t>Juridinių asmenų registro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14.</w:t>
                </w:r>
              </w:p>
            </w:tc>
            <w:tc>
              <w:tcPr>
                <w:tcW w:w="2176" w:type="pct"/>
              </w:tcPr>
              <w:p>
                <w:pPr>
                  <w:rPr>
                    <w:szCs w:val="24"/>
                  </w:rPr>
                </w:pPr>
                <w:r>
                  <w:rPr>
                    <w:szCs w:val="24"/>
                  </w:rPr>
                  <w:t>Adresų registro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15.</w:t>
                </w:r>
              </w:p>
            </w:tc>
            <w:tc>
              <w:tcPr>
                <w:tcW w:w="2176" w:type="pct"/>
              </w:tcPr>
              <w:p>
                <w:pPr>
                  <w:rPr>
                    <w:szCs w:val="24"/>
                  </w:rPr>
                </w:pPr>
                <w:r>
                  <w:rPr>
                    <w:szCs w:val="24"/>
                  </w:rPr>
                  <w:t>Gyventojų registro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16.</w:t>
                </w:r>
              </w:p>
            </w:tc>
            <w:tc>
              <w:tcPr>
                <w:tcW w:w="2176" w:type="pct"/>
              </w:tcPr>
              <w:p>
                <w:pPr>
                  <w:rPr>
                    <w:szCs w:val="24"/>
                  </w:rPr>
                </w:pPr>
                <w:r>
                  <w:rPr>
                    <w:szCs w:val="24"/>
                  </w:rPr>
                  <w:t xml:space="preserve">Turto arešto aktų registro, Testamentų registro, Įgaliojimų registro, Sutarčių </w:t>
                </w:r>
                <w:r>
                  <w:rPr>
                    <w:bCs/>
                    <w:szCs w:val="24"/>
                  </w:rPr>
                  <w:t>ir teisių suvaržymų</w:t>
                </w:r>
                <w:r>
                  <w:rPr>
                    <w:szCs w:val="24"/>
                  </w:rPr>
                  <w:t xml:space="preserve"> registro, Vedybų sutarčių registro, Neveiksnių ir ribotai veiksnių asmenų registro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 xml:space="preserve">17. </w:t>
                </w:r>
              </w:p>
            </w:tc>
            <w:tc>
              <w:tcPr>
                <w:tcW w:w="2176" w:type="pct"/>
              </w:tcPr>
              <w:p>
                <w:pPr>
                  <w:rPr>
                    <w:szCs w:val="24"/>
                  </w:rPr>
                </w:pPr>
                <w:r>
                  <w:rPr>
                    <w:szCs w:val="24"/>
                  </w:rPr>
                  <w:t>Miškų valstybės kadastro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1</w:t>
                </w:r>
                <w:r>
                  <w:rPr>
                    <w:szCs w:val="24"/>
                    <w:lang w:val="en-US"/>
                  </w:rPr>
                  <w:t>8</w:t>
                </w:r>
                <w:r>
                  <w:rPr>
                    <w:szCs w:val="24"/>
                  </w:rPr>
                  <w:t>.</w:t>
                </w:r>
              </w:p>
            </w:tc>
            <w:tc>
              <w:tcPr>
                <w:tcW w:w="2176" w:type="pct"/>
              </w:tcPr>
              <w:p>
                <w:pPr>
                  <w:rPr>
                    <w:szCs w:val="24"/>
                  </w:rPr>
                </w:pPr>
                <w:r>
                  <w:rPr>
                    <w:szCs w:val="24"/>
                  </w:rPr>
                  <w:t>E. sveikatos paslaugų ir bendradarbiavimo infrastruktūros informacinės sistemos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rPr>
                  <w:t>19.</w:t>
                </w:r>
              </w:p>
            </w:tc>
            <w:tc>
              <w:tcPr>
                <w:tcW w:w="2176" w:type="pct"/>
              </w:tcPr>
              <w:p>
                <w:pPr>
                  <w:rPr>
                    <w:szCs w:val="24"/>
                  </w:rPr>
                </w:pPr>
                <w:r>
                  <w:rPr>
                    <w:szCs w:val="24"/>
                  </w:rPr>
                  <w:t>Nacionalinės elektroninių siuntų pristatymo, naudojant pašto tinklą, informacinės sistemos (E. pristatymo sistema) tvarkymas</w:t>
                </w:r>
              </w:p>
            </w:tc>
            <w:tc>
              <w:tcPr>
                <w:tcW w:w="1332" w:type="pct"/>
              </w:tcPr>
              <w:p>
                <w:pPr>
                  <w:rPr>
                    <w:szCs w:val="24"/>
                  </w:rPr>
                </w:pPr>
                <w:r>
                  <w:rPr>
                    <w:szCs w:val="24"/>
                  </w:rPr>
                  <w:t>Valstybės įmonė Registrų centras</w:t>
                </w:r>
              </w:p>
            </w:tc>
            <w:tc>
              <w:tcPr>
                <w:tcW w:w="1189" w:type="pct"/>
              </w:tcPr>
              <w:p>
                <w:pPr>
                  <w:rPr>
                    <w:szCs w:val="24"/>
                  </w:rPr>
                </w:pPr>
                <w:r>
                  <w:rPr>
                    <w:szCs w:val="24"/>
                  </w:rPr>
                  <w:t>Ekonomikos ir inovacijų ministerija</w:t>
                </w:r>
              </w:p>
            </w:tc>
          </w:tr>
          <w:tr>
            <w:trPr>
              <w:cantSplit/>
            </w:trPr>
            <w:tc>
              <w:tcPr>
                <w:tcW w:w="303" w:type="pct"/>
              </w:tcPr>
              <w:p>
                <w:pPr>
                  <w:jc w:val="center"/>
                  <w:rPr>
                    <w:szCs w:val="24"/>
                  </w:rPr>
                </w:pPr>
                <w:r>
                  <w:rPr>
                    <w:szCs w:val="24"/>
                    <w:lang w:val="en-US"/>
                  </w:rPr>
                  <w:t>20</w:t>
                </w:r>
                <w:r>
                  <w:rPr>
                    <w:szCs w:val="24"/>
                  </w:rPr>
                  <w:t>.</w:t>
                </w:r>
              </w:p>
            </w:tc>
            <w:tc>
              <w:tcPr>
                <w:tcW w:w="2176" w:type="pct"/>
              </w:tcPr>
              <w:p>
                <w:pPr>
                  <w:rPr>
                    <w:szCs w:val="24"/>
                  </w:rPr>
                </w:pPr>
                <w:r>
                  <w:rPr>
                    <w:szCs w:val="24"/>
                  </w:rPr>
                  <w:t>Branduolinės energetikos objektų eksploatavimo nutraukimas ir radioaktyviųjų atliekų tvarkymas (apimantis ir tam reikalingos infrastruktūros įrengimą bei eksploatavimą)</w:t>
                </w:r>
              </w:p>
            </w:tc>
            <w:tc>
              <w:tcPr>
                <w:tcW w:w="1332" w:type="pct"/>
              </w:tcPr>
              <w:p>
                <w:pPr>
                  <w:rPr>
                    <w:szCs w:val="24"/>
                  </w:rPr>
                </w:pPr>
                <w:r>
                  <w:rPr>
                    <w:szCs w:val="24"/>
                  </w:rPr>
                  <w:t>Valstybės įmonė Ignalinos atominė elektrinė</w:t>
                </w:r>
              </w:p>
            </w:tc>
            <w:tc>
              <w:tcPr>
                <w:tcW w:w="1189" w:type="pct"/>
              </w:tcPr>
              <w:p>
                <w:pPr>
                  <w:rPr>
                    <w:szCs w:val="24"/>
                  </w:rPr>
                </w:pPr>
                <w:r>
                  <w:rPr>
                    <w:szCs w:val="24"/>
                  </w:rPr>
                  <w:t>Lietuvos Respublikos energetikos ministerija</w:t>
                </w:r>
              </w:p>
            </w:tc>
          </w:tr>
          <w:tr>
            <w:trPr>
              <w:cantSplit/>
            </w:trPr>
            <w:tc>
              <w:tcPr>
                <w:tcW w:w="303" w:type="pct"/>
              </w:tcPr>
              <w:p>
                <w:pPr>
                  <w:jc w:val="center"/>
                  <w:rPr>
                    <w:szCs w:val="24"/>
                  </w:rPr>
                </w:pPr>
                <w:r>
                  <w:rPr>
                    <w:szCs w:val="24"/>
                  </w:rPr>
                  <w:t>21.</w:t>
                </w:r>
              </w:p>
            </w:tc>
            <w:tc>
              <w:tcPr>
                <w:tcW w:w="2176" w:type="pct"/>
              </w:tcPr>
              <w:p>
                <w:pPr>
                  <w:rPr>
                    <w:szCs w:val="24"/>
                  </w:rPr>
                </w:pPr>
                <w:r>
                  <w:rPr>
                    <w:szCs w:val="24"/>
                  </w:rPr>
                  <w:t>Viešuosius interesus atitinkančių paslaugų lėšų administravimo veikla</w:t>
                </w:r>
              </w:p>
            </w:tc>
            <w:tc>
              <w:tcPr>
                <w:tcW w:w="1332" w:type="pct"/>
              </w:tcPr>
              <w:p>
                <w:pPr>
                  <w:rPr>
                    <w:szCs w:val="24"/>
                  </w:rPr>
                </w:pPr>
                <w:r>
                  <w:rPr>
                    <w:szCs w:val="24"/>
                  </w:rPr>
                  <w:t>BALTPOOL, UAB</w:t>
                </w:r>
              </w:p>
            </w:tc>
            <w:tc>
              <w:tcPr>
                <w:tcW w:w="1189" w:type="pct"/>
              </w:tcPr>
              <w:p>
                <w:pPr>
                  <w:rPr>
                    <w:szCs w:val="24"/>
                  </w:rPr>
                </w:pPr>
                <w:r>
                  <w:rPr>
                    <w:szCs w:val="24"/>
                  </w:rPr>
                  <w:t>Energetikos ministerija</w:t>
                </w:r>
              </w:p>
            </w:tc>
          </w:tr>
          <w:tr>
            <w:trPr>
              <w:cantSplit/>
            </w:trPr>
            <w:tc>
              <w:tcPr>
                <w:tcW w:w="303" w:type="pct"/>
              </w:tcPr>
              <w:p>
                <w:pPr>
                  <w:jc w:val="center"/>
                  <w:rPr>
                    <w:szCs w:val="24"/>
                  </w:rPr>
                </w:pPr>
                <w:r>
                  <w:rPr>
                    <w:szCs w:val="24"/>
                  </w:rPr>
                  <w:t>22.</w:t>
                </w:r>
              </w:p>
            </w:tc>
            <w:tc>
              <w:tcPr>
                <w:tcW w:w="2176" w:type="pct"/>
              </w:tcPr>
              <w:p>
                <w:pPr>
                  <w:rPr>
                    <w:szCs w:val="24"/>
                  </w:rPr>
                </w:pPr>
                <w:r>
                  <w:rPr>
                    <w:szCs w:val="24"/>
                  </w:rPr>
                  <w:t>Skolų valstybei išieškojimas ir pagal pavedimo sutartis su Lietuvos Respublikos finansų ministerija perduotų paskolų, valstybės garantijų ir kitų turtinių įsipareigojimų administravimas</w:t>
                </w:r>
                <w:r>
                  <w:rPr>
                    <w:rFonts w:eastAsia="Calibri"/>
                    <w:kern w:val="2"/>
                    <w:szCs w:val="24"/>
                    <w14:ligatures w14:val="standardContextual"/>
                  </w:rPr>
                  <w:t>, kitos teisės aktuose nustatytos veiklos, susijusios su skolų valstybei išieškojimu ir paskolų, valstybės garantijų ir kitų turtinių įsipareigojimų administravimu</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23.</w:t>
                </w:r>
              </w:p>
            </w:tc>
            <w:tc>
              <w:tcPr>
                <w:tcW w:w="2176" w:type="pct"/>
              </w:tcPr>
              <w:p>
                <w:pPr>
                  <w:rPr>
                    <w:szCs w:val="24"/>
                  </w:rPr>
                </w:pPr>
                <w:r>
                  <w:rPr>
                    <w:szCs w:val="24"/>
                  </w:rPr>
                  <w:t>Valstybei</w:t>
                </w:r>
                <w:r>
                  <w:rPr>
                    <w:b/>
                    <w:bCs/>
                    <w:szCs w:val="24"/>
                  </w:rPr>
                  <w:t xml:space="preserve"> </w:t>
                </w:r>
                <w:r>
                  <w:rPr>
                    <w:szCs w:val="24"/>
                  </w:rPr>
                  <w:t xml:space="preserve">ir savivaldybėms nuosavybės teise priklausančių akcijų privatizavimas, </w:t>
                </w:r>
                <w:r>
                  <w:rPr>
                    <w:rFonts w:eastAsia="Calibri"/>
                    <w:kern w:val="2"/>
                    <w:szCs w:val="24"/>
                    <w14:ligatures w14:val="standardContextual"/>
                  </w:rPr>
                  <w:t>kitos teisės aktuose nustatytos veiklos, susijusios su valstybei ir savivaldybėms nuosavybės teise priklausančių akcijų privatizavimu</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24.</w:t>
                </w:r>
              </w:p>
            </w:tc>
            <w:tc>
              <w:tcPr>
                <w:tcW w:w="2176" w:type="pct"/>
              </w:tcPr>
              <w:p>
                <w:pPr>
                  <w:rPr>
                    <w:szCs w:val="24"/>
                  </w:rPr>
                </w:pPr>
                <w:r>
                  <w:rPr>
                    <w:szCs w:val="24"/>
                  </w:rPr>
                  <w:t xml:space="preserve">Valstybės nekilnojamojo turto atnaujinimo organizavimas ir koordinavimas </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25.</w:t>
                </w:r>
              </w:p>
            </w:tc>
            <w:tc>
              <w:tcPr>
                <w:tcW w:w="2176" w:type="pct"/>
              </w:tcPr>
              <w:p>
                <w:pPr>
                  <w:rPr>
                    <w:szCs w:val="24"/>
                  </w:rPr>
                </w:pPr>
                <w:r>
                  <w:rPr>
                    <w:szCs w:val="24"/>
                  </w:rPr>
                  <w:t xml:space="preserve">Centralizuotai valdyti perduoto administracinės ir kitos paskirties valstybės nekilnojamojo turto valdymas ir priežiūra pagal nuomos sutartis,  valstybės institucijų ir įstaigų aprūpinimas administracinės paskirties nekilnojamuoju turtu, įgyvendinant centralizuotai valdomo administracinės paskirties nekilnojamojo turto atnaujinimo ir energijos vartojimo efektyvumo didinimo projektus</w:t>
                </w:r>
                <w:r>
                  <w:rPr>
                    <w:rFonts w:eastAsia="Calibri"/>
                    <w:kern w:val="2"/>
                    <w:szCs w:val="24"/>
                    <w14:ligatures w14:val="standardContextual"/>
                  </w:rPr>
                  <w:t>, kitos teisės aktuose nustatytos veiklos, susijusios su centralizuotu valstybės nekilnojamojo turto valdymu</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26.</w:t>
                </w:r>
              </w:p>
            </w:tc>
            <w:tc>
              <w:tcPr>
                <w:tcW w:w="2176" w:type="pct"/>
              </w:tcPr>
              <w:p>
                <w:pPr>
                  <w:rPr>
                    <w:szCs w:val="24"/>
                  </w:rPr>
                </w:pPr>
                <w:r>
                  <w:rPr>
                    <w:szCs w:val="24"/>
                  </w:rPr>
                  <w:t>Valstybės nekilnojamojo turto ir jam priskirtų valstybinės žemės sklypų bei kitų nekilnojamųjų daiktų pardavimas, taip pat valstybinės žemės sklypų, priskirtų parduodamam savivaldybių nekilnojamajam turtui, pardavimo sandorių sudarymas ir administravimas</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27.</w:t>
                </w:r>
              </w:p>
            </w:tc>
            <w:tc>
              <w:tcPr>
                <w:tcW w:w="2176" w:type="pct"/>
              </w:tcPr>
              <w:p>
                <w:pPr>
                  <w:rPr>
                    <w:szCs w:val="24"/>
                  </w:rPr>
                </w:pPr>
                <w:r>
                  <w:rPr>
                    <w:szCs w:val="24"/>
                  </w:rPr>
                  <w:t>Valstybės turto informacinės paieškos sistemos (toliau – VTIPS) tvarkytojo funkcijų atlikimas, įskaitant turto valdytojų sprendimų dėl jų valdomo valstybės nekilnojamojo turto panaudos, nuomos ar perdavimo patikėjimo teise privalomą derinimą, valstybės nekilnojamojo turto valdymo efektyvumo analizės atlikimą ir metinių valstybės turto valdymo ataskaitų rengimą, naudojantis VTIPS</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28.</w:t>
                </w:r>
              </w:p>
            </w:tc>
            <w:tc>
              <w:tcPr>
                <w:tcW w:w="2176" w:type="pct"/>
              </w:tcPr>
              <w:p>
                <w:pPr>
                  <w:rPr>
                    <w:szCs w:val="24"/>
                  </w:rPr>
                </w:pPr>
                <w:r>
                  <w:rPr>
                    <w:szCs w:val="24"/>
                  </w:rPr>
                  <w:t>Bešeimininkio, konfiskuoto, valstybės paveldėto, valstybei perduoto nekilnojamojo turto, akcinių bendrovių ir uždarųjų akcinių bendrovių akcijų administravimas, pardavimas ir (arba) privatizavimas</w:t>
                </w:r>
                <w:r>
                  <w:rPr>
                    <w:rFonts w:eastAsia="Calibri"/>
                    <w:kern w:val="2"/>
                    <w:szCs w:val="24"/>
                    <w14:ligatures w14:val="standardContextual"/>
                  </w:rPr>
                  <w:t>, kitos teisės aktuose nustatytos veiklos, susijusios su bešeimininkio, konfiskuoto, valstybės paveldėto, valstybei perduoto nekilnojamojo turto ir akcinių bendrovių ir uždarųjų akcinių bendrovių akcijų administravimu</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29.</w:t>
                </w:r>
              </w:p>
            </w:tc>
            <w:tc>
              <w:tcPr>
                <w:tcW w:w="2176" w:type="pct"/>
              </w:tcPr>
              <w:p>
                <w:pPr>
                  <w:rPr>
                    <w:szCs w:val="24"/>
                  </w:rPr>
                </w:pPr>
                <w:r>
                  <w:rPr>
                    <w:szCs w:val="24"/>
                  </w:rPr>
                  <w:t>Juridinių</w:t>
                </w:r>
                <w:r>
                  <w:rPr>
                    <w:b/>
                    <w:bCs/>
                    <w:szCs w:val="24"/>
                  </w:rPr>
                  <w:t xml:space="preserve"> </w:t>
                </w:r>
                <w:r>
                  <w:rPr>
                    <w:szCs w:val="24"/>
                  </w:rPr>
                  <w:t>asmenų likvidavimas</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30.</w:t>
                </w:r>
              </w:p>
            </w:tc>
            <w:tc>
              <w:tcPr>
                <w:tcW w:w="2176" w:type="pct"/>
              </w:tcPr>
              <w:p>
                <w:pPr>
                  <w:rPr>
                    <w:szCs w:val="24"/>
                  </w:rPr>
                </w:pPr>
                <w:r>
                  <w:rPr>
                    <w:szCs w:val="24"/>
                  </w:rPr>
                  <w:t>Nurašyto valstybės nekilnojamojo turto likvidavimo (griovimo) darbų organizavimas</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31.</w:t>
                </w:r>
              </w:p>
            </w:tc>
            <w:tc>
              <w:tcPr>
                <w:tcW w:w="2176" w:type="pct"/>
              </w:tcPr>
              <w:p>
                <w:pPr>
                  <w:rPr>
                    <w:szCs w:val="24"/>
                  </w:rPr>
                </w:pPr>
                <w:r>
                  <w:rPr>
                    <w:szCs w:val="24"/>
                  </w:rPr>
                  <w:t>Vyriausybės nustatyta tvarka atstovavimas valstybei bylose dėl nekilnojamojo turto valdymo nuosavybės teise fakto nustatymo ir kitose bylose dėl valstybės nekilnojamojo turto nuosavybės teisių gynimo, kai šis turtas nėra perduotas kitai valstybės institucijai ar įstaigai</w:t>
                </w:r>
              </w:p>
            </w:tc>
            <w:tc>
              <w:tcPr>
                <w:tcW w:w="1332" w:type="pct"/>
              </w:tcPr>
              <w:p>
                <w:pPr>
                  <w:rPr>
                    <w:szCs w:val="24"/>
                  </w:rPr>
                </w:pPr>
                <w:r>
                  <w:rPr>
                    <w:szCs w:val="24"/>
                  </w:rPr>
                  <w:t>Valstybės įmonė Turto bankas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32.</w:t>
                </w:r>
              </w:p>
            </w:tc>
            <w:tc>
              <w:tcPr>
                <w:tcW w:w="2176" w:type="pct"/>
              </w:tcPr>
              <w:p>
                <w:pPr>
                  <w:rPr>
                    <w:szCs w:val="24"/>
                  </w:rPr>
                </w:pPr>
                <w:r>
                  <w:rPr>
                    <w:szCs w:val="24"/>
                  </w:rPr>
                  <w:t>Valstybės įsteigtos garantijų institucijos garantijų teikimo veikla</w:t>
                </w:r>
              </w:p>
            </w:tc>
            <w:tc>
              <w:tcPr>
                <w:tcW w:w="1332" w:type="pct"/>
              </w:tcPr>
              <w:p>
                <w:pPr>
                  <w:rPr>
                    <w:szCs w:val="24"/>
                  </w:rPr>
                </w:pPr>
                <w:r>
                  <w:rPr>
                    <w:szCs w:val="24"/>
                  </w:rPr>
                  <w:t>Uždaroji akcinė bendrovė „Investicijų ir verslo garantijos“</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33.</w:t>
                </w:r>
              </w:p>
            </w:tc>
            <w:tc>
              <w:tcPr>
                <w:tcW w:w="2176" w:type="pct"/>
              </w:tcPr>
              <w:p>
                <w:pPr/>
                <w:r>
                  <w:t>Dotacijų, įskaitant dotacijas taikant sąlygas, ir (ar) subsidijų, įskaitant grąžinamąsias subsidijas, kai jos susijusios su finansine priemone, finansine paslauga ar skatinamąja finansine priemone, teikimas ir tarpinės institucijos funkcijų 2014–2020 metų Europos Sąjungos struktūrinių fondų lėšų valdymo ir kontrolės sistemos administravimo srityje atlikimas</w:t>
                </w:r>
              </w:p>
            </w:tc>
            <w:tc>
              <w:tcPr>
                <w:tcW w:w="1332" w:type="pct"/>
              </w:tcPr>
              <w:p>
                <w:pPr>
                  <w:rPr>
                    <w:szCs w:val="24"/>
                  </w:rPr>
                </w:pPr>
                <w:r>
                  <w:rPr>
                    <w:szCs w:val="24"/>
                  </w:rPr>
                  <w:t>UAB ILTE</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34.</w:t>
                </w:r>
              </w:p>
            </w:tc>
            <w:tc>
              <w:tcPr>
                <w:tcW w:w="2176" w:type="pct"/>
              </w:tcPr>
              <w:p>
                <w:pPr>
                  <w:rPr>
                    <w:szCs w:val="24"/>
                  </w:rPr>
                </w:pPr>
                <w:r>
                  <w:rPr>
                    <w:szCs w:val="24"/>
                  </w:rPr>
                  <w:t>Kontroliuojančiųjų fondų, fondų fondų, specialiųjų fondų valdymas ir atskirų finansų inžinerijos, skatinamųjų finansinių priemonių ir finansinių priemonių įgyvendinimas</w:t>
                </w:r>
              </w:p>
            </w:tc>
            <w:tc>
              <w:tcPr>
                <w:tcW w:w="1332" w:type="pct"/>
              </w:tcPr>
              <w:p>
                <w:pPr>
                  <w:rPr>
                    <w:szCs w:val="24"/>
                  </w:rPr>
                </w:pPr>
                <w:r>
                  <w:rPr>
                    <w:szCs w:val="24"/>
                  </w:rPr>
                  <w:t>UAB ILTE</w:t>
                </w:r>
              </w:p>
            </w:tc>
            <w:tc>
              <w:tcPr>
                <w:tcW w:w="1189" w:type="pct"/>
              </w:tcPr>
              <w:p>
                <w:pPr>
                  <w:rPr>
                    <w:szCs w:val="24"/>
                  </w:rPr>
                </w:pPr>
                <w:r>
                  <w:rPr>
                    <w:szCs w:val="24"/>
                  </w:rPr>
                  <w:t>Finansų ministerija</w:t>
                </w:r>
              </w:p>
            </w:tc>
          </w:tr>
          <w:tr>
            <w:trPr>
              <w:cantSplit/>
            </w:trPr>
            <w:tc>
              <w:tcPr>
                <w:tcW w:w="303" w:type="pct"/>
              </w:tcPr>
              <w:p>
                <w:pPr>
                  <w:jc w:val="center"/>
                  <w:rPr>
                    <w:szCs w:val="24"/>
                    <w:lang w:val="en-US"/>
                  </w:rPr>
                </w:pPr>
                <w:r>
                  <w:rPr>
                    <w:szCs w:val="24"/>
                    <w:lang w:val="en-US"/>
                  </w:rPr>
                  <w:t>35.</w:t>
                </w:r>
              </w:p>
            </w:tc>
            <w:tc>
              <w:tcPr>
                <w:tcW w:w="2176" w:type="pct"/>
              </w:tcPr>
              <w:p>
                <w:pPr>
                  <w:rPr>
                    <w:szCs w:val="24"/>
                  </w:rPr>
                </w:pPr>
                <w:r>
                  <w:rPr>
                    <w:szCs w:val="24"/>
                  </w:rPr>
                  <w:t>Žaliųjų finansų instituto veikla</w:t>
                </w:r>
              </w:p>
            </w:tc>
            <w:tc>
              <w:tcPr>
                <w:tcW w:w="1332" w:type="pct"/>
              </w:tcPr>
              <w:p>
                <w:pPr>
                  <w:rPr>
                    <w:szCs w:val="24"/>
                  </w:rPr>
                </w:pPr>
                <w:r>
                  <w:rPr>
                    <w:szCs w:val="24"/>
                  </w:rPr>
                  <w:t>UAB ILTE</w:t>
                </w:r>
              </w:p>
            </w:tc>
            <w:tc>
              <w:tcPr>
                <w:tcW w:w="1189" w:type="pct"/>
              </w:tcPr>
              <w:p>
                <w:pPr>
                  <w:rPr>
                    <w:szCs w:val="24"/>
                  </w:rPr>
                </w:pPr>
                <w:r>
                  <w:rPr>
                    <w:szCs w:val="24"/>
                  </w:rPr>
                  <w:t>Finansų ministerija</w:t>
                </w:r>
              </w:p>
            </w:tc>
          </w:tr>
          <w:tr>
            <w:trPr>
              <w:cantSplit/>
            </w:trPr>
            <w:tc>
              <w:tcPr>
                <w:tcW w:w="303" w:type="pct"/>
              </w:tcPr>
              <w:p>
                <w:pPr>
                  <w:jc w:val="center"/>
                  <w:rPr>
                    <w:szCs w:val="24"/>
                  </w:rPr>
                </w:pPr>
                <w:r>
                  <w:rPr>
                    <w:szCs w:val="24"/>
                  </w:rPr>
                  <w:t>36.</w:t>
                </w:r>
              </w:p>
            </w:tc>
            <w:tc>
              <w:tcPr>
                <w:tcW w:w="2176" w:type="pct"/>
              </w:tcPr>
              <w:p>
                <w:pPr>
                  <w:rPr>
                    <w:szCs w:val="24"/>
                  </w:rPr>
                </w:pPr>
                <w:r>
                  <w:rPr>
                    <w:szCs w:val="24"/>
                  </w:rPr>
                  <w:t>Viešosios keleivių vežimo geležinkelių transportu paslaugos</w:t>
                </w:r>
              </w:p>
            </w:tc>
            <w:tc>
              <w:tcPr>
                <w:tcW w:w="1332" w:type="pct"/>
              </w:tcPr>
              <w:p>
                <w:pPr>
                  <w:rPr>
                    <w:szCs w:val="24"/>
                  </w:rPr>
                </w:pPr>
                <w:r>
                  <w:rPr>
                    <w:szCs w:val="24"/>
                  </w:rPr>
                  <w:t>UAB „LTG Link“</w:t>
                </w:r>
              </w:p>
            </w:tc>
            <w:tc>
              <w:tcPr>
                <w:tcW w:w="1189" w:type="pct"/>
              </w:tcPr>
              <w:p>
                <w:pPr>
                  <w:rPr>
                    <w:szCs w:val="24"/>
                  </w:rPr>
                </w:pPr>
                <w:r>
                  <w:rPr>
                    <w:szCs w:val="24"/>
                  </w:rPr>
                  <w:t>Lietuvos Respublikos susisiekimo ministerija</w:t>
                </w:r>
              </w:p>
            </w:tc>
          </w:tr>
          <w:tr>
            <w:trPr>
              <w:cantSplit/>
            </w:trPr>
            <w:tc>
              <w:tcPr>
                <w:tcW w:w="303" w:type="pct"/>
              </w:tcPr>
              <w:p>
                <w:pPr>
                  <w:jc w:val="center"/>
                  <w:rPr>
                    <w:szCs w:val="24"/>
                  </w:rPr>
                </w:pPr>
                <w:r>
                  <w:rPr>
                    <w:szCs w:val="24"/>
                  </w:rPr>
                  <w:t>37.</w:t>
                </w:r>
              </w:p>
            </w:tc>
            <w:tc>
              <w:tcPr>
                <w:tcW w:w="2176" w:type="pct"/>
              </w:tcPr>
              <w:p>
                <w:pPr>
                  <w:rPr>
                    <w:szCs w:val="24"/>
                  </w:rPr>
                </w:pPr>
                <w:r>
                  <w:rPr>
                    <w:szCs w:val="24"/>
                  </w:rPr>
                  <w:t>Viešosios geležinkelių infrastruktūros priežiūra, atnaujinimas ir plėtra, minimaliojo prieigos prie viešosios geležinkelių infrastruktūros paketo paslaugų teikimas bei disponavimas viešąja geležinkelių infrastruktūra patikėjimo teise</w:t>
                </w:r>
              </w:p>
            </w:tc>
            <w:tc>
              <w:tcPr>
                <w:tcW w:w="1332" w:type="pct"/>
              </w:tcPr>
              <w:p>
                <w:pPr>
                  <w:rPr>
                    <w:szCs w:val="24"/>
                  </w:rPr>
                </w:pPr>
                <w:r>
                  <w:rPr>
                    <w:szCs w:val="24"/>
                  </w:rPr>
                  <w:t>AB „LTG Infra“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38.</w:t>
                </w:r>
              </w:p>
            </w:tc>
            <w:tc>
              <w:tcPr>
                <w:tcW w:w="2176" w:type="pct"/>
              </w:tcPr>
              <w:p>
                <w:pPr>
                  <w:rPr>
                    <w:szCs w:val="24"/>
                  </w:rPr>
                </w:pPr>
                <w:r>
                  <w:rPr>
                    <w:szCs w:val="24"/>
                  </w:rPr>
                  <w:t>Universaliosios pašto paslaugos teikimo užtikrinimas visoje Lietuvos Respublikos teritorijoje ne mažiau nei 5 darbo dienas per savaitę</w:t>
                </w:r>
              </w:p>
            </w:tc>
            <w:tc>
              <w:tcPr>
                <w:tcW w:w="1332" w:type="pct"/>
              </w:tcPr>
              <w:p>
                <w:pPr>
                  <w:rPr>
                    <w:szCs w:val="24"/>
                  </w:rPr>
                </w:pPr>
                <w:r>
                  <w:rPr>
                    <w:szCs w:val="24"/>
                  </w:rPr>
                  <w:t>Akcinė bendrovė Lietuvos paštas</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39.</w:t>
                </w:r>
              </w:p>
            </w:tc>
            <w:tc>
              <w:tcPr>
                <w:tcW w:w="2176" w:type="pct"/>
              </w:tcPr>
              <w:p>
                <w:pPr>
                  <w:rPr>
                    <w:szCs w:val="24"/>
                  </w:rPr>
                </w:pPr>
                <w:r>
                  <w:rPr>
                    <w:szCs w:val="24"/>
                  </w:rPr>
                  <w:t>Periodinių leidinių pristatymas kaimo gyvenamųjų vietovių ir miestų, kurie patenka į retai ir vidutiniškai tankiai apgyvendintas gyvenamąsias vietoves, prenumeratoriams</w:t>
                </w:r>
              </w:p>
            </w:tc>
            <w:tc>
              <w:tcPr>
                <w:tcW w:w="1332" w:type="pct"/>
              </w:tcPr>
              <w:p>
                <w:pPr>
                  <w:rPr>
                    <w:szCs w:val="24"/>
                  </w:rPr>
                </w:pPr>
                <w:r>
                  <w:rPr>
                    <w:szCs w:val="24"/>
                  </w:rPr>
                  <w:t>Akcinė bendrovė Lietuvos paštas</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40.</w:t>
                </w:r>
              </w:p>
            </w:tc>
            <w:tc>
              <w:tcPr>
                <w:tcW w:w="2176" w:type="pct"/>
              </w:tcPr>
              <w:p>
                <w:pPr>
                  <w:rPr>
                    <w:szCs w:val="24"/>
                  </w:rPr>
                </w:pPr>
                <w:r>
                  <w:rPr>
                    <w:szCs w:val="24"/>
                  </w:rPr>
                  <w:t>Galimybės naudotis Klaipėdos valstybinio jūrų uosto infrastruktūra karinėms jūrų pajėgoms sudarymas</w:t>
                </w:r>
              </w:p>
            </w:tc>
            <w:tc>
              <w:tcPr>
                <w:tcW w:w="1332" w:type="pct"/>
              </w:tcPr>
              <w:p>
                <w:pPr>
                  <w:rPr>
                    <w:szCs w:val="24"/>
                  </w:rPr>
                </w:pPr>
                <w:r>
                  <w:rPr>
                    <w:szCs w:val="24"/>
                  </w:rPr>
                  <w:t>Akcinė bendrovė Klaipėdos valstybinio jūrų uosto direkcija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41.</w:t>
                </w:r>
              </w:p>
            </w:tc>
            <w:tc>
              <w:tcPr>
                <w:tcW w:w="2176" w:type="pct"/>
              </w:tcPr>
              <w:p>
                <w:pPr>
                  <w:rPr>
                    <w:szCs w:val="24"/>
                  </w:rPr>
                </w:pPr>
                <w:r>
                  <w:rPr>
                    <w:szCs w:val="24"/>
                  </w:rPr>
                  <w:t>Laivų statybai ir remontui reikalingos Klaipėdos jūrų uosto infrastruktūros statymas, modernizavimas ir plėtojimas</w:t>
                </w:r>
              </w:p>
            </w:tc>
            <w:tc>
              <w:tcPr>
                <w:tcW w:w="1332" w:type="pct"/>
              </w:tcPr>
              <w:p>
                <w:pPr>
                  <w:rPr>
                    <w:szCs w:val="24"/>
                  </w:rPr>
                </w:pPr>
                <w:r>
                  <w:rPr>
                    <w:szCs w:val="24"/>
                  </w:rPr>
                  <w:t>Akcinė bendrovė Klaipėdos valstybinio jūrų uosto direkcija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42.</w:t>
                </w:r>
              </w:p>
            </w:tc>
            <w:tc>
              <w:tcPr>
                <w:tcW w:w="2176" w:type="pct"/>
              </w:tcPr>
              <w:p>
                <w:pPr>
                  <w:rPr>
                    <w:szCs w:val="24"/>
                  </w:rPr>
                </w:pPr>
                <w:r>
                  <w:rPr>
                    <w:szCs w:val="24"/>
                  </w:rPr>
                  <w:t>Jūrinio vėjo elektrinių ir jų komponentų gamybai, surinkimui ir (ar) sandėliavimui reikalingos Klaipėdos jūrų uosto infrastruktūros statymas, modernizavimas ir plėtojimas</w:t>
                </w:r>
              </w:p>
            </w:tc>
            <w:tc>
              <w:tcPr>
                <w:tcW w:w="1332" w:type="pct"/>
              </w:tcPr>
              <w:p>
                <w:pPr>
                  <w:rPr>
                    <w:szCs w:val="24"/>
                    <w:lang w:val="en-US"/>
                  </w:rPr>
                </w:pPr>
                <w:r>
                  <w:rPr>
                    <w:szCs w:val="24"/>
                  </w:rPr>
                  <w:t>Akcinė bendrovė Klaipėdos valstybinio jūrų uosto direkcija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43.</w:t>
                </w:r>
              </w:p>
            </w:tc>
            <w:tc>
              <w:tcPr>
                <w:tcW w:w="2176" w:type="pct"/>
              </w:tcPr>
              <w:p>
                <w:pPr>
                  <w:rPr>
                    <w:color w:val="000000"/>
                    <w:szCs w:val="24"/>
                  </w:rPr>
                </w:pPr>
                <w:r>
                  <w:rPr>
                    <w:color w:val="000000"/>
                    <w:szCs w:val="24"/>
                  </w:rPr>
                  <w:t>Programos „Susisiekimo vandens keliais užtikrinimas“ vykdymas</w:t>
                </w:r>
              </w:p>
            </w:tc>
            <w:tc>
              <w:tcPr>
                <w:tcW w:w="1332" w:type="pct"/>
              </w:tcPr>
              <w:p>
                <w:pPr>
                  <w:rPr>
                    <w:color w:val="000000"/>
                    <w:szCs w:val="24"/>
                  </w:rPr>
                </w:pPr>
                <w:r>
                  <w:rPr>
                    <w:szCs w:val="24"/>
                  </w:rPr>
                  <w:t xml:space="preserve">Akcinė bendrovė </w:t>
                </w:r>
                <w:r>
                  <w:rPr>
                    <w:color w:val="000000"/>
                    <w:szCs w:val="24"/>
                  </w:rPr>
                  <w:t>Vidaus vandens kelių direkcija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44.</w:t>
                </w:r>
              </w:p>
            </w:tc>
            <w:tc>
              <w:tcPr>
                <w:tcW w:w="2176" w:type="pct"/>
              </w:tcPr>
              <w:p>
                <w:pPr>
                  <w:rPr>
                    <w:szCs w:val="22"/>
                  </w:rPr>
                </w:pPr>
                <w:r>
                  <w:rPr>
                    <w:szCs w:val="24"/>
                  </w:rPr>
                  <w:t xml:space="preserve">Valstybinės reikšmės (magistralinių, krašto ir rajoninių) kelių priežiūra ir </w:t>
                </w:r>
                <w:r>
                  <w:rPr>
                    <w:szCs w:val="22"/>
                  </w:rPr>
                  <w:t>tvarkymas</w:t>
                </w:r>
              </w:p>
            </w:tc>
            <w:tc>
              <w:tcPr>
                <w:tcW w:w="1332" w:type="pct"/>
              </w:tcPr>
              <w:p>
                <w:pPr>
                  <w:rPr>
                    <w:szCs w:val="24"/>
                  </w:rPr>
                </w:pPr>
                <w:r>
                  <w:rPr>
                    <w:szCs w:val="24"/>
                  </w:rPr>
                  <w:t>Akcinė bendrovė „Kelių priežiūra“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45.</w:t>
                </w:r>
              </w:p>
            </w:tc>
            <w:tc>
              <w:tcPr>
                <w:tcW w:w="2176" w:type="pct"/>
              </w:tcPr>
              <w:p>
                <w:pPr>
                  <w:rPr>
                    <w:szCs w:val="24"/>
                  </w:rPr>
                </w:pPr>
                <w:r>
                  <w:rPr>
                    <w:szCs w:val="24"/>
                  </w:rPr>
                  <w:t>Karinio kontrmobilumo priemonių valstybinės reikšmės keliuose įrengimas</w:t>
                </w:r>
              </w:p>
            </w:tc>
            <w:tc>
              <w:tcPr>
                <w:tcW w:w="1332" w:type="pct"/>
              </w:tcPr>
              <w:p>
                <w:pPr>
                  <w:rPr>
                    <w:szCs w:val="24"/>
                  </w:rPr>
                </w:pPr>
                <w:r>
                  <w:rPr>
                    <w:szCs w:val="24"/>
                  </w:rPr>
                  <w:t>Akcinė bendrovė „Kelių priežiūra“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46.</w:t>
                </w:r>
              </w:p>
            </w:tc>
            <w:tc>
              <w:tcPr>
                <w:tcW w:w="2176" w:type="pct"/>
              </w:tcPr>
              <w:p>
                <w:pPr>
                  <w:rPr>
                    <w:szCs w:val="24"/>
                  </w:rPr>
                </w:pPr>
                <w:r>
                  <w:rPr>
                    <w:szCs w:val="24"/>
                  </w:rPr>
                  <w:t>Karinio kontrmobilumo priemonių, siekiant didinti atgrasomąjį ir gynybinį valstybės potencialą, įgyvendinimas</w:t>
                </w:r>
              </w:p>
            </w:tc>
            <w:tc>
              <w:tcPr>
                <w:tcW w:w="1332" w:type="pct"/>
              </w:tcPr>
              <w:p>
                <w:pPr>
                  <w:rPr>
                    <w:szCs w:val="24"/>
                  </w:rPr>
                </w:pPr>
                <w:r>
                  <w:rPr>
                    <w:szCs w:val="24"/>
                  </w:rPr>
                  <w:t>Akcinė bendrovė „Via Lietuva“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47.</w:t>
                </w:r>
              </w:p>
            </w:tc>
            <w:tc>
              <w:tcPr>
                <w:tcW w:w="2176" w:type="pct"/>
              </w:tcPr>
              <w:p>
                <w:pPr>
                  <w:rPr>
                    <w:color w:val="000000"/>
                    <w:szCs w:val="24"/>
                  </w:rPr>
                </w:pPr>
                <w:r>
                  <w:rPr>
                    <w:color w:val="000000"/>
                    <w:szCs w:val="24"/>
                  </w:rPr>
                  <w:t>Valstybinės reikšmės kelių valdymas bei saugių eismo sąlygų užtikrinimo organizavimas ir koordinavimas, siekiant įgyvendinti eismo saugumo priemones valstybinės reikšmės keliuose</w:t>
                </w:r>
              </w:p>
            </w:tc>
            <w:tc>
              <w:tcPr>
                <w:tcW w:w="1332" w:type="pct"/>
              </w:tcPr>
              <w:p>
                <w:pPr>
                  <w:rPr>
                    <w:szCs w:val="24"/>
                  </w:rPr>
                </w:pPr>
                <w:r>
                  <w:rPr>
                    <w:szCs w:val="24"/>
                  </w:rPr>
                  <w:t>Akcinė bendrovė „Via Lietuva“</w:t>
                </w:r>
              </w:p>
            </w:tc>
            <w:tc>
              <w:tcPr>
                <w:tcW w:w="1189" w:type="pct"/>
              </w:tcPr>
              <w:p>
                <w:pPr>
                  <w:rPr>
                    <w:szCs w:val="24"/>
                  </w:rPr>
                </w:pPr>
                <w:r>
                  <w:rPr>
                    <w:szCs w:val="24"/>
                  </w:rPr>
                  <w:t>Susisiekimo ministerija</w:t>
                </w:r>
              </w:p>
            </w:tc>
          </w:tr>
          <w:tr>
            <w:trPr>
              <w:cantSplit/>
            </w:trPr>
            <w:tc>
              <w:tcPr>
                <w:tcW w:w="303" w:type="pct"/>
              </w:tcPr>
              <w:p>
                <w:pPr>
                  <w:jc w:val="center"/>
                  <w:rPr>
                    <w:szCs w:val="24"/>
                  </w:rPr>
                </w:pPr>
                <w:r>
                  <w:rPr>
                    <w:szCs w:val="24"/>
                  </w:rPr>
                  <w:t>48.</w:t>
                </w:r>
              </w:p>
            </w:tc>
            <w:tc>
              <w:tcPr>
                <w:tcW w:w="2176" w:type="pct"/>
              </w:tcPr>
              <w:p>
                <w:pPr>
                  <w:rPr>
                    <w:color w:val="000000"/>
                    <w:szCs w:val="24"/>
                  </w:rPr>
                </w:pPr>
                <w:r>
                  <w:rPr>
                    <w:color w:val="000000"/>
                    <w:szCs w:val="24"/>
                  </w:rPr>
                  <w:t>Kelių transporto priemonių registravimas ir Lietuvos Respublikos kelių transporto priemonių registro tvarkymas</w:t>
                </w:r>
              </w:p>
            </w:tc>
            <w:tc>
              <w:tcPr>
                <w:tcW w:w="1332" w:type="pct"/>
              </w:tcPr>
              <w:p>
                <w:pPr>
                  <w:rPr>
                    <w:color w:val="000000"/>
                    <w:szCs w:val="24"/>
                  </w:rPr>
                </w:pPr>
                <w:r>
                  <w:rPr>
                    <w:color w:val="000000"/>
                    <w:szCs w:val="24"/>
                  </w:rPr>
                  <w:t>Akcinė bendrovė „Regitra“</w:t>
                </w:r>
              </w:p>
            </w:tc>
            <w:tc>
              <w:tcPr>
                <w:tcW w:w="1189" w:type="pct"/>
              </w:tcPr>
              <w:p>
                <w:pPr>
                  <w:rPr>
                    <w:szCs w:val="24"/>
                  </w:rPr>
                </w:pPr>
                <w:r>
                  <w:rPr>
                    <w:szCs w:val="24"/>
                  </w:rPr>
                  <w:t>Lietuvos Respublikos vidaus reikalų ministerija</w:t>
                </w:r>
              </w:p>
            </w:tc>
          </w:tr>
          <w:tr>
            <w:trPr>
              <w:cantSplit/>
            </w:trPr>
            <w:tc>
              <w:tcPr>
                <w:tcW w:w="303" w:type="pct"/>
              </w:tcPr>
              <w:p>
                <w:pPr>
                  <w:jc w:val="center"/>
                  <w:rPr>
                    <w:szCs w:val="24"/>
                  </w:rPr>
                </w:pPr>
                <w:r>
                  <w:rPr>
                    <w:szCs w:val="24"/>
                  </w:rPr>
                  <w:t>49.</w:t>
                </w:r>
              </w:p>
            </w:tc>
            <w:tc>
              <w:tcPr>
                <w:tcW w:w="2176" w:type="pct"/>
              </w:tcPr>
              <w:p>
                <w:pPr>
                  <w:rPr>
                    <w:color w:val="000000"/>
                    <w:szCs w:val="24"/>
                  </w:rPr>
                </w:pPr>
                <w:r>
                  <w:rPr>
                    <w:color w:val="000000"/>
                    <w:szCs w:val="24"/>
                  </w:rPr>
                  <w:t>Vairuotojo pažymėjimų ir Vairuotojo kvalifikacijos kortelių išdavimas bei Lietuvos Respublikos kelių transporto priemonių vairuotojų registro tvarkymas</w:t>
                </w:r>
              </w:p>
            </w:tc>
            <w:tc>
              <w:tcPr>
                <w:tcW w:w="1332" w:type="pct"/>
              </w:tcPr>
              <w:p>
                <w:pPr>
                  <w:rPr>
                    <w:color w:val="000000"/>
                    <w:szCs w:val="24"/>
                  </w:rPr>
                </w:pPr>
                <w:r>
                  <w:rPr>
                    <w:color w:val="000000"/>
                    <w:szCs w:val="24"/>
                  </w:rPr>
                  <w:t>Akcinė bendrovė „Regitra“</w:t>
                </w:r>
              </w:p>
            </w:tc>
            <w:tc>
              <w:tcPr>
                <w:tcW w:w="1189" w:type="pct"/>
              </w:tcPr>
              <w:p>
                <w:pPr>
                  <w:rPr>
                    <w:szCs w:val="24"/>
                  </w:rPr>
                </w:pPr>
                <w:r>
                  <w:rPr>
                    <w:szCs w:val="24"/>
                  </w:rPr>
                  <w:t>Vidaus reikalų ministerija</w:t>
                </w:r>
              </w:p>
            </w:tc>
          </w:tr>
          <w:tr>
            <w:trPr>
              <w:cantSplit/>
            </w:trPr>
            <w:tc>
              <w:tcPr>
                <w:tcW w:w="303" w:type="pct"/>
              </w:tcPr>
              <w:p>
                <w:pPr>
                  <w:jc w:val="center"/>
                  <w:rPr>
                    <w:szCs w:val="24"/>
                  </w:rPr>
                </w:pPr>
                <w:r>
                  <w:rPr>
                    <w:szCs w:val="24"/>
                  </w:rPr>
                  <w:t>50.</w:t>
                </w:r>
              </w:p>
            </w:tc>
            <w:tc>
              <w:tcPr>
                <w:tcW w:w="2176" w:type="pct"/>
              </w:tcPr>
              <w:p>
                <w:pPr>
                  <w:rPr>
                    <w:b/>
                    <w:i/>
                    <w:color w:val="000000"/>
                    <w:szCs w:val="24"/>
                  </w:rPr>
                </w:pPr>
                <w:r>
                  <w:rPr>
                    <w:b/>
                    <w:i/>
                    <w:color w:val="000000"/>
                    <w:szCs w:val="24"/>
                  </w:rPr>
                  <w:t>Neteko galios nuo 2024-10-17.</w:t>
                </w:r>
              </w:p>
            </w:tc>
            <w:tc>
              <w:tcPr>
                <w:tcW w:w="1332" w:type="pct"/>
              </w:tcPr>
              <w:p>
                <w:pPr>
                  <w:rPr>
                    <w:color w:val="000000"/>
                    <w:szCs w:val="24"/>
                  </w:rPr>
                </w:pPr>
              </w:p>
            </w:tc>
            <w:tc>
              <w:tcPr>
                <w:tcW w:w="1189" w:type="pct"/>
              </w:tcPr>
              <w:p>
                <w:pPr>
                  <w:rPr>
                    <w:szCs w:val="24"/>
                  </w:rPr>
                </w:pPr>
              </w:p>
            </w:tc>
          </w:tr>
          <w:tr>
            <w:trPr>
              <w:cantSplit/>
            </w:trPr>
            <w:tc>
              <w:tcPr>
                <w:tcW w:w="303" w:type="pct"/>
              </w:tcPr>
              <w:p>
                <w:pPr>
                  <w:jc w:val="center"/>
                  <w:rPr>
                    <w:szCs w:val="24"/>
                  </w:rPr>
                </w:pPr>
                <w:r>
                  <w:rPr>
                    <w:color w:val="000000"/>
                    <w:szCs w:val="24"/>
                  </w:rPr>
                  <w:t>51.</w:t>
                </w:r>
              </w:p>
            </w:tc>
            <w:tc>
              <w:tcPr>
                <w:tcW w:w="2176" w:type="pct"/>
              </w:tcPr>
              <w:p>
                <w:pPr>
                  <w:rPr>
                    <w:color w:val="000000"/>
                    <w:szCs w:val="24"/>
                  </w:rPr>
                </w:pPr>
                <w:r>
                  <w:rPr>
                    <w:color w:val="000000"/>
                    <w:szCs w:val="24"/>
                  </w:rPr>
                  <w:t>Asmenų, siekiančių įgyti teisę vairuoti kelių transporto priemones, egzaminavimas</w:t>
                </w:r>
              </w:p>
            </w:tc>
            <w:tc>
              <w:tcPr>
                <w:tcW w:w="1332" w:type="pct"/>
              </w:tcPr>
              <w:p>
                <w:pPr>
                  <w:rPr>
                    <w:color w:val="000000"/>
                    <w:szCs w:val="24"/>
                  </w:rPr>
                </w:pPr>
                <w:r>
                  <w:rPr>
                    <w:color w:val="000000"/>
                    <w:szCs w:val="24"/>
                  </w:rPr>
                  <w:t>Akcinė bendrovė „Regitra“</w:t>
                </w:r>
              </w:p>
            </w:tc>
            <w:tc>
              <w:tcPr>
                <w:tcW w:w="1189" w:type="pct"/>
              </w:tcPr>
              <w:p>
                <w:pPr>
                  <w:rPr>
                    <w:szCs w:val="24"/>
                  </w:rPr>
                </w:pPr>
                <w:r>
                  <w:rPr>
                    <w:szCs w:val="24"/>
                  </w:rPr>
                  <w:t>Vidaus reikalų ministerija</w:t>
                </w:r>
              </w:p>
            </w:tc>
          </w:tr>
          <w:tr>
            <w:trPr>
              <w:cantSplit/>
            </w:trPr>
            <w:tc>
              <w:tcPr>
                <w:tcW w:w="303" w:type="pct"/>
              </w:tcPr>
              <w:p>
                <w:pPr>
                  <w:jc w:val="center"/>
                  <w:rPr>
                    <w:szCs w:val="24"/>
                  </w:rPr>
                </w:pPr>
                <w:r>
                  <w:rPr>
                    <w:szCs w:val="24"/>
                  </w:rPr>
                  <w:t>52.</w:t>
                </w:r>
              </w:p>
            </w:tc>
            <w:tc>
              <w:tcPr>
                <w:tcW w:w="2176" w:type="pct"/>
              </w:tcPr>
              <w:p>
                <w:pPr>
                  <w:rPr>
                    <w:color w:val="000000"/>
                    <w:szCs w:val="24"/>
                  </w:rPr>
                </w:pPr>
                <w:r>
                  <w:rPr>
                    <w:color w:val="000000"/>
                    <w:szCs w:val="24"/>
                  </w:rPr>
                  <w:t>Motorinės transporto priemonės ir (ar) jos priekabos nuosavybės teisės deklaravimas ir Transporto priemonių savininkų apskaitos informacinės sistemos valdymas ir tvarkymas</w:t>
                </w:r>
              </w:p>
            </w:tc>
            <w:tc>
              <w:tcPr>
                <w:tcW w:w="1332" w:type="pct"/>
              </w:tcPr>
              <w:p>
                <w:pPr>
                  <w:rPr>
                    <w:color w:val="000000"/>
                    <w:szCs w:val="24"/>
                  </w:rPr>
                </w:pPr>
                <w:r>
                  <w:rPr>
                    <w:color w:val="000000"/>
                    <w:szCs w:val="24"/>
                  </w:rPr>
                  <w:t>Akcinė bendrovė „Regitra“</w:t>
                </w:r>
              </w:p>
            </w:tc>
            <w:tc>
              <w:tcPr>
                <w:tcW w:w="1189" w:type="pct"/>
              </w:tcPr>
              <w:p>
                <w:pPr>
                  <w:rPr>
                    <w:szCs w:val="24"/>
                  </w:rPr>
                </w:pPr>
                <w:r>
                  <w:rPr>
                    <w:szCs w:val="24"/>
                  </w:rPr>
                  <w:t>Vidaus reikalų ministerija</w:t>
                </w:r>
              </w:p>
            </w:tc>
          </w:tr>
          <w:tr>
            <w:trPr>
              <w:cantSplit/>
            </w:trPr>
            <w:tc>
              <w:tcPr>
                <w:tcW w:w="303" w:type="pct"/>
                <w:shd w:val="clear" w:color="auto" w:fill="auto"/>
              </w:tcPr>
              <w:p>
                <w:pPr>
                  <w:jc w:val="center"/>
                  <w:rPr>
                    <w:szCs w:val="24"/>
                  </w:rPr>
                </w:pPr>
                <w:r>
                  <w:rPr>
                    <w:szCs w:val="24"/>
                  </w:rPr>
                  <w:t>53.</w:t>
                </w:r>
              </w:p>
            </w:tc>
            <w:tc>
              <w:tcPr>
                <w:tcW w:w="2176" w:type="pct"/>
                <w:shd w:val="clear" w:color="auto" w:fill="auto"/>
              </w:tcPr>
              <w:p>
                <w:pPr>
                  <w:rPr>
                    <w:color w:val="000000"/>
                    <w:szCs w:val="24"/>
                  </w:rPr>
                </w:pPr>
                <w:r>
                  <w:rPr>
                    <w:color w:val="000000"/>
                    <w:szCs w:val="24"/>
                  </w:rPr>
                  <w:t>Motorinių transporto priemonių registracijos mokesčio administravimas</w:t>
                </w:r>
              </w:p>
            </w:tc>
            <w:tc>
              <w:tcPr>
                <w:tcW w:w="1332" w:type="pct"/>
                <w:shd w:val="clear" w:color="auto" w:fill="auto"/>
              </w:tcPr>
              <w:p>
                <w:pPr>
                  <w:rPr>
                    <w:color w:val="000000"/>
                    <w:szCs w:val="24"/>
                  </w:rPr>
                </w:pPr>
                <w:r>
                  <w:rPr>
                    <w:color w:val="000000"/>
                    <w:szCs w:val="24"/>
                  </w:rPr>
                  <w:t>Akcinė bendrovė „Regitra“</w:t>
                </w:r>
              </w:p>
            </w:tc>
            <w:tc>
              <w:tcPr>
                <w:tcW w:w="1189" w:type="pct"/>
                <w:shd w:val="clear" w:color="auto" w:fill="auto"/>
              </w:tcPr>
              <w:p>
                <w:pPr>
                  <w:rPr>
                    <w:szCs w:val="24"/>
                  </w:rPr>
                </w:pPr>
                <w:r>
                  <w:rPr>
                    <w:szCs w:val="24"/>
                  </w:rPr>
                  <w:t>Vidaus reikalų ministerija</w:t>
                </w:r>
              </w:p>
            </w:tc>
          </w:tr>
          <w:tr>
            <w:trPr>
              <w:cantSplit/>
            </w:trPr>
            <w:tc>
              <w:tcPr>
                <w:tcW w:w="303" w:type="pct"/>
              </w:tcPr>
              <w:p>
                <w:pPr>
                  <w:jc w:val="center"/>
                  <w:rPr>
                    <w:szCs w:val="24"/>
                  </w:rPr>
                </w:pPr>
                <w:r>
                  <w:rPr>
                    <w:szCs w:val="24"/>
                    <w:lang w:val="en-US"/>
                  </w:rPr>
                  <w:t>54.</w:t>
                </w:r>
              </w:p>
            </w:tc>
            <w:tc>
              <w:tcPr>
                <w:tcW w:w="2176" w:type="pct"/>
              </w:tcPr>
              <w:p>
                <w:pPr>
                  <w:rPr>
                    <w:color w:val="000000"/>
                    <w:szCs w:val="24"/>
                  </w:rPr>
                </w:pPr>
                <w:r>
                  <w:rPr>
                    <w:color w:val="000000"/>
                    <w:szCs w:val="24"/>
                  </w:rPr>
                  <w:t xml:space="preserve">Valstybės atsargų (kviečių, rugių)  rezervo saugojimas</w:t>
                </w:r>
              </w:p>
            </w:tc>
            <w:tc>
              <w:tcPr>
                <w:tcW w:w="1332" w:type="pct"/>
              </w:tcPr>
              <w:p>
                <w:pPr>
                  <w:rPr>
                    <w:color w:val="000000"/>
                    <w:szCs w:val="24"/>
                  </w:rPr>
                </w:pPr>
                <w:r>
                  <w:rPr>
                    <w:color w:val="000000"/>
                    <w:szCs w:val="24"/>
                  </w:rPr>
                  <w:t>Akcinė bendrovė „Jonavos grūdai“</w:t>
                </w:r>
              </w:p>
            </w:tc>
            <w:tc>
              <w:tcPr>
                <w:tcW w:w="1189" w:type="pct"/>
              </w:tcPr>
              <w:p>
                <w:pPr>
                  <w:rPr>
                    <w:szCs w:val="24"/>
                  </w:rPr>
                </w:pPr>
                <w:r>
                  <w:rPr>
                    <w:szCs w:val="24"/>
                  </w:rPr>
                  <w:t>Lietuvos Respublikos žemės ūkio ministerija</w:t>
                </w:r>
              </w:p>
            </w:tc>
          </w:tr>
          <w:tr>
            <w:trPr>
              <w:cantSplit/>
            </w:trPr>
            <w:tc>
              <w:tcPr>
                <w:tcW w:w="303" w:type="pct"/>
              </w:tcPr>
              <w:p>
                <w:pPr>
                  <w:jc w:val="center"/>
                  <w:rPr>
                    <w:szCs w:val="24"/>
                  </w:rPr>
                </w:pPr>
                <w:r>
                  <w:rPr>
                    <w:szCs w:val="24"/>
                  </w:rPr>
                  <w:t>55.</w:t>
                </w:r>
              </w:p>
            </w:tc>
            <w:tc>
              <w:tcPr>
                <w:tcW w:w="2176" w:type="pct"/>
              </w:tcPr>
              <w:p>
                <w:pPr>
                  <w:rPr>
                    <w:color w:val="000000"/>
                    <w:szCs w:val="24"/>
                  </w:rPr>
                </w:pPr>
                <w:r>
                  <w:rPr>
                    <w:color w:val="000000"/>
                    <w:szCs w:val="24"/>
                  </w:rPr>
                  <w:t xml:space="preserve">Valstybės atsargų (druskos, cukraus)  rezervo saugojimas</w:t>
                </w:r>
              </w:p>
            </w:tc>
            <w:tc>
              <w:tcPr>
                <w:tcW w:w="1332" w:type="pct"/>
              </w:tcPr>
              <w:p>
                <w:pPr>
                  <w:rPr>
                    <w:color w:val="000000"/>
                    <w:szCs w:val="24"/>
                  </w:rPr>
                </w:pPr>
                <w:r>
                  <w:rPr>
                    <w:color w:val="000000"/>
                    <w:szCs w:val="24"/>
                  </w:rPr>
                  <w:t>Akcinė bendrovė „Jonavos grūdai“</w:t>
                </w:r>
              </w:p>
            </w:tc>
            <w:tc>
              <w:tcPr>
                <w:tcW w:w="1189" w:type="pct"/>
              </w:tcPr>
              <w:p>
                <w:pPr>
                  <w:rPr>
                    <w:szCs w:val="24"/>
                  </w:rPr>
                </w:pPr>
                <w:r>
                  <w:rPr>
                    <w:szCs w:val="24"/>
                  </w:rPr>
                  <w:t>Žemės ūkio ministerija</w:t>
                </w:r>
              </w:p>
            </w:tc>
          </w:tr>
          <w:tr>
            <w:trPr>
              <w:cantSplit/>
            </w:trPr>
            <w:tc>
              <w:tcPr>
                <w:tcW w:w="303" w:type="pct"/>
              </w:tcPr>
              <w:p>
                <w:pPr>
                  <w:jc w:val="center"/>
                  <w:rPr>
                    <w:szCs w:val="24"/>
                    <w:lang w:val="en-US"/>
                  </w:rPr>
                </w:pPr>
                <w:r>
                  <w:rPr>
                    <w:szCs w:val="24"/>
                    <w:lang w:val="en-US"/>
                  </w:rPr>
                  <w:t>56.</w:t>
                </w:r>
              </w:p>
            </w:tc>
            <w:tc>
              <w:tcPr>
                <w:tcW w:w="2176" w:type="pct"/>
              </w:tcPr>
              <w:p>
                <w:pPr>
                  <w:rPr>
                    <w:szCs w:val="24"/>
                  </w:rPr>
                </w:pPr>
                <w:r>
                  <w:rPr>
                    <w:szCs w:val="24"/>
                  </w:rPr>
                  <w:t xml:space="preserve">Žemės ūkio informacinių ir kontrolės sistemų veiklos užtikrinimas </w:t>
                </w:r>
              </w:p>
            </w:tc>
            <w:tc>
              <w:tcPr>
                <w:tcW w:w="1332" w:type="pct"/>
              </w:tcPr>
              <w:p>
                <w:pPr>
                  <w:rPr>
                    <w:color w:val="000000"/>
                    <w:szCs w:val="24"/>
                  </w:rPr>
                </w:pPr>
                <w:r>
                  <w:rPr>
                    <w:szCs w:val="24"/>
                  </w:rPr>
                  <w:t>Valstybės įmonė Žemės ūkio duomenų centras</w:t>
                </w:r>
              </w:p>
            </w:tc>
            <w:tc>
              <w:tcPr>
                <w:tcW w:w="1189" w:type="pct"/>
              </w:tcPr>
              <w:p>
                <w:pPr>
                  <w:rPr>
                    <w:szCs w:val="24"/>
                  </w:rPr>
                </w:pPr>
                <w:r>
                  <w:rPr>
                    <w:szCs w:val="24"/>
                  </w:rPr>
                  <w:t>Žemės ūkio ministerija</w:t>
                </w:r>
              </w:p>
            </w:tc>
          </w:tr>
        </w:tbl>
        <w:p>
          <w:pPr>
            <w:widowControl w:val="0"/>
            <w:suppressAutoHyphens/>
            <w:spacing w:line="288" w:lineRule="auto"/>
            <w:jc w:val="center"/>
            <w:textAlignment w:val="center"/>
            <w:rPr>
              <w:b/>
              <w:bCs/>
              <w:caps/>
              <w:color w:val="000000"/>
              <w:szCs w:val="24"/>
              <w:lang w:eastAsia="lt-LT"/>
            </w:rPr>
          </w:pPr>
        </w:p>
        <w:sdt>
          <w:sdtPr>
            <w:alias w:val="pabaiga"/>
            <w:tag w:val="part_5b22e4b75add40df9ccf8e86aa8736dc"/>
            <w:lock w:val="sdtLocked"/>
            <w:richText/>
          </w:sdtPr>
          <w:sdtContent>
            <w:p>
              <w:pPr>
                <w:widowControl w:val="0"/>
                <w:suppressAutoHyphens/>
                <w:spacing w:line="288" w:lineRule="auto"/>
                <w:jc w:val="center"/>
                <w:textAlignment w:val="center"/>
              </w:pPr>
              <w:r>
                <w:rPr>
                  <w:color w:val="000000"/>
                  <w:szCs w:val="24"/>
                  <w:lang w:eastAsia="lt-LT"/>
                </w:rPr>
                <w:t>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9548258b9511ef92b19bb92dd76d17">
            <w:r w:rsidRPr="00532B9F">
              <w:rPr>
                <w:rFonts w:ascii="Times New Roman" w:eastAsia="MS Mincho" w:hAnsi="Times New Roman"/>
                <w:sz w:val="20"/>
                <w:i/>
                <w:iCs/>
                <w:color w:val="0000FF" w:themeColor="hyperlink"/>
                <w:u w:val="single"/>
              </w:rPr>
              <w:t>4-547</w:t>
            </w:r>
          </w:fldSimple>
          <w:r>
            <w:rPr>
              <w:rFonts w:ascii="Times New Roman" w:eastAsia="MS Mincho" w:hAnsi="Times New Roman"/>
              <w:sz w:val="20"/>
              <w:i/>
              <w:iCs/>
            </w:rPr>
            <w:t>,
2024-10-16,
paskelbta TAR 2024-10-16, i. k. 2024-18020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71e92c02a5311ecad73e69048767e8c">
            <w:r w:rsidRPr="00532B9F">
              <w:rPr>
                <w:rFonts w:ascii="Times New Roman" w:eastAsia="MS Mincho" w:hAnsi="Times New Roman"/>
                <w:sz w:val="20"/>
                <w:iCs/>
                <w:color w:val="0000FF" w:themeColor="hyperlink"/>
                <w:u w:val="single"/>
              </w:rPr>
              <w:t>4-1066</w:t>
            </w:r>
          </w:fldSimple>
          <w:r>
            <w:rPr>
              <w:rFonts w:ascii="Times New Roman" w:eastAsia="MS Mincho" w:hAnsi="Times New Roman"/>
              <w:sz w:val="20"/>
              <w:iCs/>
            </w:rPr>
            <w:t>,
2021-10-11,
paskelbta TAR 2021-10-11, i. k. 2021-21274                </w:t>
          </w:r>
        </w:p>
        <w:p>
          <w:pPr>
            <w:jc w:val="both"/>
            <w:rPr>
              <w:rFonts w:ascii="Times New Roman" w:hAnsi="Times New Roman"/>
            </w:rPr>
          </w:pPr>
          <w:r>
            <w:rPr>
              <w:rFonts w:ascii="Times New Roman" w:hAnsi="Times New Roman"/>
              <w:sz w:val="20"/>
            </w:rPr>
            <w:t>Dėl Lietuvos Respublikos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246d00d76211ec8d9390588bf2de65">
            <w:r w:rsidRPr="00532B9F">
              <w:rPr>
                <w:rFonts w:ascii="Times New Roman" w:eastAsia="MS Mincho" w:hAnsi="Times New Roman"/>
                <w:sz w:val="20"/>
                <w:iCs/>
                <w:color w:val="0000FF" w:themeColor="hyperlink"/>
                <w:u w:val="single"/>
              </w:rPr>
              <w:t>4-730</w:t>
            </w:r>
          </w:fldSimple>
          <w:r>
            <w:rPr>
              <w:rFonts w:ascii="Times New Roman" w:eastAsia="MS Mincho" w:hAnsi="Times New Roman"/>
              <w:sz w:val="20"/>
              <w:iCs/>
            </w:rPr>
            <w:t>,
2022-05-19,
paskelbta TAR 2022-05-19, i. k. 2022-10565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01cbdb0123511edb4cae1b158f98ea5">
            <w:r w:rsidRPr="00532B9F">
              <w:rPr>
                <w:rFonts w:ascii="Times New Roman" w:eastAsia="MS Mincho" w:hAnsi="Times New Roman"/>
                <w:sz w:val="20"/>
                <w:iCs/>
                <w:color w:val="0000FF" w:themeColor="hyperlink"/>
                <w:u w:val="single"/>
              </w:rPr>
              <w:t>4-897</w:t>
            </w:r>
          </w:fldSimple>
          <w:r>
            <w:rPr>
              <w:rFonts w:ascii="Times New Roman" w:eastAsia="MS Mincho" w:hAnsi="Times New Roman"/>
              <w:sz w:val="20"/>
              <w:iCs/>
            </w:rPr>
            <w:t>,
2022-08-02,
paskelbta TAR 2022-08-02, i. k. 2022-16508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dcc2d0e43111ed9978886e85107ab2">
            <w:r w:rsidRPr="00532B9F">
              <w:rPr>
                <w:rFonts w:ascii="Times New Roman" w:eastAsia="MS Mincho" w:hAnsi="Times New Roman"/>
                <w:sz w:val="20"/>
                <w:iCs/>
                <w:color w:val="0000FF" w:themeColor="hyperlink"/>
                <w:u w:val="single"/>
              </w:rPr>
              <w:t>4-218</w:t>
            </w:r>
          </w:fldSimple>
          <w:r>
            <w:rPr>
              <w:rFonts w:ascii="Times New Roman" w:eastAsia="MS Mincho" w:hAnsi="Times New Roman"/>
              <w:sz w:val="20"/>
              <w:iCs/>
            </w:rPr>
            <w:t>,
2023-04-26,
paskelbta TAR 2023-04-26, i. k. 2023-08036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2bd170f7bf11eeb15a8086c0c045d4">
            <w:r w:rsidRPr="00532B9F">
              <w:rPr>
                <w:rFonts w:ascii="Times New Roman" w:eastAsia="MS Mincho" w:hAnsi="Times New Roman"/>
                <w:sz w:val="20"/>
                <w:iCs/>
                <w:color w:val="0000FF" w:themeColor="hyperlink"/>
                <w:u w:val="single"/>
              </w:rPr>
              <w:t>4-198</w:t>
            </w:r>
          </w:fldSimple>
          <w:r>
            <w:rPr>
              <w:rFonts w:ascii="Times New Roman" w:eastAsia="MS Mincho" w:hAnsi="Times New Roman"/>
              <w:sz w:val="20"/>
              <w:iCs/>
            </w:rPr>
            <w:t>,
2024-04-11,
paskelbta TAR 2024-04-11, i. k. 2024-06787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9548258b9511ef92b19bb92dd76d17">
            <w:r w:rsidRPr="00532B9F">
              <w:rPr>
                <w:rFonts w:ascii="Times New Roman" w:eastAsia="MS Mincho" w:hAnsi="Times New Roman"/>
                <w:sz w:val="20"/>
                <w:iCs/>
                <w:color w:val="0000FF" w:themeColor="hyperlink"/>
                <w:u w:val="single"/>
              </w:rPr>
              <w:t>4-547</w:t>
            </w:r>
          </w:fldSimple>
          <w:r>
            <w:rPr>
              <w:rFonts w:ascii="Times New Roman" w:eastAsia="MS Mincho" w:hAnsi="Times New Roman"/>
              <w:sz w:val="20"/>
              <w:iCs/>
            </w:rPr>
            <w:t>,
2024-10-16,
paskelbta TAR 2024-10-16, i. k. 2024-18020                </w:t>
          </w:r>
        </w:p>
        <w:p>
          <w:pPr>
            <w:jc w:val="both"/>
            <w:rPr>
              <w:rFonts w:ascii="Times New Roman" w:hAnsi="Times New Roman"/>
            </w:rPr>
          </w:pPr>
          <w:r>
            <w:rPr>
              <w:rFonts w:ascii="Times New Roman" w:hAnsi="Times New Roman"/>
              <w:sz w:val="20"/>
            </w:rPr>
            <w:t>Dėl ekonomikos ir inovacijų ministro 2021 m. kovo 16 d. įsakymo Nr. 4-193 „Dėl Valstybės valdomų įmonių ir jų dukterinių bendrovių vykdomų specialiųjų įpareigojimų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276" w:header="567" w:footer="567"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rPr>
        <w:rFonts w:ascii="Arial" w:hAnsi="Arial" w:cs="Arial"/>
        <w:sz w:val="20"/>
        <w:szCs w:val="24"/>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819"/>
        <w:tab w:val="right" w:pos="9638"/>
      </w:tabs>
      <w:ind w:firstLine="720"/>
      <w:rPr>
        <w:rFonts w:ascii="Arial" w:hAnsi="Arial" w:cs="Arial"/>
        <w:sz w:val="20"/>
        <w:szCs w:val="24"/>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val="en-US"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3</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5</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6</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jc w:val="center"/>
    </w:pPr>
  </w:p>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p>
  <w:p>
    <w:pPr>
      <w:tabs>
        <w:tab w:val="center" w:pos="4819"/>
        <w:tab w:val="right" w:pos="9638"/>
      </w:tab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val="en-US" w:eastAsia="lt-LT"/>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10</w:t>
    </w:r>
    <w:r>
      <w:fldChar w:fldCharType="end"/>
    </w:r>
  </w:p>
  <w:p>
    <w:pPr>
      <w:tabs>
        <w:tab w:val="center" w:pos="4819"/>
        <w:tab w:val="right" w:pos="9638"/>
      </w:tab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val="en-US" w:eastAsia="lt-LT"/>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819"/>
        <w:tab w:val="right" w:pos="9638"/>
      </w:tabs>
      <w:ind w:firstLine="720"/>
      <w:jc w:val="center"/>
      <w:rPr>
        <w:rFonts w:ascii="Arial" w:hAnsi="Arial" w:cs="Arial"/>
        <w:sz w:val="20"/>
        <w:szCs w:val="24"/>
        <w:lang w:val="en-US" w:eastAsia="lt-LT"/>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6</w:t>
    </w:r>
    <w:r>
      <w:fldChar w:fldCharType="end"/>
    </w:r>
  </w:p>
  <w:p>
    <w:pPr>
      <w:tabs>
        <w:tab w:val="center" w:pos="4819"/>
        <w:tab w:val="right" w:pos="9638"/>
      </w:tab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9</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ind w:firstLine="720"/>
      <w:jc w:val="center"/>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2</w:t>
    </w:r>
    <w:r>
      <w:rPr>
        <w:szCs w:val="24"/>
        <w:lang w:eastAsia="lt-LT"/>
      </w:rPr>
      <w:fldChar w:fldCharType="end"/>
    </w:r>
  </w:p>
  <w:p>
    <w:pPr>
      <w:widowControl w:val="0"/>
      <w:tabs>
        <w:tab w:val="center" w:pos="4819"/>
        <w:tab w:val="right" w:pos="9638"/>
      </w:tabs>
      <w:ind w:firstLine="720"/>
      <w:jc w:val="center"/>
      <w:rPr>
        <w:rFonts w:ascii="Arial" w:hAnsi="Arial" w:cs="Arial"/>
        <w:sz w:val="20"/>
        <w:szCs w:val="24"/>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widowControl w:val="0"/>
      <w:tabs>
        <w:tab w:val="center" w:pos="4819"/>
        <w:tab w:val="right" w:pos="9638"/>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4</w:t>
    </w:r>
    <w:r>
      <w:rPr>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0E6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8F3F04"/>
  <w15:docId w15:val="{C50ECB1C-6DA6-4FA4-A92F-349EBBFDFEB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33183873">
      <w:bodyDiv w:val="1"/>
      <w:marLeft w:val="0"/>
      <w:marRight w:val="0"/>
      <w:marTop w:val="0"/>
      <w:marBottom w:val="0"/>
      <w:divBdr>
        <w:top w:val="none" w:sz="0" w:space="0" w:color="auto"/>
        <w:left w:val="none" w:sz="0" w:space="0" w:color="auto"/>
        <w:bottom w:val="none" w:sz="0" w:space="0" w:color="auto"/>
        <w:right w:val="none" w:sz="0" w:space="0" w:color="auto"/>
      </w:divBdr>
    </w:div>
    <w:div w:id="1389496446">
      <w:bodyDiv w:val="1"/>
      <w:marLeft w:val="0"/>
      <w:marRight w:val="0"/>
      <w:marTop w:val="0"/>
      <w:marBottom w:val="0"/>
      <w:divBdr>
        <w:top w:val="none" w:sz="0" w:space="0" w:color="auto"/>
        <w:left w:val="none" w:sz="0" w:space="0" w:color="auto"/>
        <w:bottom w:val="none" w:sz="0" w:space="0" w:color="auto"/>
        <w:right w:val="none" w:sz="0" w:space="0" w:color="auto"/>
      </w:divBdr>
    </w:div>
    <w:div w:id="1721396146">
      <w:bodyDiv w:val="1"/>
      <w:marLeft w:val="0"/>
      <w:marRight w:val="0"/>
      <w:marTop w:val="0"/>
      <w:marBottom w:val="0"/>
      <w:divBdr>
        <w:top w:val="none" w:sz="0" w:space="0" w:color="auto"/>
        <w:left w:val="none" w:sz="0" w:space="0" w:color="auto"/>
        <w:bottom w:val="none" w:sz="0" w:space="0" w:color="auto"/>
        <w:right w:val="none" w:sz="0" w:space="0" w:color="auto"/>
      </w:divBdr>
    </w:div>
    <w:div w:id="2001226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customXml" Target="../customXml/item6.xml"/>
  <Relationship Id="rId11" Type="http://schemas.openxmlformats.org/officeDocument/2006/relationships/endnotes" Target="endnotes.xml"/>
  <Relationship Id="rId12" Type="http://schemas.openxmlformats.org/officeDocument/2006/relationships/fontTable" Target="fontTable.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footer" Target="footer3.xml"/>
  <Relationship Id="rId16" Type="http://schemas.openxmlformats.org/officeDocument/2006/relationships/footnotes" Target="footnotes.xml"/>
  <Relationship Id="rId17" Type="http://schemas.openxmlformats.org/officeDocument/2006/relationships/header" Target="header1.xml"/>
  <Relationship Id="rId18" Type="http://schemas.openxmlformats.org/officeDocument/2006/relationships/header" Target="header2.xml"/>
  <Relationship Id="rId19" Type="http://schemas.openxmlformats.org/officeDocument/2006/relationships/header" Target="header3.xml"/>
  <Relationship Id="rId2" Type="http://schemas.openxmlformats.org/officeDocument/2006/relationships/header" Target="header20.xml"/>
  <Relationship Id="rId20" Type="http://schemas.openxmlformats.org/officeDocument/2006/relationships/settings" Target="settings.xml"/>
  <Relationship Id="rId21" Type="http://schemas.openxmlformats.org/officeDocument/2006/relationships/styles" Target="styles.xml"/>
  <Relationship Id="rId22" Type="http://schemas.openxmlformats.org/officeDocument/2006/relationships/theme" Target="theme/theme1.xml"/>
  <Relationship Id="rId23" Type="http://schemas.openxmlformats.org/officeDocument/2006/relationships/webSettings" Target="webSettings.xml"/>
  <Relationship Id="rId24" Type="http://schemas.openxmlformats.org/officeDocument/2006/relationships/image" Target="media/image1.png"/>
  <Relationship Id="rId25" Type="http://schemas.openxmlformats.org/officeDocument/2006/relationships/header" Target="header40.xml"/>
  <Relationship Id="rId26" Type="http://schemas.openxmlformats.org/officeDocument/2006/relationships/header" Target="header41.xml"/>
  <Relationship Id="rId27" Type="http://schemas.openxmlformats.org/officeDocument/2006/relationships/footer" Target="footer40.xml"/>
  <Relationship Id="rId28" Type="http://schemas.openxmlformats.org/officeDocument/2006/relationships/footer" Target="footer41.xml"/>
  <Relationship Id="rId29" Type="http://schemas.openxmlformats.org/officeDocument/2006/relationships/header" Target="header42.xml"/>
  <Relationship Id="rId3" Type="http://schemas.openxmlformats.org/officeDocument/2006/relationships/footer" Target="footer19.xml"/>
  <Relationship Id="rId30" Type="http://schemas.openxmlformats.org/officeDocument/2006/relationships/footer" Target="footer42.xml"/>
  <Relationship Id="rId31" Type="http://schemas.openxmlformats.org/officeDocument/2006/relationships/customXml" Target="../customXml/item4.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customXml" Target="../customXml/item1.xml"/>
  <Relationship Id="rId8" Type="http://schemas.openxmlformats.org/officeDocument/2006/relationships/customXml" Target="../customXml/item2.xml"/>
  <Relationship Id="rId9" Type="http://schemas.openxmlformats.org/officeDocument/2006/relationships/customXml" Target="../customXml/item3.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90FEA6F9-C37F-4B3A-B063-2BFDAD21EE40}"/>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A16"/>
    <w:rsid w:val="00127A16"/>
    <w:rsid w:val="00C26E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7A16"/>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27A1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9F96EA9296B0464DA41EB7348BEB2B19" ma:contentTypeVersion="12" ma:contentTypeDescription="Kurkite naują dokumentą." ma:contentTypeScope="" ma:versionID="6fad7ba79db2a20c234d2ea3fe2ab885">
  <xsd:schema xmlns:xsd="http://www.w3.org/2001/XMLSchema" xmlns:ns3="123db897-47e3-4971-97ee-bf27b87056d7" xmlns:ns4="72f8bd3f-3c5b-4d43-aacb-5d23dab554d6" targetNamespace="http://schemas.microsoft.com/office/2006/metadata/properties" ma:root="true" ma:fieldsID="d44c270086f7c91908c03d8f184b5f6c" ns3:_="" ns4:_="">
    <xsd:import namespace="123db897-47e3-4971-97ee-bf27b87056d7"/>
    <xsd:import namespace="72f8bd3f-3c5b-4d43-aacb-5d23dab554d6"/>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GenerationTime" minOccurs="0"/>
                <xsd:element ref="ns3:MediaServiceEventHashCode" minOccurs="0"/>
                <xsd:element ref="ns3:MediaServiceAutoKeyPoints" minOccurs="0"/>
                <xsd:element ref="ns3:MediaServiceKeyPoints" minOccurs="0"/>
                <xsd:element ref="ns3:MediaServiceDateTaken" minOccurs="0"/>
                <xsd:element ref="ns3:MediaServiceOCR" minOccurs="0"/>
                <xsd:element ref="ns4:SharedWithUsers" minOccurs="0"/>
                <xsd:element ref="ns4:SharedWithDetails" minOccurs="0"/>
                <xsd:element ref="ns4:SharingHintHash" minOccurs="0"/>
              </xsd:all>
            </xsd:complexType>
          </xsd:element>
        </xsd:sequence>
      </xsd:complexType>
    </xsd:element>
  </xsd:schema>
  <xsd:schema xmlns:xsd="http://www.w3.org/2001/XMLSchema" targetNamespace="123db897-47e3-4971-97ee-bf27b87056d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schema>
  <xsd:schema xmlns:xsd="http://www.w3.org/2001/XMLSchema" targetNamespace="72f8bd3f-3c5b-4d43-aacb-5d23dab554d6" elementFormDefault="qualified">
    <xsd:import namespace="http://schemas.microsoft.com/office/2006/documentManagement/types"/>
    <xsd:import namespace="http://schemas.microsoft.com/office/infopath/2007/PartnerControls"/>
    <xsd:element name="SharedWithUsers" ma:index="17"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Bendrinta su išsamia informacija" ma:internalName="SharedWithDetails" ma:readOnly="true">
      <xsd:simpleType>
        <xsd:restriction base="dms:Note">
          <xsd:maxLength value="255"/>
        </xsd:restriction>
      </xsd:simpleType>
    </xsd:element>
    <xsd:element name="SharingHintHash" ma:index="19"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arts xmlns="http://lrs.lt/TAIS/DocParts">
  <Part Type="pagrindine" DocPartId="460e3cbc92024ab6961b82979694bef0" PartId="01a0ae6a361e4d40b08099ac8e2506cb">
    <Part Type="preambule" DocPartId="5ed6488db09544439cd1b6ef40837543" PartId="aeb0e5a500b3434cbebd29bf3aad400a"/>
    <Part Type="pastraipa" DocPartId="5d626de8d2b24d8bb615d13fdb4ccab6" PartId="9d04de5b0c254527891b34d503d129e2"/>
    <Part Type="signatura" DocPartId="626582d3a64848a09f63ffd59844d7ff" PartId="c2bd6c61c5ff4a788aa9b26ca22d70a2"/>
  </Part>
  <Part Type="patvirtinta" Title="VALSTYBĖS VALDOMŲ ĮMONIŲ IR JŲ DUKTERINIŲ BENDROVIŲ VYKDOMŲ SPECIALIŲJŲ ĮPAREIGOJIMŲ SĄRAŠAS" DocPartId="10db039d029d412b828cafe5b3021225" PartId="9f22084a3e0d4608b326b5ad254ac0bc">
    <Part Type="pabaiga" DocPartId="9819a4048c284a628f3629bb91fbe348" PartId="5b22e4b75add40df9ccf8e86aa8736dc"/>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304FEB1-285D-4D5B-A0D2-7D1A3A3C654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C9F8259-BD00-475B-9260-6EDD422769CB}">
  <ds:schemaRefs>
    <ds:schemaRef ds:uri="http://schemas.microsoft.com/sharepoint/v3/contenttype/forms"/>
  </ds:schemaRefs>
</ds:datastoreItem>
</file>

<file path=customXml/itemProps3.xml><?xml version="1.0" encoding="utf-8"?>
<ds:datastoreItem xmlns:ds="http://schemas.openxmlformats.org/officeDocument/2006/customXml" ds:itemID="{7027498A-0ECD-4353-9082-EE7D2576CF8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23db897-47e3-4971-97ee-bf27b87056d7"/>
    <ds:schemaRef ds:uri="72f8bd3f-3c5b-4d43-aacb-5d23dab554d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5805883-EA13-46F4-9E79-4D318E42567D}">
  <ds:schemaRefs>
    <ds:schemaRef ds:uri="http://lrs.lt/TAIS/DocParts"/>
  </ds:schemaRefs>
</ds:datastoreItem>
</file>

<file path=customXml/itemProps6.xml><?xml version="1.0" encoding="utf-8"?>
<ds:datastoreItem xmlns:ds="http://schemas.openxmlformats.org/officeDocument/2006/customXml" ds:itemID="{8587F675-8E5C-4B38-85B4-FF71E06BA0E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43</TotalTime>
  <Pages>13</Pages>
  <Words>14885</Words>
  <Characters>8485</Characters>
  <Application>Microsoft Office Word</Application>
  <DocSecurity>0</DocSecurity>
  <Lines>70</Lines>
  <Paragraphs>46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23324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2021-03-16T12:19:00Z</dcterms:created>
  <dc:creator>LAUKIONYTĖ Irena</dc:creator>
  <lastModifiedBy>GUMBYTĖ Danguolė</lastModifiedBy>
  <lastPrinted>2021-02-02T08:54:00Z</lastPrinted>
  <dcterms:modified xsi:type="dcterms:W3CDTF">2024-10-21T07:50:00Z</dcterms:modified>
  <revision>12</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0x0101009F96EA9296B0464DA41EB7348BEB2B19</vt:lpwstr>
  </property>
</Properties>
</file>