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2018-01-01 iki 2018-09-10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6663f972ab4743849ca3f8662422ae13"/>
            <w:lock w:val="sdtLocked"/>
            <w:richText/>
          </w:sdtPr>
          <w:sdtContent>
            <w:p>
              <w:pPr>
                <w:spacing w:line="360" w:lineRule="atLeast"/>
                <w:ind w:firstLine="720"/>
                <w:jc w:val="both"/>
                <w:rPr>
                  <w:szCs w:val="24"/>
                  <w:lang w:eastAsia="lt-LT"/>
                </w:rPr>
              </w:pPr>
              <w:r>
                <w:rPr>
                  <w:szCs w:val="24"/>
                  <w:lang w:eastAsia="lt-LT"/>
                </w:rPr>
                <w:t>Vadovaudamasi Lietuvos Respublikos pareigūnų ir karių valstybinių pensijų įstatymo 12 straipsnio 2 dalimi, Lietuvos Respublikos Vyriausybė</w:t>
              </w:r>
              <w:r>
                <w:rPr>
                  <w:spacing w:val="100"/>
                  <w:szCs w:val="24"/>
                  <w:lang w:eastAsia="lt-LT"/>
                </w:rPr>
                <w:t xml:space="preserve"> nutaria</w:t>
              </w:r>
              <w:r>
                <w:rPr>
                  <w:szCs w:val="24"/>
                  <w:lang w:eastAsia="lt-LT"/>
                </w:rPr>
                <w:t>:</w:t>
              </w:r>
            </w:p>
          </w:sdtContent>
        </w:sdt>
        <w:sdt>
          <w:sdtPr>
            <w:alias w:val="1 p."/>
            <w:tag w:val="part_270f2226ac354e6a8db3ce0932bf9aff"/>
            <w:lock w:val="sdtLocked"/>
            <w:richText/>
          </w:sdtPr>
          <w:sdtContent>
            <w:p>
              <w:pPr>
                <w:spacing w:line="360" w:lineRule="atLeast"/>
                <w:ind w:firstLine="720"/>
                <w:jc w:val="both"/>
                <w:rPr>
                  <w:szCs w:val="24"/>
                  <w:lang w:eastAsia="lt-LT"/>
                </w:rPr>
              </w:pPr>
              <w:sdt>
                <w:sdtPr>
                  <w:alias w:val="Numeris"/>
                  <w:tag w:val="nr_270f2226ac354e6a8db3ce0932bf9aff"/>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85627802911942ac943dfbab58070013"/>
            <w:lock w:val="sdtLocked"/>
            <w:richText/>
          </w:sdtPr>
          <w:sdtContent>
            <w:p>
              <w:pPr>
                <w:spacing w:line="360" w:lineRule="atLeast"/>
                <w:ind w:firstLine="720"/>
                <w:jc w:val="both"/>
                <w:rPr>
                  <w:szCs w:val="24"/>
                  <w:lang w:eastAsia="lt-LT"/>
                </w:rPr>
              </w:pPr>
              <w:sdt>
                <w:sdtPr>
                  <w:alias w:val="Numeris"/>
                  <w:tag w:val="nr_85627802911942ac943dfbab58070013"/>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1954296725014aebb28b0785b412dcf9"/>
            <w:lock w:val="sdtLocked"/>
            <w:richText/>
          </w:sdtPr>
          <w:sdtContent>
            <w:p>
              <w:pPr>
                <w:spacing w:line="360" w:lineRule="atLeast"/>
                <w:ind w:firstLine="720"/>
                <w:jc w:val="both"/>
                <w:rPr>
                  <w:color w:val="000000"/>
                  <w:lang w:eastAsia="lt-LT"/>
                </w:rPr>
              </w:pPr>
              <w:sdt>
                <w:sdtPr>
                  <w:alias w:val="Numeris"/>
                  <w:tag w:val="nr_1954296725014aebb28b0785b412dcf9"/>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372612e4bcbb474b917c9f8c36c04b6e"/>
        <w:lock w:val="sdtLocked"/>
        <w:richText/>
      </w:sdtPr>
      <w:sdtContent>
        <w:p>
          <w:r>
            <w:br w:type="page"/>
          </w:r>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372612e4bcbb474b917c9f8c36c04b6e"/>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c77817a3ca1246b8ad4cd0849db6e97d"/>
            <w:lock w:val="sdtLocked"/>
            <w:richText/>
          </w:sdtPr>
          <w:sdtContent>
            <w:p>
              <w:pPr>
                <w:overflowPunct w:val="0"/>
                <w:spacing w:line="360" w:lineRule="atLeast"/>
                <w:ind w:firstLine="709"/>
                <w:jc w:val="both"/>
                <w:textAlignment w:val="baseline"/>
                <w:rPr>
                  <w:lang w:eastAsia="lt-LT"/>
                </w:rPr>
              </w:pPr>
              <w:sdt>
                <w:sdtPr>
                  <w:alias w:val="Numeris"/>
                  <w:tag w:val="nr_c77817a3ca1246b8ad4cd0849db6e97d"/>
                  <w:lock w:val="sdtLocked"/>
                  <w:richText/>
                </w:sdtPr>
                <w:sdtContent>
                  <w:r>
                    <w:rPr>
                      <w:szCs w:val="24"/>
                      <w:lang w:eastAsia="lt-LT"/>
                    </w:rPr>
                    <w:t>1</w:t>
                  </w:r>
                </w:sdtContent>
              </w:sdt>
              <w:r>
                <w:rPr>
                  <w:szCs w:val="24"/>
                  <w:lang w:eastAsia="lt-LT"/>
                </w:rPr>
                <w:t>.</w:t>
              </w:r>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ir socialinio draudimo bazinės pensijos dydžio priedo už tarnybą (toliau – priedas) skyrimą ir 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 p."/>
            <w:tag w:val="part_d17febd212424313ad2346f7b6b506f2"/>
            <w:lock w:val="sdtLocked"/>
            <w:richText/>
          </w:sdtPr>
          <w:sdtContent>
            <w:p>
              <w:pPr>
                <w:spacing w:line="340" w:lineRule="atLeast"/>
                <w:ind w:firstLine="720"/>
                <w:jc w:val="both"/>
                <w:rPr>
                  <w:lang w:eastAsia="lt-LT"/>
                </w:rPr>
              </w:pPr>
              <w:sdt>
                <w:sdtPr>
                  <w:alias w:val="Numeris"/>
                  <w:tag w:val="nr_d17febd212424313ad2346f7b6b506f2"/>
                  <w:lock w:val="sdtLocked"/>
                  <w:richText/>
                </w:sdtPr>
                <w:sdtContent>
                  <w:r>
                    <w:rPr>
                      <w:lang w:eastAsia="lt-LT"/>
                    </w:rPr>
                    <w:t>2</w:t>
                  </w:r>
                </w:sdtContent>
              </w:sdt>
              <w:r>
                <w:rPr>
                  <w:lang w:eastAsia="lt-LT"/>
                </w:rPr>
                <w:t>. Pensijos ir priedas skiriami ir mokami vadovaujantis įstatymu ir Nuostatais.</w:t>
              </w:r>
            </w:p>
          </w:sdtContent>
        </w:sdt>
        <w:sdt>
          <w:sdtPr>
            <w:alias w:val="3 p."/>
            <w:tag w:val="part_42652feed26a4f9f946024d1bb9fc168"/>
            <w:lock w:val="sdtLocked"/>
            <w:richText/>
          </w:sdtPr>
          <w:sdtContent>
            <w:p>
              <w:pPr>
                <w:spacing w:line="340" w:lineRule="atLeast"/>
                <w:ind w:firstLine="720"/>
                <w:jc w:val="both"/>
                <w:rPr>
                  <w:lang w:eastAsia="lt-LT"/>
                </w:rPr>
              </w:pPr>
              <w:sdt>
                <w:sdtPr>
                  <w:alias w:val="Numeris"/>
                  <w:tag w:val="nr_42652feed26a4f9f946024d1bb9fc168"/>
                  <w:lock w:val="sdtLocked"/>
                  <w:richText/>
                </w:sdt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A + B + 0,5 C procentų darbo užmokesčio dydžio pensija (A – tarnybos laikas metais iki 1995 metų; B – tarnybos laikas metais nuo 1995 metų įskaitytinai; C – tarnybos laikas metais, įskaitytas į tarnybos laiką pensijai skirti už dvidešimt pirmus–dvidešimt penktus tarnybos metus, kai pensija apskaičiuojama asmenims, nurodytiems įstatymo 3 straipsnio 3 dalyje, – tarnybos laikas metais, viršijantis 20 tarnybos metų, tačiau neviršijantis įstatymo 3 straipsnio 3 dalyje šiems asmenims nustatyto tarnybos metų skaičiaus, reikalingo pensijai skirti). </w:t>
              </w:r>
            </w:p>
          </w:sdtContent>
        </w:sdt>
        <w:sdt>
          <w:sdtPr>
            <w:alias w:val="4 p."/>
            <w:tag w:val="part_56f4e4a931194851bbabfa32d5b47b79"/>
            <w:lock w:val="sdtLocked"/>
            <w:richText/>
          </w:sdtPr>
          <w:sdtContent>
            <w:p>
              <w:pPr>
                <w:spacing w:line="340" w:lineRule="atLeast"/>
                <w:ind w:firstLine="720"/>
                <w:jc w:val="both"/>
                <w:rPr>
                  <w:lang w:eastAsia="lt-LT"/>
                </w:rPr>
              </w:pPr>
              <w:sdt>
                <w:sdtPr>
                  <w:alias w:val="Numeris"/>
                  <w:tag w:val="nr_56f4e4a931194851bbabfa32d5b47b7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e5722e4741344e018604dd858e40dbc1"/>
            <w:lock w:val="sdtLocked"/>
            <w:richText/>
          </w:sdtPr>
          <w:sdtContent>
            <w:p>
              <w:pPr>
                <w:spacing w:line="360" w:lineRule="atLeast"/>
                <w:ind w:firstLine="709"/>
                <w:jc w:val="both"/>
                <w:rPr>
                  <w:szCs w:val="24"/>
                  <w:lang w:eastAsia="lt-LT"/>
                </w:rPr>
              </w:pPr>
              <w:sdt>
                <w:sdtPr>
                  <w:alias w:val="Numeris"/>
                  <w:tag w:val="nr_e5722e4741344e018604dd858e40dbc1"/>
                  <w:lock w:val="sdtLocked"/>
                  <w:richText/>
                </w:sdtPr>
                <w:sdtContent>
                  <w:r>
                    <w:rPr>
                      <w:szCs w:val="24"/>
                      <w:lang w:eastAsia="lt-LT"/>
                    </w:rPr>
                    <w:t>5</w:t>
                  </w:r>
                </w:sdtContent>
              </w:sdt>
              <w:r>
                <w:rPr>
                  <w:szCs w:val="24"/>
                  <w:lang w:eastAsia="lt-LT"/>
                </w:rPr>
                <w:t>.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Lietuvos Respublikos valstybės saugumo departamentui, Lietuvos Respublikos krašto apsaugos ministerijai (toliau kartu – pensijas skiriančios institucijos ir įstaigos) per atitinkamą tarnybą, įstaigą, karinį dalinį, kuriuose jis tarnauja arba tarnavo paskiausiai.</w:t>
              </w:r>
              <w:r>
                <w:rPr>
                  <w:szCs w:val="24"/>
                </w:rPr>
                <w:t xml:space="preserve"> Prašymai skirti pareigūnų ir karių valstybinę našlių ir našlaičių pensiją (toliau – našlių ir našlaičių pensija) pateikiami </w:t>
              </w:r>
              <w:r>
                <w:rPr>
                  <w:szCs w:val="24"/>
                  <w:lang w:eastAsia="lt-LT"/>
                </w:rPr>
                <w:t>atvykus į atitinkamą pensijas skiriančią instituciją ar įstaigą, atsiunčiami registruotu laišku arba elektroniniais ryšiais.</w:t>
              </w:r>
            </w:p>
            <w:p>
              <w:pPr>
                <w:spacing w:line="360" w:lineRule="atLeast"/>
                <w:ind w:firstLine="709"/>
                <w:jc w:val="both"/>
                <w:rPr>
                  <w:lang w:eastAsia="lt-LT"/>
                </w:rPr>
              </w:pPr>
              <w:r>
                <w:rPr>
                  <w:szCs w:val="24"/>
                  <w:lang w:eastAsia="lt-LT"/>
                </w:rPr>
                <w:t>Įstatymo 15</w:t>
              </w:r>
              <w:r>
                <w:rPr>
                  <w:szCs w:val="24"/>
                  <w:vertAlign w:val="superscript"/>
                  <w:lang w:eastAsia="lt-LT"/>
                </w:rPr>
                <w:t xml:space="preserve">1 </w:t>
              </w:r>
              <w:r>
                <w:rPr>
                  <w:szCs w:val="24"/>
                  <w:lang w:eastAsia="lt-LT"/>
                </w:rPr>
                <w:t>straipsnio 2 dalyje nurodytu atveju dokumentai, patvirtinantys aplinkybes, turinčias įtakos pensijai ar priedui mokėti, ar jų patvirtintos kopijos, asmens tapatybę patvirtinantis dokumentas ar jo patvirtinta kopija, taip pat įstatymo 15</w:t>
              </w:r>
              <w:r>
                <w:rPr>
                  <w:szCs w:val="24"/>
                  <w:vertAlign w:val="superscript"/>
                  <w:lang w:eastAsia="lt-LT"/>
                </w:rPr>
                <w:t>1</w:t>
              </w:r>
              <w:r>
                <w:rPr>
                  <w:szCs w:val="24"/>
                  <w:lang w:eastAsia="lt-LT"/>
                </w:rPr>
                <w:t xml:space="preserve"> straipsnio 4 dalyje nurodytu atveju rašytinis laisvos formos paties pensijos gavėjo pasirašytas pareiškimas, patvirtinantis, kad jis gyvena užsienio valstybėje, ir asmens tapatybę patvirtinantis dokumentas ar jo patvirtinta kopija pateikiami atvykus į Fondo administravimo įstaigą, atsiunčiami registruotu laišku arba elektroniniais ryšiais. Pareiškimas, Fondo administravimo įstaigai siunčiamas elektroniniais ryšiais, turi būti pasirašytas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6 p."/>
            <w:tag w:val="part_c6b4fc8590714b95a804e22039aff9ef"/>
            <w:lock w:val="sdtLocked"/>
            <w:richText/>
          </w:sdtPr>
          <w:sdtContent>
            <w:p>
              <w:pPr>
                <w:spacing w:line="340" w:lineRule="atLeast"/>
                <w:ind w:firstLine="720"/>
                <w:jc w:val="both"/>
                <w:rPr>
                  <w:lang w:eastAsia="lt-LT"/>
                </w:rPr>
              </w:pPr>
              <w:sdt>
                <w:sdtPr>
                  <w:alias w:val="Numeris"/>
                  <w:tag w:val="nr_c6b4fc8590714b95a804e22039aff9ef"/>
                  <w:lock w:val="sdtLocked"/>
                  <w:richText/>
                </w:sdtPr>
                <w:sdtContent>
                  <w:r>
                    <w:rPr>
                      <w:lang w:eastAsia="lt-LT"/>
                    </w:rPr>
                    <w:t>6</w:t>
                  </w:r>
                </w:sdtContent>
              </w:sdt>
              <w:r>
                <w:rPr>
                  <w:lang w:eastAsia="lt-LT"/>
                </w:rPr>
                <w:t>. Kartu su prašymu skirti pensiją už tarnybą pateikiama:</w:t>
              </w:r>
            </w:p>
            <w:sdt>
              <w:sdtPr>
                <w:alias w:val="6.1 p."/>
                <w:tag w:val="part_3e15acec388d43988482a7d8eca9d6dd"/>
                <w:lock w:val="sdtLocked"/>
                <w:richText/>
              </w:sdtPr>
              <w:sdtContent>
                <w:p>
                  <w:pPr>
                    <w:spacing w:line="360" w:lineRule="atLeast"/>
                    <w:ind w:firstLine="709"/>
                    <w:jc w:val="both"/>
                    <w:rPr>
                      <w:lang w:eastAsia="lt-LT"/>
                    </w:rPr>
                  </w:pPr>
                  <w:sdt>
                    <w:sdtPr>
                      <w:alias w:val="Numeris"/>
                      <w:tag w:val="nr_3e15acec388d43988482a7d8eca9d6dd"/>
                      <w:lock w:val="sdtLocked"/>
                      <w:richText/>
                    </w:sdtPr>
                    <w:sdtContent>
                      <w:r>
                        <w:rPr>
                          <w:lang w:eastAsia="lt-LT"/>
                        </w:rPr>
                        <w:t>6.1</w:t>
                      </w:r>
                    </w:sdtContent>
                  </w:sdt>
                  <w:r>
                    <w:rPr>
                      <w:lang w:eastAsia="lt-LT"/>
                    </w:rPr>
                    <w:t>. personalo tarnybos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6.2 p."/>
                <w:tag w:val="part_a20619326c7643caa1797c423ba52f0e"/>
                <w:lock w:val="sdtLocked"/>
                <w:richText/>
              </w:sdtPr>
              <w:sdtContent>
                <w:p>
                  <w:pPr>
                    <w:spacing w:line="340" w:lineRule="atLeast"/>
                    <w:ind w:firstLine="720"/>
                    <w:jc w:val="both"/>
                    <w:rPr>
                      <w:lang w:eastAsia="lt-LT"/>
                    </w:rPr>
                  </w:pPr>
                  <w:sdt>
                    <w:sdtPr>
                      <w:alias w:val="Numeris"/>
                      <w:tag w:val="nr_a20619326c7643caa1797c423ba52f0e"/>
                      <w:lock w:val="sdtLocked"/>
                      <w:richText/>
                    </w:sdtPr>
                    <w:sdtContent>
                      <w:r>
                        <w:rPr>
                          <w:lang w:eastAsia="lt-LT"/>
                        </w:rPr>
                        <w:t>6.2</w:t>
                      </w:r>
                    </w:sdtContent>
                  </w:sdt>
                  <w:r>
                    <w:rPr>
                      <w:lang w:eastAsia="lt-LT"/>
                    </w:rPr>
                    <w:t>. darbo užmokesčio atestatas (pažymėjimas);</w:t>
                  </w:r>
                </w:p>
              </w:sdtContent>
            </w:sdt>
            <w:sdt>
              <w:sdtPr>
                <w:alias w:val="6.3 p."/>
                <w:tag w:val="part_0aa208187f2043149eaa13570800cee9"/>
                <w:lock w:val="sdtLocked"/>
                <w:richText/>
              </w:sdtPr>
              <w:sdtContent>
                <w:p>
                  <w:pPr>
                    <w:spacing w:line="340" w:lineRule="atLeast"/>
                    <w:ind w:firstLine="720"/>
                    <w:jc w:val="both"/>
                    <w:rPr>
                      <w:lang w:eastAsia="lt-LT"/>
                    </w:rPr>
                  </w:pPr>
                  <w:sdt>
                    <w:sdtPr>
                      <w:alias w:val="Numeris"/>
                      <w:tag w:val="nr_0aa208187f2043149eaa13570800cee9"/>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9be57497b14444eb8bb3e787585863f1"/>
            <w:lock w:val="sdtLocked"/>
            <w:richText/>
          </w:sdtPr>
          <w:sdtContent>
            <w:p>
              <w:pPr>
                <w:spacing w:line="340" w:lineRule="atLeast"/>
                <w:ind w:firstLine="720"/>
                <w:jc w:val="both"/>
                <w:rPr>
                  <w:lang w:eastAsia="lt-LT"/>
                </w:rPr>
              </w:pPr>
              <w:sdt>
                <w:sdtPr>
                  <w:alias w:val="Numeris"/>
                  <w:tag w:val="nr_9be57497b14444eb8bb3e787585863f1"/>
                  <w:lock w:val="sdtLocked"/>
                  <w:richText/>
                </w:sdtPr>
                <w:sdtContent>
                  <w:r>
                    <w:rPr>
                      <w:lang w:eastAsia="lt-LT"/>
                    </w:rPr>
                    <w:t>7</w:t>
                  </w:r>
                </w:sdtContent>
              </w:sdt>
              <w:r>
                <w:rPr>
                  <w:lang w:eastAsia="lt-LT"/>
                </w:rPr>
                <w:t>. Kartu su prašymu skirti netekto darbingumo pensiją pateikiama:</w:t>
              </w:r>
            </w:p>
            <w:sdt>
              <w:sdtPr>
                <w:alias w:val="7.1 p."/>
                <w:tag w:val="part_989525732c534318bd23172d71ad51db"/>
                <w:lock w:val="sdtLocked"/>
                <w:richText/>
              </w:sdtPr>
              <w:sdtContent>
                <w:p>
                  <w:pPr>
                    <w:spacing w:line="340" w:lineRule="atLeast"/>
                    <w:ind w:firstLine="720"/>
                    <w:jc w:val="both"/>
                    <w:rPr>
                      <w:lang w:eastAsia="lt-LT"/>
                    </w:rPr>
                  </w:pPr>
                  <w:sdt>
                    <w:sdtPr>
                      <w:alias w:val="Numeris"/>
                      <w:tag w:val="nr_989525732c534318bd23172d71ad51db"/>
                      <w:lock w:val="sdtLocked"/>
                      <w:richText/>
                    </w:sdtPr>
                    <w:sdtContent>
                      <w:r>
                        <w:rPr>
                          <w:lang w:eastAsia="lt-LT"/>
                        </w:rPr>
                        <w:t>7.1</w:t>
                      </w:r>
                    </w:sdtContent>
                  </w:sdt>
                  <w:r>
                    <w:rPr>
                      <w:lang w:eastAsia="lt-LT"/>
                    </w:rPr>
                    <w:t>. žinybinės medicininės ekspertizės komisijos išvada;</w:t>
                  </w:r>
                </w:p>
              </w:sdtContent>
            </w:sdt>
            <w:sdt>
              <w:sdtPr>
                <w:alias w:val="7.2 p."/>
                <w:tag w:val="part_158423fcb6e149ddaf8c9847bdfd2974"/>
                <w:lock w:val="sdtLocked"/>
                <w:richText/>
              </w:sdtPr>
              <w:sdtContent>
                <w:p>
                  <w:pPr>
                    <w:spacing w:line="340" w:lineRule="atLeast"/>
                    <w:ind w:firstLine="720"/>
                    <w:jc w:val="both"/>
                    <w:rPr>
                      <w:lang w:eastAsia="lt-LT"/>
                    </w:rPr>
                  </w:pPr>
                  <w:sdt>
                    <w:sdtPr>
                      <w:alias w:val="Numeris"/>
                      <w:tag w:val="nr_158423fcb6e149ddaf8c9847bdfd2974"/>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207b8348d4dc404e838a9d344572090c"/>
                <w:lock w:val="sdtLocked"/>
                <w:richText/>
              </w:sdtPr>
              <w:sdtContent>
                <w:p>
                  <w:pPr>
                    <w:spacing w:line="360" w:lineRule="atLeast"/>
                    <w:ind w:firstLine="709"/>
                    <w:jc w:val="both"/>
                    <w:rPr>
                      <w:lang w:eastAsia="lt-LT"/>
                    </w:rPr>
                  </w:pPr>
                  <w:sdt>
                    <w:sdtPr>
                      <w:alias w:val="Numeris"/>
                      <w:tag w:val="nr_207b8348d4dc404e838a9d344572090c"/>
                      <w:lock w:val="sdtLocked"/>
                      <w:richText/>
                    </w:sdtPr>
                    <w:sdtContent>
                      <w:r>
                        <w:rPr>
                          <w:lang w:eastAsia="lt-LT"/>
                        </w:rPr>
                        <w:t>7.3</w:t>
                      </w:r>
                    </w:sdtContent>
                  </w:sdt>
                  <w:r>
                    <w:rPr>
                      <w:lang w:eastAsia="lt-LT"/>
                    </w:rPr>
                    <w:t>. personalo tarnybos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7.4 p."/>
                <w:tag w:val="part_1ce0274bc660474dae45f861550b58d2"/>
                <w:lock w:val="sdtLocked"/>
                <w:richText/>
              </w:sdtPr>
              <w:sdtContent>
                <w:p>
                  <w:pPr>
                    <w:spacing w:line="340" w:lineRule="atLeast"/>
                    <w:ind w:firstLine="720"/>
                    <w:jc w:val="both"/>
                    <w:rPr>
                      <w:lang w:eastAsia="lt-LT"/>
                    </w:rPr>
                  </w:pPr>
                  <w:sdt>
                    <w:sdtPr>
                      <w:alias w:val="Numeris"/>
                      <w:tag w:val="nr_1ce0274bc660474dae45f861550b58d2"/>
                      <w:lock w:val="sdtLocked"/>
                      <w:richText/>
                    </w:sdtPr>
                    <w:sdtContent>
                      <w:r>
                        <w:rPr>
                          <w:lang w:eastAsia="lt-LT"/>
                        </w:rPr>
                        <w:t>7.4</w:t>
                      </w:r>
                    </w:sdtContent>
                  </w:sdt>
                  <w:r>
                    <w:rPr>
                      <w:lang w:eastAsia="lt-LT"/>
                    </w:rPr>
                    <w:t>. darbo užmokesčio atestatas (pažymėjimas).</w:t>
                  </w:r>
                </w:p>
              </w:sdtContent>
            </w:sdt>
          </w:sdtContent>
        </w:sdt>
        <w:sdt>
          <w:sdtPr>
            <w:alias w:val="8 p."/>
            <w:tag w:val="part_f9d6986aadc046ab8715283c84d19d34"/>
            <w:lock w:val="sdtLocked"/>
            <w:richText/>
          </w:sdtPr>
          <w:sdtContent>
            <w:p>
              <w:pPr>
                <w:spacing w:line="340" w:lineRule="atLeast"/>
                <w:ind w:firstLine="720"/>
                <w:jc w:val="both"/>
                <w:rPr>
                  <w:lang w:eastAsia="lt-LT"/>
                </w:rPr>
              </w:pPr>
              <w:sdt>
                <w:sdtPr>
                  <w:alias w:val="Numeris"/>
                  <w:tag w:val="nr_f9d6986aadc046ab8715283c84d19d34"/>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0f4b8e09944b40d0bee0088087e11b25"/>
                <w:lock w:val="sdtLocked"/>
                <w:richText/>
              </w:sdtPr>
              <w:sdtContent>
                <w:p>
                  <w:pPr>
                    <w:spacing w:line="360" w:lineRule="atLeast"/>
                    <w:ind w:firstLine="720"/>
                    <w:jc w:val="both"/>
                    <w:rPr>
                      <w:lang w:eastAsia="lt-LT"/>
                    </w:rPr>
                  </w:pPr>
                  <w:sdt>
                    <w:sdtPr>
                      <w:alias w:val="Numeris"/>
                      <w:tag w:val="nr_0f4b8e09944b40d0bee0088087e11b25"/>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9a1670efed454ec1af356ad5891b1df9"/>
                <w:lock w:val="sdtLocked"/>
                <w:richText/>
              </w:sdtPr>
              <w:sdtContent>
                <w:p>
                  <w:pPr>
                    <w:spacing w:line="360" w:lineRule="atLeast"/>
                    <w:ind w:firstLine="720"/>
                    <w:jc w:val="both"/>
                    <w:rPr>
                      <w:lang w:eastAsia="lt-LT"/>
                    </w:rPr>
                  </w:pPr>
                  <w:sdt>
                    <w:sdtPr>
                      <w:alias w:val="Numeris"/>
                      <w:tag w:val="nr_9a1670efed454ec1af356ad5891b1df9"/>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c58c3040f7f44df6b5386309a2073589"/>
                <w:lock w:val="sdtLocked"/>
                <w:richText/>
              </w:sdtPr>
              <w:sdtContent>
                <w:p>
                  <w:pPr>
                    <w:spacing w:line="360" w:lineRule="atLeast"/>
                    <w:ind w:firstLine="720"/>
                    <w:jc w:val="both"/>
                    <w:rPr>
                      <w:lang w:eastAsia="lt-LT"/>
                    </w:rPr>
                  </w:pPr>
                  <w:sdt>
                    <w:sdtPr>
                      <w:alias w:val="Numeris"/>
                      <w:tag w:val="nr_c58c3040f7f44df6b5386309a2073589"/>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46f2115f477a4da08bfdd804330e0e54"/>
                <w:lock w:val="sdtLocked"/>
                <w:richText/>
              </w:sdtPr>
              <w:sdtContent>
                <w:p>
                  <w:pPr>
                    <w:spacing w:line="340" w:lineRule="atLeast"/>
                    <w:ind w:firstLine="720"/>
                    <w:jc w:val="both"/>
                    <w:rPr>
                      <w:lang w:eastAsia="lt-LT"/>
                    </w:rPr>
                  </w:pPr>
                  <w:sdt>
                    <w:sdtPr>
                      <w:alias w:val="Numeris"/>
                      <w:tag w:val="nr_46f2115f477a4da08bfdd804330e0e54"/>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329342d35bdb4a08b0546f560d63358d"/>
                <w:lock w:val="sdtLocked"/>
                <w:richText/>
              </w:sdtPr>
              <w:sdtContent>
                <w:p>
                  <w:pPr>
                    <w:spacing w:line="360" w:lineRule="atLeast"/>
                    <w:ind w:firstLine="709"/>
                    <w:jc w:val="both"/>
                    <w:rPr>
                      <w:lang w:eastAsia="lt-LT"/>
                    </w:rPr>
                  </w:pPr>
                  <w:sdt>
                    <w:sdtPr>
                      <w:alias w:val="Numeris"/>
                      <w:tag w:val="nr_329342d35bdb4a08b0546f560d63358d"/>
                      <w:lock w:val="sdtLocked"/>
                      <w:richText/>
                    </w:sdtPr>
                    <w:sdtContent>
                      <w:r>
                        <w:rPr>
                          <w:lang w:eastAsia="lt-LT"/>
                        </w:rPr>
                        <w:t>8.5</w:t>
                      </w:r>
                    </w:sdtContent>
                  </w:sdt>
                  <w:r>
                    <w:rPr>
                      <w:lang w:eastAsia="lt-LT"/>
                    </w:rPr>
                    <w:t>. personalo tarnybos parengtas tarnybos laiko (darbo stažo) apskaitos lapas;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6 p."/>
                <w:tag w:val="part_2efe0f8a3fd646949b15fc6f67426eca"/>
                <w:lock w:val="sdtLocked"/>
                <w:richText/>
              </w:sdtPr>
              <w:sdtContent>
                <w:p>
                  <w:pPr>
                    <w:spacing w:line="340" w:lineRule="atLeast"/>
                    <w:ind w:firstLine="720"/>
                    <w:jc w:val="both"/>
                    <w:rPr>
                      <w:lang w:eastAsia="lt-LT"/>
                    </w:rPr>
                  </w:pPr>
                  <w:sdt>
                    <w:sdtPr>
                      <w:alias w:val="Numeris"/>
                      <w:tag w:val="nr_2efe0f8a3fd646949b15fc6f67426eca"/>
                      <w:lock w:val="sdtLocked"/>
                      <w:richText/>
                    </w:sdtPr>
                    <w:sdtContent>
                      <w:r>
                        <w:rPr>
                          <w:lang w:eastAsia="lt-LT"/>
                        </w:rPr>
                        <w:t>8.6</w:t>
                      </w:r>
                    </w:sdtContent>
                  </w:sdt>
                  <w:r>
                    <w:rPr>
                      <w:lang w:eastAsia="lt-LT"/>
                    </w:rPr>
                    <w:t>. darbo užmokesčio atestatas (pažymėjimas);</w:t>
                  </w:r>
                </w:p>
              </w:sdtContent>
            </w:sdt>
            <w:sdt>
              <w:sdtPr>
                <w:alias w:val="8.7 p."/>
                <w:tag w:val="part_e15a843648b4410e8a61fa413d8b2327"/>
                <w:lock w:val="sdtLocked"/>
                <w:richText/>
              </w:sdtPr>
              <w:sdtContent>
                <w:p>
                  <w:pPr>
                    <w:pStyle w:val="PlainText"/>
                    <w:ind w:firstLine="567"/>
                    <w:jc w:val="both"/>
                    <w:rPr>
                      <w:rFonts w:ascii="Times New Roman" w:hAnsi="Times New Roman"/>
                      <w:b/>
                      <w:bCs/>
                      <w:sz w:val="22"/>
                    </w:rPr>
                  </w:pPr>
                  <w:r>
                    <w:rPr>
                      <w:rFonts w:ascii="Times New Roman" w:hAnsi="Times New Roman"/>
                      <w:sz w:val="22"/>
                    </w:rPr>
                    <w:t>8.7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8.8 p."/>
                <w:tag w:val="part_23178c1e6eb54db28410a89e250d6246"/>
                <w:lock w:val="sdtLocked"/>
                <w:richText/>
              </w:sdtPr>
              <w:sdtContent>
                <w:p>
                  <w:pPr>
                    <w:spacing w:line="340" w:lineRule="atLeast"/>
                    <w:ind w:firstLine="720"/>
                    <w:jc w:val="both"/>
                    <w:rPr>
                      <w:lang w:eastAsia="lt-LT"/>
                    </w:rPr>
                  </w:pPr>
                  <w:sdt>
                    <w:sdtPr>
                      <w:alias w:val="Numeris"/>
                      <w:tag w:val="nr_23178c1e6eb54db28410a89e250d6246"/>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592d3fe05ec24dd19c58df15529f5265"/>
                <w:lock w:val="sdtLocked"/>
                <w:richText/>
              </w:sdtPr>
              <w:sdtContent>
                <w:p>
                  <w:pPr>
                    <w:spacing w:line="340" w:lineRule="atLeast"/>
                    <w:ind w:firstLine="720"/>
                    <w:jc w:val="both"/>
                    <w:rPr>
                      <w:lang w:eastAsia="lt-LT"/>
                    </w:rPr>
                  </w:pPr>
                  <w:sdt>
                    <w:sdtPr>
                      <w:alias w:val="Numeris"/>
                      <w:tag w:val="nr_592d3fe05ec24dd19c58df15529f5265"/>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0f9db43ea03147a8952e20c55523a323"/>
            <w:lock w:val="sdtLocked"/>
            <w:richText/>
          </w:sdtPr>
          <w:sdtContent>
            <w:p>
              <w:pPr>
                <w:spacing w:line="360" w:lineRule="atLeast"/>
                <w:ind w:firstLine="709"/>
                <w:jc w:val="both"/>
                <w:rPr>
                  <w:lang w:eastAsia="lt-LT"/>
                </w:rPr>
              </w:pPr>
              <w:sdt>
                <w:sdtPr>
                  <w:alias w:val="Numeris"/>
                  <w:tag w:val="nr_0f9db43ea03147a8952e20c55523a323"/>
                  <w:lock w:val="sdtLocked"/>
                  <w:richText/>
                </w:sdtPr>
                <w:sdtContent>
                  <w:r>
                    <w:rPr>
                      <w:lang w:eastAsia="lt-LT"/>
                    </w:rPr>
                    <w:t>9</w:t>
                  </w:r>
                </w:sdtContent>
              </w:sdt>
              <w:r>
                <w:rPr>
                  <w:lang w:eastAsia="lt-LT"/>
                </w:rPr>
                <w:t>. Pagrindas mokėti pensiją ir priedą įstatymo 13 straipsnio 4 dalyje ir 15 straipsnio 3 dalyje nustatytais atvejais – laidojusio asmens, įpėdinių</w:t>
              </w:r>
              <w:r>
                <w:rPr>
                  <w:szCs w:val="24"/>
                </w:rPr>
                <w:t xml:space="preserve"> ir (ar) mirusįjį pergyvenusio sutuoktinio</w:t>
              </w:r>
              <w:r>
                <w:rPr>
                  <w:lang w:eastAsia="lt-LT"/>
                </w:rPr>
                <w:t xml:space="preserve"> pateiktas prašymas mokėti pensiją ir priedą, mirties liudijimas ar kiti mirties faktą patvirtinantys dokumentai, </w:t>
              </w:r>
              <w:r>
                <w:rPr>
                  <w:szCs w:val="24"/>
                </w:rPr>
                <w:t>paveldėjimo teisės liudijimas ir (arba) nuosavybės teisės į sutuoktinių bendro turto dalį liudijimas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0 p."/>
            <w:tag w:val="part_91cc01187bcc47619d4715d809e9581e"/>
            <w:lock w:val="sdtLocked"/>
            <w:richText/>
          </w:sdtPr>
          <w:sdtContent>
            <w:p>
              <w:pPr>
                <w:spacing w:line="360" w:lineRule="atLeast"/>
                <w:ind w:firstLine="720"/>
                <w:jc w:val="both"/>
                <w:rPr>
                  <w:lang w:eastAsia="lt-LT"/>
                </w:rPr>
              </w:pPr>
              <w:sdt>
                <w:sdtPr>
                  <w:alias w:val="Numeris"/>
                  <w:tag w:val="nr_91cc01187bcc47619d4715d809e9581e"/>
                  <w:lock w:val="sdtLocked"/>
                  <w:richText/>
                </w:sdtPr>
                <w:sdtContent>
                  <w:r>
                    <w:rPr>
                      <w:lang w:eastAsia="lt-LT"/>
                    </w:rPr>
                    <w:t>10</w:t>
                  </w:r>
                </w:sdtContent>
              </w:sdt>
              <w:r>
                <w:rPr>
                  <w:lang w:eastAsia="lt-LT"/>
                </w:rPr>
                <w:t xml:space="preserve">. Nuostatų 5 punkte nurodytoms institucijoms ir įstaigoms asmuo turi pateikti dokumentų, kurių reikia atitinkamos rūšies pensijai ir priedui skirti ir (ar) mokėti, originalus arba kopijas, </w:t>
              </w:r>
              <w:r>
                <w:rPr>
                  <w:color w:val="000000"/>
                  <w:lang w:eastAsia="lt-LT"/>
                </w:rPr>
                <w:t>patvirtintas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w:t>
              </w:r>
              <w:r>
                <w:rPr>
                  <w:i/>
                  <w:color w:val="000000"/>
                  <w:lang w:eastAsia="lt-LT"/>
                </w:rPr>
                <w:t>Apostille</w:t>
              </w:r>
              <w:r>
                <w:rPr>
                  <w:color w:val="000000"/>
                  <w:lang w:eastAsia="lt-LT"/>
                </w:rPr>
                <w:t>), vadovaujantis Dokumentų legalizavimo ir tvirtinimo pažyma (</w:t>
              </w:r>
              <w:r>
                <w:rPr>
                  <w:i/>
                  <w:color w:val="000000"/>
                  <w:lang w:eastAsia="lt-LT"/>
                </w:rPr>
                <w:t>Apostille</w:t>
              </w:r>
              <w:r>
                <w:rPr>
                  <w:color w:val="000000"/>
                  <w:lang w:eastAsia="lt-LT"/>
                </w:rPr>
                <w:t xml:space="preserve">) tvarkos aprašu, patvirtintu </w:t>
              </w:r>
              <w:r>
                <w:rPr>
                  <w:lang w:eastAsia="lt-LT"/>
                </w:rPr>
                <w:t xml:space="preserve">Lietuvos Respublikos Vyriausybės 2006 m. spalio 30 d. nutarimu Nr. 1079 „Dėl Dokumentų legalizavimo ir tvirtinimo pažyma </w:t>
              </w:r>
              <w:r>
                <w:rPr>
                  <w:color w:val="000000"/>
                  <w:lang w:eastAsia="lt-LT"/>
                </w:rPr>
                <w:t>(</w:t>
              </w:r>
              <w:r>
                <w:rPr>
                  <w:i/>
                  <w:color w:val="000000"/>
                  <w:lang w:eastAsia="lt-LT"/>
                </w:rPr>
                <w:t>Apostille</w:t>
              </w:r>
              <w:r>
                <w:rPr>
                  <w:color w:val="000000"/>
                  <w:lang w:eastAsia="lt-LT"/>
                </w:rPr>
                <w:t>) tvarkos aprašo patvirtinimo“, išskyrus tuos atvejus, kai pagal Lietuvos Respublikos tarptautinius įsipareigojimus nustatyta kitaip, ir išversti į lietuvių kalbą.</w:t>
              </w:r>
            </w:p>
            <w:p>
              <w:pPr>
                <w:spacing w:line="360" w:lineRule="atLeast"/>
                <w:ind w:firstLine="720"/>
                <w:jc w:val="both"/>
                <w:rPr>
                  <w:lang w:eastAsia="lt-LT"/>
                </w:rPr>
              </w:pPr>
              <w:r>
                <w:rPr>
                  <w:lang w:eastAsia="lt-LT"/>
                </w:rPr>
                <w:t>Dokumentai, kurių reikia pensijai ir priedui skirti ir mokėti, pensijas skiriančioms institucijoms ir įstaigoms pateikiami tik tuo atveju, jeigu šiuose dokumentuose nurodytų duomenų nėra valstybės ar žinybiniuose registruose arba valstybės, savivaldybių informacinėse sistemose</w:t>
              </w:r>
              <w:r>
                <w:rPr>
                  <w:szCs w:val="24"/>
                </w:rPr>
                <w:t xml:space="preserve"> arba šiuose dokumentuose nurodyti duomenys nėra gaunami pagal duomenų teikimo sutartis iš </w:t>
              </w:r>
              <w:r>
                <w:rPr>
                  <w:lang w:eastAsia="lt-LT"/>
                </w:rPr>
                <w:t>valstybės ir savivaldybių institucijų, įstaigų, įmonių ir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1 p."/>
            <w:tag w:val="part_5a84e04cee684ae6b3a6b7e65d3fed09"/>
            <w:lock w:val="sdtLocked"/>
            <w:richText/>
          </w:sdtPr>
          <w:sdtContent>
            <w:p>
              <w:pPr>
                <w:spacing w:line="340" w:lineRule="atLeast"/>
                <w:ind w:firstLine="720"/>
                <w:jc w:val="both"/>
                <w:rPr>
                  <w:lang w:eastAsia="lt-LT"/>
                </w:rPr>
              </w:pPr>
              <w:sdt>
                <w:sdtPr>
                  <w:alias w:val="Numeris"/>
                  <w:tag w:val="nr_5a84e04cee684ae6b3a6b7e65d3fed09"/>
                  <w:lock w:val="sdtLocked"/>
                  <w:richText/>
                </w:sdtPr>
                <w:sdtContent>
                  <w:r>
                    <w:rPr>
                      <w:lang w:eastAsia="lt-LT"/>
                    </w:rPr>
                    <w:t>11</w:t>
                  </w:r>
                </w:sdtContent>
              </w:sdt>
              <w:r>
                <w:rPr>
                  <w:lang w:eastAsia="lt-LT"/>
                </w:rPr>
                <w:t xml:space="preserve">. Jeigu asmens prašymui skirti pensiją ir priedą išnagrinėti būtini papildomi dokumentai, kuriuos privalo pateikti prašymą skirti pensiją ir priedą pateikęs asmuo, ir Nuostatų 5 punkte nurodytos institucijos ir įstaigos tokių dokumentų negali gauti iš atitinkamos tarnybos, įstaigos, karinio dalinio, kuriuose asmuo tarnavo paskiausiai, per 5 darbo dienas nuo šio prašymo gavimo kreipiasi į asmenį raštu, prašydamos pateikti papildomus dokumentus. Asmeniui pranešama, kad jo prašymo nagrinėjimas stabdomas, iki bus pateikti papildomi dokumentai. Kai per Nuostatų 5 punkte nurodytos institucijos ar įstaigos nustatytą terminą, kuris negali būti trumpesnis kaip 5 darbo dienos, papildomi dokumentai negaunami, šis prašymas nenagrinėjamas, dokumentų originalai grąžinami asmeniui ir nurodoma grąžinimo priežastis. Nuostatų 5 punkte nurodytos institucijos ir įstaigos pasilieka prašymo skirti pensiją ir priedą ir gautų dokumentų patvirtintas kopijas. </w:t>
              </w:r>
            </w:p>
          </w:sdtContent>
        </w:sdt>
        <w:sdt>
          <w:sdtPr>
            <w:alias w:val="12 p."/>
            <w:tag w:val="part_e3089ae5b11a429d9e2ffd4a688b3bca"/>
            <w:lock w:val="sdtLocked"/>
            <w:richText/>
          </w:sdtPr>
          <w:sdtContent>
            <w:p>
              <w:pPr>
                <w:spacing w:line="360" w:lineRule="atLeast"/>
                <w:ind w:firstLine="709"/>
                <w:jc w:val="both"/>
                <w:rPr>
                  <w:lang w:eastAsia="lt-LT"/>
                </w:rPr>
              </w:pPr>
              <w:sdt>
                <w:sdtPr>
                  <w:alias w:val="Numeris"/>
                  <w:tag w:val="nr_e3089ae5b11a429d9e2ffd4a688b3bca"/>
                  <w:lock w:val="sdtLocked"/>
                  <w:richText/>
                </w:sdtPr>
                <w:sdtContent>
                  <w:r>
                    <w:rPr>
                      <w:szCs w:val="24"/>
                      <w:lang w:eastAsia="lt-LT"/>
                    </w:rPr>
                    <w:t>12</w:t>
                  </w:r>
                </w:sdtContent>
              </w:sdt>
              <w:r>
                <w:rPr>
                  <w:szCs w:val="24"/>
                  <w:lang w:eastAsia="lt-LT"/>
                </w:rPr>
                <w:t xml:space="preserve">. </w:t>
              </w:r>
              <w:r>
                <w:rPr>
                  <w:lang w:eastAsia="lt-LT"/>
                </w:rPr>
                <w:t>Sprendimas dėl pensijos ir (ar) priedo skyrimo arba atsisakymo skirti pensiją (toliau – sprendimas) turi būti priimtas ne vėliau kaip per 15 darbo dienų nuo prašymo skirti pensiją ir priedą su visais reikiamais dokumentais arba papildomų dokumentų gavimo</w:t>
              </w:r>
              <w:r>
                <w:rPr>
                  <w:szCs w:val="24"/>
                </w:rPr>
                <w:t xml:space="preserve"> pensijas skiriančiose institucijose ir įstaigose dienos.</w:t>
              </w:r>
              <w:r>
                <w:rPr>
                  <w:lang w:eastAsia="lt-LT"/>
                </w:rPr>
                <w:t xml:space="preserve"> Priėmus sprendimą, pensijas skiriančios institucijos ir įstaigos ne vėliau kaip per 5 darbo dienas pareiškėjui turi išsiųsti (įteikti) šio sprendimo patvirtintą kopiją.</w:t>
              </w:r>
            </w:p>
            <w:p>
              <w:pPr>
                <w:spacing w:line="360" w:lineRule="atLeast"/>
                <w:ind w:firstLine="709"/>
                <w:jc w:val="both"/>
                <w:rPr>
                  <w:lang w:eastAsia="lt-LT"/>
                </w:rPr>
              </w:pPr>
              <w:r>
                <w:rPr>
                  <w:szCs w:val="24"/>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Fondo administravimo įstaigos direktoriaus ar jo įgalioto šios įstaigos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3 p."/>
            <w:tag w:val="part_038d97b1149340fc949e50202d24d314"/>
            <w:lock w:val="sdtLocked"/>
            <w:richText/>
          </w:sdtPr>
          <w:sdtContent>
            <w:p>
              <w:pPr>
                <w:spacing w:line="360" w:lineRule="atLeast"/>
                <w:ind w:firstLine="720"/>
                <w:jc w:val="both"/>
                <w:rPr>
                  <w:lang w:eastAsia="lt-LT"/>
                </w:rPr>
              </w:pPr>
              <w:sdt>
                <w:sdtPr>
                  <w:alias w:val="Numeris"/>
                  <w:tag w:val="nr_038d97b1149340fc949e50202d24d314"/>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7010ae930cff4b8aa4287ce64b3010d4"/>
            <w:lock w:val="sdtLocked"/>
            <w:richText/>
          </w:sdtPr>
          <w:sdtContent>
            <w:p>
              <w:pPr>
                <w:spacing w:line="340" w:lineRule="atLeast"/>
                <w:ind w:firstLine="720"/>
                <w:jc w:val="both"/>
                <w:rPr>
                  <w:lang w:eastAsia="lt-LT"/>
                </w:rPr>
              </w:pPr>
              <w:sdt>
                <w:sdtPr>
                  <w:alias w:val="Numeris"/>
                  <w:tag w:val="nr_7010ae930cff4b8aa4287ce64b3010d4"/>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35e85f43c44480eba7f81d2ce1f4e97"/>
            <w:lock w:val="sdtLocked"/>
            <w:richText/>
          </w:sdtPr>
          <w:sdtContent>
            <w:p>
              <w:pPr>
                <w:spacing w:line="340" w:lineRule="atLeast"/>
                <w:ind w:firstLine="720"/>
                <w:jc w:val="both"/>
                <w:rPr>
                  <w:lang w:eastAsia="lt-LT"/>
                </w:rPr>
              </w:pPr>
              <w:sdt>
                <w:sdtPr>
                  <w:alias w:val="Numeris"/>
                  <w:tag w:val="nr_135e85f43c44480eba7f81d2ce1f4e97"/>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08871fed1a344979bcabb01123b78c07"/>
            <w:lock w:val="sdtLocked"/>
            <w:richText/>
          </w:sdtPr>
          <w:sdtContent>
            <w:p>
              <w:pPr>
                <w:spacing w:line="360" w:lineRule="atLeast"/>
                <w:ind w:firstLine="709"/>
                <w:jc w:val="both"/>
                <w:rPr>
                  <w:lang w:eastAsia="lt-LT"/>
                </w:rPr>
              </w:pPr>
              <w:sdt>
                <w:sdtPr>
                  <w:alias w:val="Numeris"/>
                  <w:tag w:val="nr_08871fed1a344979bcabb01123b78c07"/>
                  <w:lock w:val="sdtLocked"/>
                  <w:richText/>
                </w:sdtPr>
                <w:sdtContent>
                  <w:r>
                    <w:rPr>
                      <w:lang w:eastAsia="lt-LT"/>
                    </w:rPr>
                    <w:t>16</w:t>
                  </w:r>
                </w:sdtContent>
              </w:sdt>
              <w:r>
                <w:rPr>
                  <w:lang w:eastAsia="lt-LT"/>
                </w:rPr>
                <w:t>. Paskyrus pensiją, pensijos gavėjui išduodamas pensijos gavėjo pažymėjimas, kurio formą nustato atitinkamos įstatymo 12 straipsnyje nurodytos pensiją skiriančios institucijos ar įstaigos vadovas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7 p."/>
            <w:tag w:val="part_6d89229834e144989223c13b2eeb96d6"/>
            <w:lock w:val="sdtLocked"/>
            <w:richText/>
          </w:sdtPr>
          <w:sdtContent>
            <w:p>
              <w:pPr>
                <w:spacing w:line="340" w:lineRule="atLeast"/>
                <w:ind w:firstLine="720"/>
                <w:jc w:val="both"/>
                <w:rPr>
                  <w:lang w:eastAsia="lt-LT"/>
                </w:rPr>
              </w:pPr>
              <w:sdt>
                <w:sdtPr>
                  <w:alias w:val="Numeris"/>
                  <w:tag w:val="nr_6d89229834e144989223c13b2eeb96d6"/>
                  <w:lock w:val="sdtLocked"/>
                  <w:richText/>
                </w:sdt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d818ce3c131d4dd1b63368251b9f17e7"/>
            <w:lock w:val="sdtLocked"/>
            <w:richText/>
          </w:sdtPr>
          <w:sdtContent>
            <w:p>
              <w:pPr>
                <w:spacing w:line="360" w:lineRule="atLeast"/>
                <w:ind w:firstLine="709"/>
                <w:jc w:val="both"/>
                <w:rPr>
                  <w:lang w:eastAsia="lt-LT"/>
                </w:rPr>
              </w:pPr>
              <w:sdt>
                <w:sdtPr>
                  <w:alias w:val="Numeris"/>
                  <w:tag w:val="nr_d818ce3c131d4dd1b63368251b9f17e7"/>
                  <w:lock w:val="sdtLocked"/>
                  <w:richText/>
                </w:sdtPr>
                <w:sdtContent>
                  <w:r>
                    <w:rPr>
                      <w:lang w:eastAsia="lt-LT"/>
                    </w:rPr>
                    <w:t>18</w:t>
                  </w:r>
                </w:sdtContent>
              </w:sdt>
              <w:r>
                <w:rPr>
                  <w:lang w:eastAsia="lt-LT"/>
                </w:rPr>
                <w:t>. Specialiųjų tyrimų tarnybos, Valstybės saugumo departamento, Krašto apsaugos ministerijos paskirtoms pensijoms ir priedui mokėti reikalingi dokumentai ir duomenys Fondo administravimo įstaigai perduodami Fondo valdybos, suderinus su nurodytomis pensijas skiriančiomis institucijomis ir įstaigomis,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19 p."/>
            <w:tag w:val="part_518bf5e19a84469a9e096286dd11d221"/>
            <w:lock w:val="sdtLocked"/>
            <w:richText/>
          </w:sdtPr>
          <w:sdtContent>
            <w:p>
              <w:pPr>
                <w:spacing w:line="340" w:lineRule="atLeast"/>
                <w:ind w:firstLine="720"/>
                <w:jc w:val="both"/>
                <w:rPr>
                  <w:lang w:eastAsia="lt-LT"/>
                </w:rPr>
              </w:pPr>
              <w:sdt>
                <w:sdtPr>
                  <w:alias w:val="Numeris"/>
                  <w:tag w:val="nr_518bf5e19a84469a9e096286dd11d221"/>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24740dccf37c4630a6f7da7be7b326b0"/>
                <w:lock w:val="sdtLocked"/>
                <w:richText/>
              </w:sdtPr>
              <w:sdtContent>
                <w:p>
                  <w:pPr>
                    <w:spacing w:line="340" w:lineRule="atLeast"/>
                    <w:ind w:firstLine="720"/>
                    <w:jc w:val="both"/>
                    <w:rPr>
                      <w:strike/>
                      <w:lang w:eastAsia="lt-LT"/>
                    </w:rPr>
                  </w:pPr>
                  <w:sdt>
                    <w:sdtPr>
                      <w:alias w:val="Numeris"/>
                      <w:tag w:val="nr_24740dccf37c4630a6f7da7be7b326b0"/>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dc68b79801e14ed29062bb30f4e2525f"/>
                <w:lock w:val="sdtLocked"/>
                <w:richText/>
              </w:sdtPr>
              <w:sdtContent>
                <w:p>
                  <w:pPr>
                    <w:spacing w:line="340" w:lineRule="atLeast"/>
                    <w:ind w:firstLine="720"/>
                    <w:jc w:val="both"/>
                    <w:rPr>
                      <w:lang w:eastAsia="lt-LT"/>
                    </w:rPr>
                  </w:pPr>
                  <w:sdt>
                    <w:sdtPr>
                      <w:alias w:val="Numeris"/>
                      <w:tag w:val="nr_dc68b79801e14ed29062bb30f4e2525f"/>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def3b3544534ae68239121d6430f42d"/>
                <w:lock w:val="sdtLocked"/>
                <w:richText/>
              </w:sdtPr>
              <w:sdtContent>
                <w:p>
                  <w:pPr>
                    <w:spacing w:line="340" w:lineRule="atLeast"/>
                    <w:ind w:firstLine="720"/>
                    <w:jc w:val="both"/>
                    <w:rPr>
                      <w:lang w:eastAsia="lt-LT"/>
                    </w:rPr>
                  </w:pPr>
                  <w:sdt>
                    <w:sdtPr>
                      <w:alias w:val="Numeris"/>
                      <w:tag w:val="nr_1def3b3544534ae68239121d6430f42d"/>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c7890eabd3a84582bacd94a25a49039e"/>
            <w:lock w:val="sdtLocked"/>
            <w:richText/>
          </w:sdtPr>
          <w:sdtContent>
            <w:p>
              <w:pPr>
                <w:spacing w:line="360" w:lineRule="atLeast"/>
                <w:ind w:firstLine="709"/>
                <w:jc w:val="both"/>
                <w:rPr>
                  <w:lang w:eastAsia="lt-LT"/>
                </w:rPr>
              </w:pPr>
              <w:sdt>
                <w:sdtPr>
                  <w:alias w:val="Numeris"/>
                  <w:tag w:val="nr_c7890eabd3a84582bacd94a25a49039e"/>
                  <w:lock w:val="sdtLocked"/>
                  <w:richText/>
                </w:sdtPr>
                <w:sdtContent>
                  <w:r>
                    <w:rPr>
                      <w:lang w:eastAsia="lt-LT"/>
                    </w:rPr>
                    <w:t>20</w:t>
                  </w:r>
                </w:sdtContent>
              </w:sdt>
              <w:r>
                <w:rPr>
                  <w:lang w:eastAsia="lt-LT"/>
                </w:rPr>
                <w:t>. Duomenys teikiami pagal Fondo valdybos pateiktus pensijų gavėjų sąrašus, laikantis Fondo valdybos ir Valstybinės mokesčių inspekcijos, valstybės įmonės Žemės ūkio informacijos ir kaimo verslo centro, Neįgalumo ir darbingumo nustatymo tarnybos pasirašytose duomenų teikimo sutartyse nustatytos tvarkos ir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21 p."/>
            <w:tag w:val="part_d730beac05b548c1b88aec620791eb44"/>
            <w:lock w:val="sdtLocked"/>
            <w:richText/>
          </w:sdtPr>
          <w:sdtContent>
            <w:p>
              <w:pPr>
                <w:spacing w:line="360" w:lineRule="atLeast"/>
                <w:ind w:firstLine="709"/>
                <w:jc w:val="both"/>
                <w:rPr>
                  <w:color w:val="000000"/>
                  <w:lang w:eastAsia="lt-LT"/>
                </w:rPr>
              </w:pPr>
              <w:sdt>
                <w:sdtPr>
                  <w:alias w:val="Numeris"/>
                  <w:tag w:val="nr_d730beac05b548c1b88aec620791eb44"/>
                  <w:lock w:val="sdtLocked"/>
                  <w:richText/>
                </w:sdtPr>
                <w:sdtContent>
                  <w:r>
                    <w:rPr>
                      <w:szCs w:val="24"/>
                      <w:lang w:eastAsia="lt-LT"/>
                    </w:rPr>
                    <w:t>21</w:t>
                  </w:r>
                </w:sdtContent>
              </w:sdt>
              <w:r>
                <w:rPr>
                  <w:szCs w:val="24"/>
                  <w:lang w:eastAsia="lt-LT"/>
                </w:rPr>
                <w:t xml:space="preserve">. Kiti pensijų skyrimo, mokėjimo, ginčų sprendimo klausimai, nenustatyti Nuostatuose, reguliuojami </w:t>
              </w:r>
              <w:r>
                <w:rPr>
                  <w:lang w:eastAsia="lt-LT"/>
                </w:rPr>
                <w:t>Socialinio draudimo pensijų skyrimo ir mokėjimo nuostatuose, patvirtintuose Lietuvos Respublikos socialinės apsaugos ir darbo ministro</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a7980e6e811e7acd7ea182930b17f">
                <w:r w:rsidRPr="00532B9F">
                  <w:rPr>
                    <w:rFonts w:ascii="Times New Roman" w:eastAsia="MS Mincho" w:hAnsi="Times New Roman"/>
                    <w:sz w:val="20"/>
                    <w:i/>
                    <w:iCs/>
                    <w:color w:val="0000FF" w:themeColor="hyperlink"/>
                    <w:u w:val="single"/>
                  </w:rPr>
                  <w:t>1103</w:t>
                </w:r>
              </w:fldSimple>
              <w:r>
                <w:rPr>
                  <w:rFonts w:ascii="Times New Roman" w:eastAsia="MS Mincho" w:hAnsi="Times New Roman"/>
                  <w:sz w:val="20"/>
                  <w:i/>
                  <w:iCs/>
                </w:rPr>
                <w:t>,
2017-12-20,
paskelbta TAR 2017-12-22, i. k. 2017-20929            </w:t>
              </w:r>
            </w:p>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44B8FC8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6663f972ab4743849ca3f8662422ae13"/>
    <Part Type="punktas" Nr="1" Abbr="1 p." DocPartId="95ff82d798b344dc9ef12585ccb50a97" PartId="270f2226ac354e6a8db3ce0932bf9aff"/>
    <Part Type="punktas" Nr="2" Abbr="2 p." DocPartId="b29270b756b444c387cea24f1f4cf7e0" PartId="85627802911942ac943dfbab58070013"/>
    <Part Type="punktas" Nr="3" Abbr="3 p." DocPartId="5298f2eebb564d2b9edb575bd3d3085b" PartId="1954296725014aebb28b0785b412dcf9"/>
    <Part Type="signatura" DocPartId="3ad7f51e289f47fa8d83de210836a6ec" PartId="a042730b6b944e22a45a9562fd319c63"/>
  </Part>
  <Part Type="patvirtinta" Title="PAREIGŪNŲ IR KARIŲ VALSTYBINIŲ PENSIJŲ SKYRIMO IR MOKĖJIMO NUOSTATAI" DocPartId="0f4b9799bf5e47bf93f857c6b97474f9" PartId="372612e4bcbb474b917c9f8c36c04b6e">
    <Part Type="punktas" Nr="1" Abbr="1 p." DocPartId="ec641745ed204e6780998de9bb2bd4a5" PartId="c77817a3ca1246b8ad4cd0849db6e97d"/>
    <Part Type="punktas" Nr="2" Abbr="2 p." DocPartId="b1610922042c4812bb09525c3942d529" PartId="d17febd212424313ad2346f7b6b506f2"/>
    <Part Type="punktas" Nr="3" Abbr="3 p." DocPartId="8fe7518cef094d78bec0119448fc254e" PartId="42652feed26a4f9f946024d1bb9fc168"/>
    <Part Type="punktas" Nr="4" Abbr="4 p." DocPartId="55b86485d38d4f48a07a98184cf1ff22" PartId="56f4e4a931194851bbabfa32d5b47b79"/>
    <Part Type="punktas" Nr="5" Abbr="5 p." DocPartId="0dc0ce8b10684ef79c10db5d4b7aee16" PartId="e5722e4741344e018604dd858e40dbc1"/>
    <Part Type="punktas" Nr="6" Abbr="6 p." DocPartId="f011c156a3ab4929b0d6be54b02b469a" PartId="c6b4fc8590714b95a804e22039aff9ef">
      <Part Type="punktas" Nr="6.1" Abbr="6.1 p." DocPartId="7b8f376b69c84e699d495024117903d9" PartId="3e15acec388d43988482a7d8eca9d6dd"/>
      <Part Type="punktas" Nr="6.2" Abbr="6.2 p." DocPartId="ba5a538f774e454490ee91809f7dc8dd" PartId="a20619326c7643caa1797c423ba52f0e"/>
      <Part Type="punktas" Nr="6.3" Abbr="6.3 p." DocPartId="0696e9f615da42f4bc4fdc1f3013868c" PartId="0aa208187f2043149eaa13570800cee9"/>
    </Part>
    <Part Type="punktas" Nr="7" Abbr="7 p." DocPartId="4de36c328d32494fab371ed52788885b" PartId="9be57497b14444eb8bb3e787585863f1">
      <Part Type="punktas" Nr="7.1" Abbr="7.1 p." DocPartId="5089f7cdb3d64d35bf61bc21ef20e9bf" PartId="989525732c534318bd23172d71ad51db"/>
      <Part Type="punktas" Nr="7.2" Abbr="7.2 p." DocPartId="fcf49545ee6c4d85af68792b73e7920d" PartId="158423fcb6e149ddaf8c9847bdfd2974"/>
      <Part Type="punktas" Nr="7.3" Abbr="7.3 p." DocPartId="8bca2fdb0a624e21adc30238cdfe5e0e" PartId="207b8348d4dc404e838a9d344572090c"/>
      <Part Type="punktas" Nr="7.4" Abbr="7.4 p." DocPartId="1f55a078ccb0433781fb45788c6a336f" PartId="1ce0274bc660474dae45f861550b58d2"/>
    </Part>
    <Part Type="punktas" Nr="8" Abbr="8 p." DocPartId="a053d2813b5c4f93b20f40886486eba8" PartId="f9d6986aadc046ab8715283c84d19d34">
      <Part Type="punktas" Nr="8.1" Abbr="8.1 p." DocPartId="27a8df70f2ea459081d22b4135b034de" PartId="0f4b8e09944b40d0bee0088087e11b25"/>
      <Part Type="punktas" Nr="8.2" Abbr="8.2 p." DocPartId="fd03ccc9d34d42d4a570eebf03612c0c" PartId="9a1670efed454ec1af356ad5891b1df9"/>
      <Part Type="punktas" Nr="8.3" Abbr="8.3 p." DocPartId="5222c1db09dd4d2e8e905537908fe446" PartId="c58c3040f7f44df6b5386309a2073589"/>
      <Part Type="punktas" Nr="8.4" Abbr="8.4 p." DocPartId="75f14ad152d44671b864cfed99a0ec73" PartId="46f2115f477a4da08bfdd804330e0e54"/>
      <Part Type="punktas" Nr="8.5" Abbr="8.5 p." DocPartId="b050c5e8699f412a915e577acfe77d3a" PartId="329342d35bdb4a08b0546f560d63358d"/>
      <Part Type="punktas" Nr="8.6" Abbr="8.6 p." DocPartId="6570be6d2f1f43858219904f21e0c369" PartId="2efe0f8a3fd646949b15fc6f67426eca"/>
      <Part Type="punktas" Nr="8.7" Abbr="8.7 p." DocPartId="d397e68bc91a49b6a3dac1d3f688e250" PartId="e15a843648b4410e8a61fa413d8b2327"/>
      <Part Type="punktas" Nr="8.8" Abbr="8.8 p." DocPartId="e41e67e87689477a84b7688048d46894" PartId="23178c1e6eb54db28410a89e250d6246"/>
      <Part Type="punktas" Nr="8.9" Abbr="8.9 p." DocPartId="5ffe1ffd7dff40d79fd1e902de65c8d4" PartId="592d3fe05ec24dd19c58df15529f5265"/>
    </Part>
    <Part Type="punktas" Nr="9" Abbr="9 p." DocPartId="bbd52402dc9f4aa7936e4f6de6e5c1ff" PartId="0f9db43ea03147a8952e20c55523a323"/>
    <Part Type="punktas" Nr="10" Abbr="10 p." DocPartId="ee469fe8306a4925b6adb36d689424ff" PartId="91cc01187bcc47619d4715d809e9581e"/>
    <Part Type="punktas" Nr="11" Abbr="11 p." DocPartId="b331c7108e6b4e4f8bd765598e1cfbf3" PartId="5a84e04cee684ae6b3a6b7e65d3fed09"/>
    <Part Type="punktas" Nr="12" Abbr="12 p." DocPartId="750bae1a756249b8ab86fea852a8f3f4" PartId="e3089ae5b11a429d9e2ffd4a688b3bca"/>
    <Part Type="punktas" Nr="13" Abbr="13 p." DocPartId="cdcf75ca266c47e98e6e1bc4d8658ca0" PartId="038d97b1149340fc949e50202d24d314"/>
    <Part Type="punktas" Nr="14" Abbr="14 p." DocPartId="71f6ece7815d4f80a92082f1d04c5307" PartId="7010ae930cff4b8aa4287ce64b3010d4"/>
    <Part Type="punktas" Nr="15" Abbr="15 p." DocPartId="0d44aa307b894d1c82d31f18faad9c25" PartId="135e85f43c44480eba7f81d2ce1f4e97"/>
    <Part Type="punktas" Nr="16" Abbr="16 p." DocPartId="97248030bffd4ef6a646a560dc0f57b2" PartId="08871fed1a344979bcabb01123b78c07"/>
    <Part Type="punktas" Nr="17" Abbr="17 p." DocPartId="9bd92edfe7494591943ea4c8c2d7cc09" PartId="6d89229834e144989223c13b2eeb96d6"/>
    <Part Type="punktas" Nr="18" Abbr="18 p." DocPartId="cbe8071e5c904ac3afcd3fbb4972e8d8" PartId="d818ce3c131d4dd1b63368251b9f17e7"/>
    <Part Type="punktas" Nr="19" Abbr="19 p." DocPartId="fe83e8220edc44e399305f77360ad414" PartId="518bf5e19a84469a9e096286dd11d221">
      <Part Type="punktas" Nr="19.1" Abbr="19.1 p." DocPartId="fab7032f56f04cefa85775bb4923fe2c" PartId="24740dccf37c4630a6f7da7be7b326b0"/>
      <Part Type="punktas" Nr="19.2" Abbr="19.2 p." DocPartId="5b57078891b042a3b589355eef0d1a01" PartId="dc68b79801e14ed29062bb30f4e2525f"/>
      <Part Type="punktas" Nr="19.3" Abbr="19.3 p." DocPartId="823f496f1f954aaa827e4627ff32efae" PartId="1def3b3544534ae68239121d6430f42d"/>
    </Part>
    <Part Type="punktas" Nr="20" Abbr="20 p." DocPartId="8fd32dc51eb1413abf5f3a7b17d98c68" PartId="c7890eabd3a84582bacd94a25a49039e"/>
    <Part Type="punktas" Nr="21" Abbr="21 p." DocPartId="e6e30ff8f22542c58a6b53c66ea1f42d" PartId="d730beac05b548c1b88aec620791eb44"/>
    <Part Type="pabaiga" DocPartId="eb9cc701a8764fe79033f54ba6609855" PartId="6756707371c74b60a924dd2f52daaae7"/>
  </Part>
</Parts>
</file>

<file path=customXml/itemProps1.xml><?xml version="1.0" encoding="utf-8"?>
<ds:datastoreItem xmlns:ds="http://schemas.openxmlformats.org/officeDocument/2006/customXml" ds:itemID="{07C140B0-3953-4DFF-8E4D-1B947F3E8BEC}">
  <ds:schemaRefs>
    <ds:schemaRef ds:uri="http://lrs.lt/TAIS/DocParts"/>
  </ds:schemaRefs>
</ds:datastoreItem>
</file>

<file path=docProps/app.xml><?xml version="1.0" encoding="utf-8"?>
<Properties xmlns="http://schemas.openxmlformats.org/officeDocument/2006/extended-properties">
  <Template>Normal.dotm</Template>
  <TotalTime>7</TotalTime>
  <Pages>8</Pages>
  <Words>12856</Words>
  <Characters>7328</Characters>
  <Application>Microsoft Office Word</Application>
  <DocSecurity>0</DocSecurity>
  <Lines>61</Lines>
  <Paragraphs>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20144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2018-10-10T10:20:00Z</dcterms:modified>
  <revision>11</revision>
</coreProperties>
</file>