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2020-09-08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1dc66162aa8f49f8950d2cdef5527c28"/>
            <w:lock w:val="sdtLocked"/>
            <w:richText/>
          </w:sdtPr>
          <w:sdtContent>
            <w:p>
              <w:pPr>
                <w:overflowPunct w:val="0"/>
                <w:ind w:firstLine="709"/>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įstatymo Nr. I-693 16 straipsnio pakeitimo įstatymą Nr. XIII-1264,</w:t>
              </w:r>
              <w:r>
                <w:rPr>
                  <w:b/>
                  <w:color w:val="FF0000"/>
                  <w:szCs w:val="24"/>
                  <w:lang w:eastAsia="lt-LT"/>
                </w:rPr>
                <w:t xml:space="preserve"> </w:t>
              </w:r>
              <w:r>
                <w:rPr>
                  <w:color w:val="000000"/>
                  <w:szCs w:val="24"/>
                  <w:lang w:eastAsia="lt-LT"/>
                </w:rPr>
                <w:t xml:space="preserve">Lietuvos Respublikos pareigūnų ir karių valstybinių pensijų įstatymo Nr. I-693 1, 3, 6, 7, 12 ir 16 straipsnių pakeitimo įstatymą Nr. </w:t>
              </w:r>
              <w:r>
                <w:rPr>
                  <w:rFonts w:eastAsia="Calibri"/>
                  <w:color w:val="000000"/>
                  <w:szCs w:val="24"/>
                  <w:lang w:val="en-US" w:eastAsia="lt-LT"/>
                </w:rPr>
                <w:t>XIII-2915</w:t>
              </w:r>
              <w:r>
                <w:rPr>
                  <w:color w:val="000000"/>
                  <w:szCs w:val="24"/>
                  <w:lang w:eastAsia="lt-LT"/>
                </w:rPr>
                <w:t xml:space="preserve">, </w:t>
              </w:r>
              <w:r>
                <w:rPr>
                  <w:szCs w:val="24"/>
                  <w:lang w:eastAsia="lt-LT"/>
                </w:rPr>
                <w:t>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1 p."/>
            <w:tag w:val="part_454fef90640144978328f1e57cd7f3c8"/>
            <w:lock w:val="sdtLocked"/>
            <w:richText/>
          </w:sdtPr>
          <w:sdtContent>
            <w:p>
              <w:pPr>
                <w:ind w:firstLine="720"/>
                <w:jc w:val="both"/>
                <w:rPr>
                  <w:szCs w:val="24"/>
                  <w:lang w:eastAsia="lt-LT"/>
                </w:rPr>
              </w:pPr>
              <w:sdt>
                <w:sdtPr>
                  <w:alias w:val="Numeris"/>
                  <w:tag w:val="nr_454fef90640144978328f1e57cd7f3c8"/>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62a4eadc21ff42ebb2e9e0c3c72ba4a9"/>
            <w:lock w:val="sdtLocked"/>
            <w:richText/>
          </w:sdtPr>
          <w:sdtContent>
            <w:p>
              <w:pPr>
                <w:ind w:firstLine="720"/>
                <w:jc w:val="both"/>
                <w:rPr>
                  <w:szCs w:val="24"/>
                  <w:lang w:eastAsia="lt-LT"/>
                </w:rPr>
              </w:pPr>
              <w:sdt>
                <w:sdtPr>
                  <w:alias w:val="Numeris"/>
                  <w:tag w:val="nr_62a4eadc21ff42ebb2e9e0c3c72ba4a9"/>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604f7c5fbdc749b08ff439f0d7013156"/>
            <w:lock w:val="sdtLocked"/>
            <w:richText/>
          </w:sdtPr>
          <w:sdtContent>
            <w:p>
              <w:pPr>
                <w:ind w:firstLine="720"/>
                <w:jc w:val="both"/>
                <w:rPr>
                  <w:color w:val="000000"/>
                  <w:lang w:eastAsia="lt-LT"/>
                </w:rPr>
              </w:pPr>
              <w:sdt>
                <w:sdtPr>
                  <w:alias w:val="Numeris"/>
                  <w:tag w:val="nr_604f7c5fbdc749b08ff439f0d7013156"/>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c348f5a5fda946a3bc01f728b183acce"/>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c348f5a5fda946a3bc01f728b183acce"/>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4bc176c69ec7414ba6c49b89f82d77b5"/>
            <w:lock w:val="sdtLocked"/>
            <w:richText/>
          </w:sdtPr>
          <w:sdtContent>
            <w:p>
              <w:pPr>
                <w:overflowPunct w:val="0"/>
                <w:ind w:firstLine="709"/>
                <w:jc w:val="both"/>
                <w:textAlignment w:val="baseline"/>
                <w:rPr>
                  <w:lang w:eastAsia="lt-LT"/>
                </w:rPr>
              </w:pPr>
              <w:sdt>
                <w:sdtPr>
                  <w:alias w:val="Numeris"/>
                  <w:tag w:val="nr_4bc176c69ec7414ba6c49b89f82d77b5"/>
                  <w:lock w:val="sdtLocked"/>
                  <w:richText/>
                </w:sdtPr>
                <w:sdtContent>
                  <w:r>
                    <w:rPr>
                      <w:szCs w:val="24"/>
                      <w:lang w:eastAsia="lt-LT"/>
                    </w:rPr>
                    <w:t>1</w:t>
                  </w:r>
                </w:sdtContent>
              </w:sdt>
              <w:r>
                <w:rPr>
                  <w:szCs w:val="24"/>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bei pareigūnų ir karių valstybinės pensijos priedo už tarnybą (toliau – priedas) skyrimą ir mokėjimą, taip pat Lietuvos Respublikos pareigūnų ir karių valstybinių pensijų įstatymo Nr. I-693 16 straipsnio pakeitimo įstatyme Nr. XIII-1264 nustatytą pensijų perskaičiavimą dėl asmens faktinio tarnybos laiko po 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w:t>
              </w:r>
              <w:r>
                <w:rPr>
                  <w:color w:val="000000"/>
                  <w:szCs w:val="24"/>
                  <w:lang w:eastAsia="lt-LT"/>
                </w:rPr>
                <w:t xml:space="preserve">Lietuvos Respublikos pareigūnų ir karių valstybinių pensijų įstatymo Nr.  I-693 1, 3, 6, 7, 12 ir 16 straipsnių pakeitimo įstatyme Nr. </w:t>
              </w:r>
              <w:r>
                <w:rPr>
                  <w:rFonts w:eastAsia="Calibri"/>
                  <w:color w:val="000000"/>
                  <w:szCs w:val="24"/>
                  <w:lang w:eastAsia="lt-LT"/>
                </w:rPr>
                <w:t>XIII-2915</w:t>
              </w:r>
              <w:r>
                <w:rPr>
                  <w:rFonts w:ascii="Calibri" w:eastAsia="Calibri" w:hAnsi="Calibri"/>
                  <w:color w:val="000000"/>
                  <w:sz w:val="22"/>
                  <w:szCs w:val="22"/>
                  <w:lang w:eastAsia="lt-LT"/>
                </w:rPr>
                <w:t xml:space="preserve"> </w:t>
              </w:r>
              <w:r>
                <w:rPr>
                  <w:color w:val="000000"/>
                  <w:szCs w:val="24"/>
                  <w:lang w:eastAsia="lt-LT"/>
                </w:rPr>
                <w:t>nustatytą pensijų perskaičiavimą dėl asmens tarnybos laiko nuo 1990 m. balandžio 11 d. iki 1990 m. birželio 7 d. Lietuvos Respublikos vadovybės apsaugos tarnyboje (toliau – tarnybos laikas nuo 1990 m. balandžio 11 d. iki 1990 m. birželio 7 d.)</w:t>
              </w:r>
              <w:r>
                <w:rPr>
                  <w:szCs w:val="24"/>
                  <w:lang w:eastAsia="lt-LT"/>
                </w:rPr>
                <w:t xml:space="preserve"> įtraukimo į tarnybos laiką pensijai skirti (toliau – pensijų perskaičiavimas).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2 p."/>
            <w:tag w:val="part_e4032e7d8f2f4f59bc2d74843e45dfd3"/>
            <w:lock w:val="sdtLocked"/>
            <w:richText/>
          </w:sdtPr>
          <w:sdtContent>
            <w:p>
              <w:pPr>
                <w:overflowPunct w:val="0"/>
                <w:ind w:firstLine="720"/>
                <w:jc w:val="both"/>
                <w:textAlignment w:val="baseline"/>
                <w:rPr>
                  <w:lang w:eastAsia="lt-LT"/>
                </w:rPr>
              </w:pPr>
              <w:sdt>
                <w:sdtPr>
                  <w:alias w:val="Numeris"/>
                  <w:tag w:val="nr_e4032e7d8f2f4f59bc2d74843e45dfd3"/>
                  <w:lock w:val="sdtLocked"/>
                  <w:richText/>
                </w:sdtPr>
                <w:sdtContent>
                  <w:r>
                    <w:rPr>
                      <w:szCs w:val="24"/>
                      <w:lang w:eastAsia="lt-LT"/>
                    </w:rPr>
                    <w:t>2</w:t>
                  </w:r>
                </w:sdtContent>
              </w:sdt>
              <w:r>
                <w:rPr>
                  <w:szCs w:val="24"/>
                  <w:lang w:eastAsia="lt-LT"/>
                </w:rPr>
                <w:t>. Pensijos ir priedas skiriami ir mokami, taip pat pensijos perskaičiuojamos vadovaujantis įstatymu ir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3 p."/>
            <w:tag w:val="part_e77533bc9df94880811b55e117b7b5bd"/>
            <w:lock w:val="sdtLocked"/>
            <w:richText/>
          </w:sdtPr>
          <w:sdtContent>
            <w:p>
              <w:pPr>
                <w:overflowPunct w:val="0"/>
                <w:ind w:firstLine="720"/>
                <w:jc w:val="both"/>
                <w:textAlignment w:val="baseline"/>
                <w:rPr>
                  <w:lang w:eastAsia="lt-LT"/>
                </w:rPr>
              </w:pPr>
              <w:sdt>
                <w:sdtPr>
                  <w:alias w:val="Numeris"/>
                  <w:tag w:val="nr_e77533bc9df94880811b55e117b7b5bd"/>
                  <w:lock w:val="sdtLocked"/>
                  <w:richText/>
                </w:sdtPr>
                <w:sdtContent>
                  <w:r>
                    <w:rPr>
                      <w:bCs/>
                      <w:szCs w:val="24"/>
                      <w:lang w:eastAsia="lt-LT"/>
                    </w:rPr>
                    <w:t>3</w:t>
                  </w:r>
                </w:sdtContent>
              </w:sdt>
              <w:r>
                <w:rPr>
                  <w:bCs/>
                  <w:szCs w:val="24"/>
                  <w:lang w:eastAsia="lt-LT"/>
                </w:rPr>
                <w:t>. Pareigūnams ir kariams, atleistiems dėl sveikatos</w:t>
              </w:r>
              <w:r>
                <w:rPr>
                  <w:b/>
                  <w:szCs w:val="24"/>
                  <w:lang w:eastAsia="lt-LT"/>
                </w:rPr>
                <w:t xml:space="preserve"> </w:t>
              </w:r>
              <w:r>
                <w:rPr>
                  <w:bCs/>
                  <w:szCs w:val="24"/>
                  <w:lang w:eastAsia="lt-LT"/>
                </w:rPr>
                <w:t>(įstatymo 3 straipsnio 1 dalies 4 punktas) ir ištarnavusiems nuo</w:t>
              </w:r>
              <w:r>
                <w:rPr>
                  <w:b/>
                  <w:szCs w:val="24"/>
                  <w:lang w:eastAsia="lt-LT"/>
                </w:rPr>
                <w:t xml:space="preserve"> </w:t>
              </w:r>
              <w:r>
                <w:rPr>
                  <w:bCs/>
                  <w:szCs w:val="24"/>
                  <w:lang w:eastAsia="lt-LT"/>
                </w:rPr>
                <w:t>5 iki 10 metų, mokama 2 (1,8 A + B), ištarnavusiems nuo 10 iki</w:t>
              </w:r>
              <w:r>
                <w:rPr>
                  <w:b/>
                  <w:szCs w:val="24"/>
                  <w:lang w:eastAsia="lt-LT"/>
                </w:rPr>
                <w:t xml:space="preserve"> </w:t>
              </w:r>
              <w:r>
                <w:rPr>
                  <w:bCs/>
                  <w:szCs w:val="24"/>
                  <w:lang w:eastAsia="lt-LT"/>
                </w:rPr>
                <w:t>20 metų – 20 (1,8 A + B) / (A + B), ištarnavusiems daugiau kaip</w:t>
              </w:r>
              <w:r>
                <w:rPr>
                  <w:b/>
                  <w:szCs w:val="24"/>
                  <w:lang w:eastAsia="lt-LT"/>
                </w:rPr>
                <w:t xml:space="preserve"> </w:t>
              </w:r>
              <w:r>
                <w:rPr>
                  <w:bCs/>
                  <w:szCs w:val="24"/>
                  <w:lang w:eastAsia="lt-LT"/>
                </w:rPr>
                <w:t>20 metų – 1,8 A + B + 0,5 C procentų darbo užmokesčio vidurkio, nurodyto įstatymo 7 straipsnio 1 dalyje,</w:t>
              </w:r>
              <w:r>
                <w:rPr>
                  <w:b/>
                  <w:bCs/>
                  <w:szCs w:val="24"/>
                  <w:lang w:eastAsia="lt-LT"/>
                </w:rPr>
                <w:t xml:space="preserve"> </w:t>
              </w:r>
              <w:r>
                <w:rPr>
                  <w:bCs/>
                  <w:szCs w:val="24"/>
                  <w:lang w:eastAsia="lt-LT"/>
                </w:rPr>
                <w:t>dydžio</w:t>
              </w:r>
              <w:r>
                <w:rPr>
                  <w:b/>
                  <w:szCs w:val="24"/>
                  <w:lang w:eastAsia="lt-LT"/>
                </w:rPr>
                <w:t xml:space="preserve"> </w:t>
              </w:r>
              <w:r>
                <w:rPr>
                  <w:bCs/>
                  <w:szCs w:val="24"/>
                  <w:lang w:eastAsia="lt-LT"/>
                </w:rPr>
                <w:t>pensija (A – tarnybos laikas metais iki 1995 metų; B – tarnybos</w:t>
              </w:r>
              <w:r>
                <w:rPr>
                  <w:b/>
                  <w:szCs w:val="24"/>
                  <w:lang w:eastAsia="lt-LT"/>
                </w:rPr>
                <w:t xml:space="preserve"> </w:t>
              </w:r>
              <w:r>
                <w:rPr>
                  <w:bCs/>
                  <w:szCs w:val="24"/>
                  <w:lang w:eastAsia="lt-LT"/>
                </w:rPr>
                <w:t>laikas metais nuo 1995 metų įskaitytinai; C – tarnybos laikas</w:t>
              </w:r>
              <w:r>
                <w:rPr>
                  <w:b/>
                  <w:szCs w:val="24"/>
                  <w:lang w:eastAsia="lt-LT"/>
                </w:rPr>
                <w:t xml:space="preserve"> </w:t>
              </w:r>
              <w:r>
                <w:rPr>
                  <w:bCs/>
                  <w:szCs w:val="24"/>
                  <w:lang w:eastAsia="lt-LT"/>
                </w:rPr>
                <w:t>metais, įskaitytas į tarnybos laiką pensijai skirti už dvidešimt</w:t>
              </w:r>
              <w:r>
                <w:rPr>
                  <w:b/>
                  <w:szCs w:val="24"/>
                  <w:lang w:eastAsia="lt-LT"/>
                </w:rPr>
                <w:t xml:space="preserve"> </w:t>
              </w:r>
              <w:r>
                <w:rPr>
                  <w:szCs w:val="24"/>
                  <w:lang w:eastAsia="lt-LT"/>
                </w:rPr>
                <w:t>p</w:t>
              </w:r>
              <w:r>
                <w:rPr>
                  <w:bCs/>
                  <w:szCs w:val="24"/>
                  <w:lang w:eastAsia="lt-LT"/>
                </w:rPr>
                <w:t>irmus–dvidešimt penktus tarnybos metus, kai pensija</w:t>
              </w:r>
              <w:r>
                <w:rPr>
                  <w:b/>
                  <w:szCs w:val="24"/>
                  <w:lang w:eastAsia="lt-LT"/>
                </w:rPr>
                <w:t xml:space="preserve"> </w:t>
              </w:r>
              <w:r>
                <w:rPr>
                  <w:bCs/>
                  <w:szCs w:val="24"/>
                  <w:lang w:eastAsia="lt-LT"/>
                </w:rPr>
                <w:t>apskaičiuojama asmenims, nurodytiems įstatymo 3 straipsnio 3</w:t>
              </w:r>
              <w:r>
                <w:rPr>
                  <w:b/>
                  <w:szCs w:val="24"/>
                  <w:lang w:eastAsia="lt-LT"/>
                </w:rPr>
                <w:t xml:space="preserve"> </w:t>
              </w:r>
              <w:r>
                <w:rPr>
                  <w:bCs/>
                  <w:szCs w:val="24"/>
                  <w:lang w:eastAsia="lt-LT"/>
                </w:rPr>
                <w:t>dalyje, – tarnybos laikas metais, viršijantis 20 tarnybos metų,</w:t>
              </w:r>
              <w:r>
                <w:rPr>
                  <w:b/>
                  <w:szCs w:val="24"/>
                  <w:lang w:eastAsia="lt-LT"/>
                </w:rPr>
                <w:t xml:space="preserve"> </w:t>
              </w:r>
              <w:r>
                <w:rPr>
                  <w:bCs/>
                  <w:szCs w:val="24"/>
                  <w:lang w:eastAsia="lt-LT"/>
                </w:rPr>
                <w:t>tačiau neviršijantis įstatymo 3 straipsnio 3 dalyje šiems</w:t>
              </w:r>
              <w:r>
                <w:rPr>
                  <w:b/>
                  <w:szCs w:val="24"/>
                  <w:lang w:eastAsia="lt-LT"/>
                </w:rPr>
                <w:t xml:space="preserve"> </w:t>
              </w:r>
              <w:r>
                <w:rPr>
                  <w:bCs/>
                  <w:szCs w:val="24"/>
                  <w:lang w:eastAsia="lt-LT"/>
                </w:rPr>
                <w:t>asmenims nustatyto tarnybos metų skaičiaus, reikalingo pensijai</w:t>
              </w:r>
              <w:r>
                <w:rPr>
                  <w:b/>
                  <w:szCs w:val="24"/>
                  <w:lang w:eastAsia="lt-LT"/>
                </w:rPr>
                <w:t xml:space="preserve"> </w:t>
              </w:r>
              <w:r>
                <w:rPr>
                  <w:bCs/>
                  <w:szCs w:val="24"/>
                  <w:lang w:eastAsia="lt-LT"/>
                </w:rPr>
                <w:t>skirti).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4 p."/>
            <w:tag w:val="part_2a64a4e3d7d247c2a937cafad45767c9"/>
            <w:lock w:val="sdtLocked"/>
            <w:richText/>
          </w:sdtPr>
          <w:sdtContent>
            <w:p>
              <w:pPr>
                <w:ind w:firstLine="720"/>
                <w:jc w:val="both"/>
                <w:rPr>
                  <w:lang w:eastAsia="lt-LT"/>
                </w:rPr>
              </w:pPr>
              <w:sdt>
                <w:sdtPr>
                  <w:alias w:val="Numeris"/>
                  <w:tag w:val="nr_2a64a4e3d7d247c2a937cafad45767c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17e978c880194860aa0b144c38c4a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17e978c880194860aa0b144c38c4a979"/>
                  <w:lock w:val="sdtLocked"/>
                  <w:richText/>
                </w:sdtPr>
                <w:sdtContent>
                  <w:r>
                    <w:rPr>
                      <w:bCs/>
                      <w:szCs w:val="24"/>
                      <w:lang w:eastAsia="lt-LT"/>
                    </w:rPr>
                    <w:t>5</w:t>
                  </w:r>
                </w:sdtContent>
              </w:sdt>
              <w:r>
                <w:rPr>
                  <w:bCs/>
                  <w:szCs w:val="24"/>
                  <w:lang w:eastAsia="lt-LT"/>
                </w:rPr>
                <w:t xml:space="preserve">.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Lietuvos  Respublikos valstybės saugumo departamentui, Lietuvos Respublikos krašto apsaugos ministerijai (toliau kartu – pensijas skiriančios institucijos ir įstaigos) per atitinkamą tarnybą, įstaigą, karinį dalinį, kuriuose jis tarnauja arba tarnavo paskiausiai. Prašymai skirti pareigūnų ir karių valstybinę našlių ir našlaičių pensiją (toliau – našlių ir našlaičių pensija) pateikiami atitinkamai pensijas skiriančiai institucijai ar įstaigai. Asmuo prašymą dėl duomenų pateikimo apie asmens faktinį tarnybos laiką po 1990 m. kovo 11 d. ir (</w:t>
              </w:r>
              <w:r>
                <w:rPr>
                  <w:szCs w:val="24"/>
                  <w:lang w:eastAsia="lt-LT"/>
                </w:rPr>
                <w:t xml:space="preserve">ar) </w:t>
              </w:r>
              <w:r>
                <w:rPr>
                  <w:color w:val="000000"/>
                  <w:szCs w:val="24"/>
                  <w:lang w:eastAsia="lt-LT"/>
                </w:rPr>
                <w:t xml:space="preserve">tarnybos laiką nuo 1990 m. balandžio 11 d. iki 1990 m. birželio 7 d. </w:t>
              </w:r>
              <w:r>
                <w:rPr>
                  <w:bCs/>
                  <w:szCs w:val="24"/>
                  <w:lang w:eastAsia="lt-LT"/>
                </w:rPr>
                <w:t>pateikia tarnybai, įstaigai, kariniam daliniui, kuriame jis tarnavo paskiausiai.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6 p."/>
            <w:tag w:val="part_577000a8fe184938a53d458044109402"/>
            <w:lock w:val="sdtLocked"/>
            <w:richText/>
          </w:sdtPr>
          <w:sdtContent>
            <w:p>
              <w:pPr>
                <w:ind w:firstLine="720"/>
                <w:jc w:val="both"/>
                <w:rPr>
                  <w:lang w:eastAsia="lt-LT"/>
                </w:rPr>
              </w:pPr>
              <w:sdt>
                <w:sdtPr>
                  <w:alias w:val="Numeris"/>
                  <w:tag w:val="nr_577000a8fe184938a53d458044109402"/>
                  <w:lock w:val="sdtLocked"/>
                  <w:richText/>
                </w:sdtPr>
                <w:sdtContent>
                  <w:r>
                    <w:rPr>
                      <w:lang w:eastAsia="lt-LT"/>
                    </w:rPr>
                    <w:t>6</w:t>
                  </w:r>
                </w:sdtContent>
              </w:sdt>
              <w:r>
                <w:rPr>
                  <w:lang w:eastAsia="lt-LT"/>
                </w:rPr>
                <w:t>. Kartu su prašymu skirti pensiją už tarnybą pateikiama:</w:t>
              </w:r>
            </w:p>
            <w:sdt>
              <w:sdtPr>
                <w:alias w:val="6.1 p."/>
                <w:tag w:val="part_d8c2cdbd32bb411c97429baefae1df2f"/>
                <w:lock w:val="sdtLocked"/>
                <w:richText/>
              </w:sdtPr>
              <w:sdtContent>
                <w:p>
                  <w:pPr>
                    <w:ind w:firstLine="720"/>
                    <w:jc w:val="both"/>
                    <w:rPr>
                      <w:lang w:eastAsia="lt-LT"/>
                    </w:rPr>
                  </w:pPr>
                  <w:sdt>
                    <w:sdtPr>
                      <w:alias w:val="Numeris"/>
                      <w:tag w:val="nr_d8c2cdbd32bb411c97429baefae1df2f"/>
                      <w:lock w:val="sdtLocked"/>
                      <w:richText/>
                    </w:sdtPr>
                    <w:sdtContent>
                      <w:r>
                        <w:rPr>
                          <w:color w:val="000000"/>
                          <w:szCs w:val="24"/>
                          <w:lang w:eastAsia="lt-LT"/>
                        </w:rPr>
                        <w:t>6.1</w:t>
                      </w:r>
                    </w:sdtContent>
                  </w:sdt>
                  <w:r>
                    <w:rPr>
                      <w:color w:val="000000"/>
                      <w:szCs w:val="24"/>
                      <w:lang w:eastAsia="lt-LT"/>
                    </w:rPr>
                    <w:t xml:space="preserve">. personalo tarnybos, o jeigu tarnyboje, įstaigoje ar kariniame dalinyje pagal Lietuvos Respublikos Vyriausybės 2018 m. vasario 7 d. nutarimą Nr. 126 „Dėl </w:t>
                  </w:r>
                  <w:r>
                    <w:rPr>
                      <w:bCs/>
                      <w:color w:val="000000"/>
                      <w:szCs w:val="24"/>
                      <w:lang w:eastAsia="lt-LT"/>
                    </w:rPr>
                    <w:t xml:space="preserve">buhalterinės apskaitos ir personalo administravimo funkcijų atlikimo centralizuotai“ personalo administravimo funkcijos atliekamos centralizuotai (toliau – tarnyba, įstaiga ar karinis dalinys, kuriuose personalo administravimo funkcijos atliekamos centralizuotai), </w:t>
                  </w:r>
                  <w:r>
                    <w:rPr>
                      <w:color w:val="000000"/>
                      <w:szCs w:val="24"/>
                      <w:lang w:eastAsia="lt-LT"/>
                    </w:rPr>
                    <w:t xml:space="preserve">įstaigos, centralizuotai atliekančios personalo administravimo funkcijas </w:t>
                  </w:r>
                  <w:r>
                    <w:rPr>
                      <w:bCs/>
                      <w:color w:val="000000"/>
                      <w:szCs w:val="24"/>
                      <w:lang w:eastAsia="lt-LT"/>
                    </w:rPr>
                    <w:t xml:space="preserve">(toliau – </w:t>
                  </w:r>
                  <w:r>
                    <w:rPr>
                      <w:color w:val="000000"/>
                      <w:szCs w:val="24"/>
                      <w:lang w:eastAsia="lt-LT"/>
                    </w:rPr>
                    <w:t>Centras),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6.2 p."/>
                <w:tag w:val="part_5d09660935664678916e7c834586de7a"/>
                <w:lock w:val="sdtLocked"/>
                <w:richText/>
              </w:sdtPr>
              <w:sdtContent>
                <w:p>
                  <w:pPr>
                    <w:ind w:firstLine="720"/>
                    <w:jc w:val="both"/>
                    <w:rPr>
                      <w:lang w:eastAsia="lt-LT"/>
                    </w:rPr>
                  </w:pPr>
                  <w:sdt>
                    <w:sdtPr>
                      <w:alias w:val="Numeris"/>
                      <w:tag w:val="nr_5d09660935664678916e7c834586de7a"/>
                      <w:lock w:val="sdtLocked"/>
                      <w:richText/>
                    </w:sdtPr>
                    <w:sdtContent>
                      <w:r>
                        <w:rPr>
                          <w:lang w:eastAsia="lt-LT"/>
                        </w:rPr>
                        <w:t>6.2</w:t>
                      </w:r>
                    </w:sdtContent>
                  </w:sdt>
                  <w:r>
                    <w:rPr>
                      <w:lang w:eastAsia="lt-LT"/>
                    </w:rPr>
                    <w:t>. darbo užmokesčio atestatas (pažymėjimas);</w:t>
                  </w:r>
                </w:p>
              </w:sdtContent>
            </w:sdt>
            <w:sdt>
              <w:sdtPr>
                <w:alias w:val="6.3 p."/>
                <w:tag w:val="part_e1baf59230fe4ef3b2e83b4660120a5c"/>
                <w:lock w:val="sdtLocked"/>
                <w:richText/>
              </w:sdtPr>
              <w:sdtContent>
                <w:p>
                  <w:pPr>
                    <w:ind w:firstLine="720"/>
                    <w:jc w:val="both"/>
                    <w:rPr>
                      <w:lang w:eastAsia="lt-LT"/>
                    </w:rPr>
                  </w:pPr>
                  <w:sdt>
                    <w:sdtPr>
                      <w:alias w:val="Numeris"/>
                      <w:tag w:val="nr_e1baf59230fe4ef3b2e83b4660120a5c"/>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3b1536d38da34f50af45aa58f98fc8ab"/>
            <w:lock w:val="sdtLocked"/>
            <w:richText/>
          </w:sdtPr>
          <w:sdtContent>
            <w:p>
              <w:pPr>
                <w:ind w:firstLine="720"/>
                <w:jc w:val="both"/>
                <w:rPr>
                  <w:lang w:eastAsia="lt-LT"/>
                </w:rPr>
              </w:pPr>
              <w:sdt>
                <w:sdtPr>
                  <w:alias w:val="Numeris"/>
                  <w:tag w:val="nr_3b1536d38da34f50af45aa58f98fc8ab"/>
                  <w:lock w:val="sdtLocked"/>
                  <w:richText/>
                </w:sdtPr>
                <w:sdtContent>
                  <w:r>
                    <w:rPr>
                      <w:lang w:eastAsia="lt-LT"/>
                    </w:rPr>
                    <w:t>7</w:t>
                  </w:r>
                </w:sdtContent>
              </w:sdt>
              <w:r>
                <w:rPr>
                  <w:lang w:eastAsia="lt-LT"/>
                </w:rPr>
                <w:t>. Kartu su prašymu skirti netekto darbingumo pensiją pateikiama:</w:t>
              </w:r>
            </w:p>
            <w:sdt>
              <w:sdtPr>
                <w:alias w:val="7.1 p."/>
                <w:tag w:val="part_ab706b93084e4d14960b554dfeeb7bcb"/>
                <w:lock w:val="sdtLocked"/>
                <w:richText/>
              </w:sdtPr>
              <w:sdtContent>
                <w:p>
                  <w:pPr>
                    <w:ind w:firstLine="720"/>
                    <w:jc w:val="both"/>
                    <w:rPr>
                      <w:lang w:eastAsia="lt-LT"/>
                    </w:rPr>
                  </w:pPr>
                  <w:sdt>
                    <w:sdtPr>
                      <w:alias w:val="Numeris"/>
                      <w:tag w:val="nr_ab706b93084e4d14960b554dfeeb7bcb"/>
                      <w:lock w:val="sdtLocked"/>
                      <w:richText/>
                    </w:sdtPr>
                    <w:sdtContent>
                      <w:r>
                        <w:rPr>
                          <w:lang w:eastAsia="lt-LT"/>
                        </w:rPr>
                        <w:t>7.1</w:t>
                      </w:r>
                    </w:sdtContent>
                  </w:sdt>
                  <w:r>
                    <w:rPr>
                      <w:lang w:eastAsia="lt-LT"/>
                    </w:rPr>
                    <w:t>. žinybinės medicininės ekspertizės komisijos išvada;</w:t>
                  </w:r>
                </w:p>
              </w:sdtContent>
            </w:sdt>
            <w:sdt>
              <w:sdtPr>
                <w:alias w:val="7.2 p."/>
                <w:tag w:val="part_076cd52c791a4086a58f90cd38aa660a"/>
                <w:lock w:val="sdtLocked"/>
                <w:richText/>
              </w:sdtPr>
              <w:sdtContent>
                <w:p>
                  <w:pPr>
                    <w:ind w:firstLine="720"/>
                    <w:jc w:val="both"/>
                    <w:rPr>
                      <w:lang w:eastAsia="lt-LT"/>
                    </w:rPr>
                  </w:pPr>
                  <w:sdt>
                    <w:sdtPr>
                      <w:alias w:val="Numeris"/>
                      <w:tag w:val="nr_076cd52c791a4086a58f90cd38aa660a"/>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d178d05883684e4aa2688e18dc5992e3"/>
                <w:lock w:val="sdtLocked"/>
                <w:richText/>
              </w:sdtPr>
              <w:sdtContent>
                <w:p>
                  <w:pPr>
                    <w:ind w:firstLine="720"/>
                    <w:jc w:val="both"/>
                    <w:rPr>
                      <w:lang w:eastAsia="lt-LT"/>
                    </w:rPr>
                  </w:pPr>
                  <w:sdt>
                    <w:sdtPr>
                      <w:alias w:val="Numeris"/>
                      <w:tag w:val="nr_d178d05883684e4aa2688e18dc5992e3"/>
                      <w:lock w:val="sdtLocked"/>
                      <w:richText/>
                    </w:sdtPr>
                    <w:sdtContent>
                      <w:r>
                        <w:rPr>
                          <w:color w:val="000000"/>
                          <w:szCs w:val="24"/>
                          <w:lang w:eastAsia="lt-LT"/>
                        </w:rPr>
                        <w:t>7.3</w:t>
                      </w:r>
                    </w:sdtContent>
                  </w:sdt>
                  <w:r>
                    <w:rPr>
                      <w:color w:val="000000"/>
                      <w:szCs w:val="24"/>
                      <w:lang w:eastAsia="lt-LT"/>
                    </w:rPr>
                    <w:t xml:space="preserve">. personalo tarnybos, o jeigu tai tarnyba, įstaiga ar karinis dalinys, kuriame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7.4 p."/>
                <w:tag w:val="part_e5940e7449094f3e9eb0eac85c627c5f"/>
                <w:lock w:val="sdtLocked"/>
                <w:richText/>
              </w:sdtPr>
              <w:sdtContent>
                <w:p>
                  <w:pPr>
                    <w:ind w:firstLine="720"/>
                    <w:jc w:val="both"/>
                    <w:rPr>
                      <w:lang w:eastAsia="lt-LT"/>
                    </w:rPr>
                  </w:pPr>
                  <w:sdt>
                    <w:sdtPr>
                      <w:alias w:val="Numeris"/>
                      <w:tag w:val="nr_e5940e7449094f3e9eb0eac85c627c5f"/>
                      <w:lock w:val="sdtLocked"/>
                      <w:richText/>
                    </w:sdtPr>
                    <w:sdtContent>
                      <w:r>
                        <w:rPr>
                          <w:lang w:eastAsia="lt-LT"/>
                        </w:rPr>
                        <w:t>7.4</w:t>
                      </w:r>
                    </w:sdtContent>
                  </w:sdt>
                  <w:r>
                    <w:rPr>
                      <w:lang w:eastAsia="lt-LT"/>
                    </w:rPr>
                    <w:t>. darbo užmokesčio atestatas (pažymėjimas).</w:t>
                  </w:r>
                </w:p>
              </w:sdtContent>
            </w:sdt>
          </w:sdtContent>
        </w:sdt>
        <w:sdt>
          <w:sdtPr>
            <w:alias w:val="8 p."/>
            <w:tag w:val="part_93f1b140006f47a6bf318f53ac033e3e"/>
            <w:lock w:val="sdtLocked"/>
            <w:richText/>
          </w:sdtPr>
          <w:sdtContent>
            <w:p>
              <w:pPr>
                <w:ind w:firstLine="720"/>
                <w:jc w:val="both"/>
                <w:rPr>
                  <w:lang w:eastAsia="lt-LT"/>
                </w:rPr>
              </w:pPr>
              <w:sdt>
                <w:sdtPr>
                  <w:alias w:val="Numeris"/>
                  <w:tag w:val="nr_93f1b140006f47a6bf318f53ac033e3e"/>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168cabdffddc4f96a25902bb8925239f"/>
                <w:lock w:val="sdtLocked"/>
                <w:richText/>
              </w:sdtPr>
              <w:sdtContent>
                <w:p>
                  <w:pPr>
                    <w:ind w:firstLine="720"/>
                    <w:jc w:val="both"/>
                    <w:rPr>
                      <w:lang w:eastAsia="lt-LT"/>
                    </w:rPr>
                  </w:pPr>
                  <w:sdt>
                    <w:sdtPr>
                      <w:alias w:val="Numeris"/>
                      <w:tag w:val="nr_168cabdffddc4f96a25902bb8925239f"/>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d605167b1556412f8fca145a3ab4256b"/>
                <w:lock w:val="sdtLocked"/>
                <w:richText/>
              </w:sdtPr>
              <w:sdtContent>
                <w:p>
                  <w:pPr>
                    <w:ind w:firstLine="720"/>
                    <w:jc w:val="both"/>
                    <w:rPr>
                      <w:lang w:eastAsia="lt-LT"/>
                    </w:rPr>
                  </w:pPr>
                  <w:sdt>
                    <w:sdtPr>
                      <w:alias w:val="Numeris"/>
                      <w:tag w:val="nr_d605167b1556412f8fca145a3ab4256b"/>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14e82874f4154b108c02c2b21bd52a0c"/>
                <w:lock w:val="sdtLocked"/>
                <w:richText/>
              </w:sdtPr>
              <w:sdtContent>
                <w:p>
                  <w:pPr>
                    <w:ind w:firstLine="720"/>
                    <w:jc w:val="both"/>
                    <w:rPr>
                      <w:lang w:eastAsia="lt-LT"/>
                    </w:rPr>
                  </w:pPr>
                  <w:sdt>
                    <w:sdtPr>
                      <w:alias w:val="Numeris"/>
                      <w:tag w:val="nr_14e82874f4154b108c02c2b21bd52a0c"/>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73a8b5582a734ffd9401ba4a0c877338"/>
                <w:lock w:val="sdtLocked"/>
                <w:richText/>
              </w:sdtPr>
              <w:sdtContent>
                <w:p>
                  <w:pPr>
                    <w:ind w:firstLine="720"/>
                    <w:jc w:val="both"/>
                    <w:rPr>
                      <w:lang w:eastAsia="lt-LT"/>
                    </w:rPr>
                  </w:pPr>
                  <w:sdt>
                    <w:sdtPr>
                      <w:alias w:val="Numeris"/>
                      <w:tag w:val="nr_73a8b5582a734ffd9401ba4a0c877338"/>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8b846d5ee4624a0b9a2be9fe1e79f535"/>
                <w:lock w:val="sdtLocked"/>
                <w:richText/>
              </w:sdtPr>
              <w:sdtContent>
                <w:p>
                  <w:pPr>
                    <w:ind w:firstLine="720"/>
                    <w:jc w:val="both"/>
                    <w:rPr>
                      <w:lang w:eastAsia="lt-LT"/>
                    </w:rPr>
                  </w:pPr>
                  <w:sdt>
                    <w:sdtPr>
                      <w:alias w:val="Numeris"/>
                      <w:tag w:val="nr_8b846d5ee4624a0b9a2be9fe1e79f535"/>
                      <w:lock w:val="sdtLocked"/>
                      <w:richText/>
                    </w:sdtPr>
                    <w:sdtContent>
                      <w:r>
                        <w:rPr>
                          <w:color w:val="000000"/>
                          <w:szCs w:val="24"/>
                          <w:lang w:eastAsia="lt-LT"/>
                        </w:rPr>
                        <w:t>8.5</w:t>
                      </w:r>
                    </w:sdtContent>
                  </w:sdt>
                  <w:r>
                    <w:rPr>
                      <w:color w:val="000000"/>
                      <w:szCs w:val="24"/>
                      <w:lang w:eastAsia="lt-LT"/>
                    </w:rPr>
                    <w:t xml:space="preserve">. personalo tarnybos, o jeigu tai tarnyba, įstaiga ar karinis dalinys, kuriuose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8.6 p."/>
                <w:tag w:val="part_80832755cabc41daaf2664fda40f0101"/>
                <w:lock w:val="sdtLocked"/>
                <w:richText/>
              </w:sdtPr>
              <w:sdtContent>
                <w:p>
                  <w:pPr>
                    <w:ind w:firstLine="720"/>
                    <w:jc w:val="both"/>
                    <w:rPr>
                      <w:lang w:eastAsia="lt-LT"/>
                    </w:rPr>
                  </w:pPr>
                  <w:sdt>
                    <w:sdtPr>
                      <w:alias w:val="Numeris"/>
                      <w:tag w:val="nr_80832755cabc41daaf2664fda40f0101"/>
                      <w:lock w:val="sdtLocked"/>
                      <w:richText/>
                    </w:sdtPr>
                    <w:sdtContent>
                      <w:r>
                        <w:rPr>
                          <w:lang w:eastAsia="lt-LT"/>
                        </w:rPr>
                        <w:t>8.6</w:t>
                      </w:r>
                    </w:sdtContent>
                  </w:sdt>
                  <w:r>
                    <w:rPr>
                      <w:lang w:eastAsia="lt-LT"/>
                    </w:rPr>
                    <w:t>. darbo užmokesčio atestatas (pažymėjimas);</w:t>
                  </w:r>
                </w:p>
              </w:sdtContent>
            </w:sdt>
            <w:sdt>
              <w:sdtPr>
                <w:alias w:val="8.7 p."/>
                <w:tag w:val="part_e15a843648b4410e8a61fa413d8b2327"/>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8 p."/>
                <w:tag w:val="part_abbdcbc95c0e42f48eb1226fbf3f842a"/>
                <w:lock w:val="sdtLocked"/>
                <w:richText/>
              </w:sdtPr>
              <w:sdtContent>
                <w:p>
                  <w:pPr>
                    <w:ind w:firstLine="720"/>
                    <w:jc w:val="both"/>
                    <w:rPr>
                      <w:lang w:eastAsia="lt-LT"/>
                    </w:rPr>
                  </w:pPr>
                  <w:sdt>
                    <w:sdtPr>
                      <w:alias w:val="Numeris"/>
                      <w:tag w:val="nr_abbdcbc95c0e42f48eb1226fbf3f842a"/>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89d45232791041fdaf00488c573ca50c"/>
                <w:lock w:val="sdtLocked"/>
                <w:richText/>
              </w:sdtPr>
              <w:sdtContent>
                <w:p>
                  <w:pPr>
                    <w:ind w:firstLine="720"/>
                    <w:jc w:val="both"/>
                    <w:rPr>
                      <w:lang w:eastAsia="lt-LT"/>
                    </w:rPr>
                  </w:pPr>
                  <w:sdt>
                    <w:sdtPr>
                      <w:alias w:val="Numeris"/>
                      <w:tag w:val="nr_89d45232791041fdaf00488c573ca50c"/>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1d390f3876c74b32b5255e576c46b0f6"/>
            <w:lock w:val="sdtLocked"/>
            <w:richText/>
          </w:sdtPr>
          <w:sdtContent>
            <w:p>
              <w:pPr>
                <w:ind w:firstLine="709"/>
                <w:jc w:val="both"/>
                <w:rPr>
                  <w:lang w:eastAsia="lt-LT"/>
                </w:rPr>
              </w:pPr>
              <w:sdt>
                <w:sdtPr>
                  <w:alias w:val="Numeris"/>
                  <w:tag w:val="nr_1d390f3876c74b32b5255e576c46b0f6"/>
                  <w:lock w:val="sdtLocked"/>
                  <w:richText/>
                </w:sdtPr>
                <w:sdtContent>
                  <w:r>
                    <w:rPr>
                      <w:lang w:eastAsia="lt-LT"/>
                    </w:rPr>
                    <w:t>9</w:t>
                  </w:r>
                </w:sdtContent>
              </w:sdt>
              <w:r>
                <w:rPr>
                  <w:lang w:eastAsia="lt-LT"/>
                </w:rPr>
                <w:t>. Pagrindas mokėti pensiją ir priedą įstatymo 13 straipsnio 4 dalyje ir 15 straipsnio 3 dalyje nustatytais atvejais – laidojusio asmens, įpėdinių</w:t>
              </w:r>
              <w:r>
                <w:rPr>
                  <w:szCs w:val="24"/>
                </w:rPr>
                <w:t xml:space="preserve"> ir (ar) mirusįjį pergyvenusio sutuoktinio</w:t>
              </w:r>
              <w:r>
                <w:rPr>
                  <w:lang w:eastAsia="lt-LT"/>
                </w:rPr>
                <w:t xml:space="preserve"> pateiktas prašymas mokėti pensiją ir priedą, mirties liudijimas ar kiti mirties faktą patvirtinantys dokumentai, </w:t>
              </w:r>
              <w:r>
                <w:rPr>
                  <w:szCs w:val="24"/>
                </w:rPr>
                <w:t>paveldėjimo teisės liudijimas ir (arba) nuosavybės teisės į sutuoktinių bendro turto dalį liudijimas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0 p."/>
            <w:tag w:val="part_812565c165b04c5da874aa621692dd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812565c165b04c5da874aa621692dd81"/>
                  <w:lock w:val="sdtLocked"/>
                  <w:richText/>
                </w:sdtPr>
                <w:sdtContent>
                  <w:r>
                    <w:rPr>
                      <w:bCs/>
                      <w:szCs w:val="24"/>
                      <w:lang w:eastAsia="lt-LT"/>
                    </w:rPr>
                    <w:t>10</w:t>
                  </w:r>
                </w:sdtContent>
              </w:sdt>
              <w:r>
                <w:rPr>
                  <w:bCs/>
                  <w:szCs w:val="24"/>
                  <w:lang w:eastAsia="lt-LT"/>
                </w:rPr>
                <w:t>. Pensijas skiriančioms</w:t>
              </w:r>
              <w:r>
                <w:rPr>
                  <w:b/>
                  <w:bCs/>
                  <w:szCs w:val="24"/>
                  <w:lang w:eastAsia="lt-LT"/>
                </w:rPr>
                <w:t xml:space="preserve"> </w:t>
              </w:r>
              <w:r>
                <w:rPr>
                  <w:bCs/>
                  <w:szCs w:val="24"/>
                  <w:lang w:eastAsia="lt-LT"/>
                </w:rPr>
                <w:t>institucijoms ir įstaigoms pateikiami dokumentų, kurių reikia atitinkamos rūšies pensijai ir priedui skirti ir (ar) mokėti, originalai arba kopijos, patvirtinti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(Apostille), vadovaujantis Dokumentų legalizavimo ir tvirtinimo pažyma (Apostille) tvarkos aprašu, patvirtintu Lietuvos Respublikos Vyriausybės 2006 m. spalio 30 d. nutarimu Nr. 1079 „Dėl Dokumentų legalizavimo ir tvirtinimo pažyma (Apostille) tvarkos aprašo patvirtinimo“, išskyrus tuos atvejus, kai pagal Lietuvos Respublikos tarptautinius įsipareigojimus nustatyta kitaip, ir išversti į lietuvių kalbą.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Dokumentai, kurių reikia pensijai ir priedui skirti ir mokėti, pensijas skiriančioms institucijoms ir įstaigoms pateikiami tik tuomet, jeigu šiuose dokumentuose nurodytų duomenų nėra valstybės ar žinybiniuose registruose arba valstybės, savivaldybių informacinėse sistemose arba šiuose dokumentuose nurodyti duomenys nėra gaunami pagal duomenų teikimo sutartis iš valstybės ir savivaldybių institucijų, įstaigų, įmonių ir organizacijų.</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Asmenys prašymus</w:t>
              </w:r>
              <w:r>
                <w:rPr>
                  <w:b/>
                  <w:bCs/>
                  <w:szCs w:val="24"/>
                  <w:lang w:eastAsia="lt-LT"/>
                </w:rPr>
                <w:t xml:space="preserve"> </w:t>
              </w:r>
              <w:r>
                <w:rPr>
                  <w:bCs/>
                  <w:szCs w:val="24"/>
                  <w:lang w:eastAsia="lt-LT"/>
                </w:rPr>
                <w:t>skirti pensiją ir priedą, taip pat prašymus dėl duomenų pateikimo apie tarnybos laiką po 1990 m. kovo 11 d. ir (</w:t>
              </w:r>
              <w:r>
                <w:rPr>
                  <w:color w:val="000000"/>
                  <w:szCs w:val="24"/>
                  <w:lang w:eastAsia="lt-LT"/>
                </w:rPr>
                <w:t xml:space="preserve">ar) tarnybos laiką nuo 1990 m. balandžio 11 d. iki 1990 m. birželio 7 d. </w:t>
              </w:r>
              <w:r>
                <w:rPr>
                  <w:bCs/>
                  <w:szCs w:val="24"/>
                  <w:lang w:eastAsia="lt-LT"/>
                </w:rPr>
                <w:t xml:space="preserve">pateikia atvykę į atitinkamą </w:t>
              </w:r>
              <w:r>
                <w:rPr>
                  <w:b/>
                  <w:bCs/>
                  <w:szCs w:val="24"/>
                  <w:lang w:eastAsia="lt-LT"/>
                </w:rPr>
                <w:t xml:space="preserve"> </w:t>
              </w:r>
              <w:r>
                <w:rPr>
                  <w:bCs/>
                  <w:szCs w:val="24"/>
                  <w:lang w:eastAsia="lt-LT"/>
                </w:rPr>
                <w:t>tarnybą, įstaigą, karinį dalinį, kuriuose jie tarnauja arba tarnavo paskiausiai,</w:t>
              </w:r>
              <w:r>
                <w:rPr>
                  <w:b/>
                  <w:bCs/>
                  <w:szCs w:val="24"/>
                  <w:lang w:eastAsia="lt-LT"/>
                </w:rPr>
                <w:t xml:space="preserve"> </w:t>
              </w:r>
              <w:r>
                <w:rPr>
                  <w:bCs/>
                  <w:szCs w:val="24"/>
                  <w:lang w:eastAsia="lt-LT"/>
                </w:rPr>
                <w:t>arba atsiunčia registruotu laišku arba elektroniniais ryšiais.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bCs/>
                  <w:szCs w:val="24"/>
                  <w:lang w:eastAsia="lt-LT"/>
                </w:rPr>
                <w:t>Prašymas skirti našlių ir našlaičių pensiją, įstatymo 15-1 straipsnio 2 dalyje nurodytu atveju dokumentai, patvirtinantys aplinkybes, turinčias įtakos pensijai ar priedui mokėti, ar jų patvirtintos kopijos, asmens tapatybę patvirtinantis dokumentas ar jo patvirtinta kopija, taip pat įstatymo 15-1 straipsnio 4 dalyje nurodytu atveju rašytinis laisvos formos paties pensijos gavėjo pasirašytas pareiškimas, patvirtinantis, kad jis gyvena užsienio valstybėje, ir asmens tapatybę patvirtinantis dokumentas ar jo patvirtinta kopija pateikiami Fondo administravimo įstaigai šio punkto 3 pastraipoje nurodytais būdais. Pareiškimas, Fondo administravimo įstaigai siunčiamas elektroniniais ryšiais, turi būti pasirašytas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11 p."/>
            <w:tag w:val="part_a8ce4ce8c9c145d5b58e87e306f87c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8ce4ce8c9c145d5b58e87e306f87c96"/>
                  <w:lock w:val="sdtLocked"/>
                  <w:richText/>
                </w:sdtPr>
                <w:sdtContent>
                  <w:r>
                    <w:rPr>
                      <w:bCs/>
                      <w:szCs w:val="24"/>
                      <w:lang w:eastAsia="lt-LT"/>
                    </w:rPr>
                    <w:t>11</w:t>
                  </w:r>
                </w:sdtContent>
              </w:sdt>
              <w:r>
                <w:rPr>
                  <w:bCs/>
                  <w:szCs w:val="24"/>
                  <w:lang w:eastAsia="lt-LT"/>
                </w:rPr>
                <w:t>. Jeigu asmens prašymui skirti pensiją ir priedą išnagrinėti būtini papildomi dokumentai, kuriuos privalo pateikti prašymą skirti pensiją ir priedą pateikęs asmuo, ir pensijas skiriančios institucijos ir įstaigos tokių dokumentų negali gauti iš atitinkamos tarnybos, įstaigos, karinio dalinio, kuriuose asmuo tarnavo paskiausiai, ar Centro, jeigu tai tarnyba, įstaiga ar karinis dalinys, kuriuose personalo funkcijos atliekamos centralizuotai, per 5 darbo dienas nuo šio prašymo gavimo dienos</w:t>
              </w:r>
              <w:r>
                <w:rPr>
                  <w:b/>
                  <w:bCs/>
                  <w:szCs w:val="24"/>
                  <w:lang w:eastAsia="lt-LT"/>
                </w:rPr>
                <w:t xml:space="preserve"> </w:t>
              </w:r>
              <w:r>
                <w:rPr>
                  <w:bCs/>
                  <w:szCs w:val="24"/>
                  <w:lang w:eastAsia="lt-LT"/>
                </w:rPr>
                <w:t>kreipiasi į asmenį raštu, prašydamos pateikti papildomus dokumentus. Asmeniui pranešama, kad jo prašymo nagrinėjimas stabdomas, iki bus pateikti papildomi dokumentai. Jei per pensijas skiriančios institucijos ar įstaigos nustatytą terminą, kuris negali būti trumpesnis kaip 5 darbo dienos, papildomi dokumentai negaunami, šis prašymas nenagrinėjamas, dokumentų originalai grąžinami asmeniui ir nurodoma grąžinimo priežastis. Pensijas skiriančios</w:t>
              </w:r>
              <w:r>
                <w:rPr>
                  <w:b/>
                  <w:bCs/>
                  <w:szCs w:val="24"/>
                  <w:lang w:eastAsia="lt-LT"/>
                </w:rPr>
                <w:t xml:space="preserve"> </w:t>
              </w:r>
              <w:r>
                <w:rPr>
                  <w:bCs/>
                  <w:szCs w:val="24"/>
                  <w:lang w:eastAsia="lt-LT"/>
                </w:rPr>
                <w:t>institucijos ir įstaigos pasilieka prašymo skirti pensiją ir priedą ir gautų dokumentų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2 p."/>
            <w:tag w:val="part_07f4f8858a54470a9895ed56f030fbe5"/>
            <w:lock w:val="sdtLocked"/>
            <w:richText/>
          </w:sdtPr>
          <w:sdtContent>
            <w:p>
              <w:pPr>
                <w:overflowPunct w:val="0"/>
                <w:ind w:firstLine="720"/>
                <w:jc w:val="both"/>
                <w:textAlignment w:val="baseline"/>
                <w:rPr>
                  <w:szCs w:val="24"/>
                  <w:lang w:eastAsia="lt-LT"/>
                </w:rPr>
              </w:pPr>
              <w:sdt>
                <w:sdtPr>
                  <w:alias w:val="Numeris"/>
                  <w:tag w:val="nr_07f4f8858a54470a9895ed56f030fbe5"/>
                  <w:lock w:val="sdtLocked"/>
                  <w:richText/>
                </w:sdtPr>
                <w:sdtContent>
                  <w:r>
                    <w:rPr>
                      <w:szCs w:val="24"/>
                      <w:lang w:eastAsia="lt-LT"/>
                    </w:rPr>
                    <w:t>12</w:t>
                  </w:r>
                </w:sdtContent>
              </w:sdt>
              <w:r>
                <w:rPr>
                  <w:szCs w:val="24"/>
                  <w:lang w:eastAsia="lt-LT"/>
                </w:rPr>
                <w:t>. Sprendimas dėl pensijos ir (ar) priedo skyrimo arba atsisakymo skirti pensiją (toliau – sprendimas) turi būti priimtas ne vėliau kaip per 15 darbo dienų nuo prašymo skirti</w:t>
              </w:r>
            </w:p>
            <w:p>
              <w:pPr>
                <w:overflowPunct w:val="0"/>
                <w:jc w:val="both"/>
                <w:textAlignment w:val="baseline"/>
                <w:rPr>
                  <w:strike/>
                  <w:szCs w:val="24"/>
                  <w:lang w:eastAsia="lt-LT"/>
                </w:rPr>
              </w:pPr>
              <w:r>
                <w:rPr>
                  <w:szCs w:val="24"/>
                  <w:lang w:eastAsia="lt-LT"/>
                </w:rPr>
                <w:t xml:space="preserve">pensiją ir priedą su visais reikiamais dokumentais arba papildomų dokumentų gavimo pensijas skiriančiose institucijose ir įstaigose dienos. </w:t>
              </w:r>
            </w:p>
            <w:p>
              <w:pPr>
                <w:overflowPunct w:val="0"/>
                <w:ind w:firstLine="720"/>
                <w:jc w:val="both"/>
                <w:textAlignment w:val="baseline"/>
                <w:rPr>
                  <w:szCs w:val="24"/>
                  <w:lang w:eastAsia="lt-LT"/>
                </w:rPr>
              </w:pPr>
              <w:r>
                <w:rPr>
                  <w:szCs w:val="24"/>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Fondo administravimo įstaigos direktoriaus ar jo įgalioto šios įstaigos valstybės tarnautojo sprendimu.</w:t>
              </w:r>
            </w:p>
            <w:p>
              <w:pPr>
                <w:overflowPunct w:val="0"/>
                <w:ind w:firstLine="720"/>
                <w:jc w:val="both"/>
                <w:textAlignment w:val="baseline"/>
                <w:rPr>
                  <w:szCs w:val="24"/>
                  <w:lang w:eastAsia="lt-LT"/>
                </w:rPr>
              </w:pPr>
              <w:r>
                <w:rPr>
                  <w:szCs w:val="24"/>
                  <w:lang w:eastAsia="lt-LT"/>
                </w:rPr>
                <w:t xml:space="preserve">Sprendimą dėl pensijos perskaičiavimo priima pensijas skiriančios institucijos ar įstaigos, gavusios iš tarnybos, įstaigos, karinio dalinio, kuriame pensijos gavėjas tarnavo paskiausiai, duomenis apie asmens tarnybos laiką po 1990 m. kovo 11 d. ir (ar) duomenis apie </w:t>
              </w:r>
              <w:r>
                <w:rPr>
                  <w:color w:val="000000"/>
                  <w:szCs w:val="24"/>
                  <w:lang w:eastAsia="lt-LT"/>
                </w:rPr>
                <w:t>tarnybos laiką nuo 1990 m. balandžio 11 d. iki 1990 m. birželio 7 d.</w:t>
              </w:r>
              <w:r>
                <w:rPr>
                  <w:szCs w:val="24"/>
                  <w:lang w:eastAsia="lt-LT"/>
                </w:rPr>
                <w:t>, ne vėliau kaip per 15 darbo dienų nuo visų reikiamų dokumentų gavimo.</w:t>
              </w:r>
            </w:p>
            <w:p>
              <w:pPr>
                <w:overflowPunct w:val="0"/>
                <w:ind w:firstLine="851"/>
                <w:jc w:val="both"/>
                <w:textAlignment w:val="baseline"/>
                <w:rPr>
                  <w:lang w:eastAsia="lt-LT"/>
                </w:rPr>
              </w:pPr>
              <w:r>
                <w:rPr>
                  <w:szCs w:val="24"/>
                  <w:lang w:eastAsia="lt-LT"/>
                </w:rPr>
                <w:t>Priėmusios sprendimą, sprendimą dėl pensijos perskaičiavimo, pensijas skiriančios institucijos ir įstaigos ne vėliau kaip per 5 darbo dienas asmeniui turi išsiųsti registruotu laišku (įteikti) šio sprendimo patvirtintą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13 p."/>
            <w:tag w:val="part_c68b41afba584039be6c58f0cb0e5aec"/>
            <w:lock w:val="sdtLocked"/>
            <w:richText/>
          </w:sdtPr>
          <w:sdtContent>
            <w:p>
              <w:pPr>
                <w:ind w:firstLine="720"/>
                <w:jc w:val="both"/>
                <w:rPr>
                  <w:lang w:eastAsia="lt-LT"/>
                </w:rPr>
              </w:pPr>
              <w:sdt>
                <w:sdtPr>
                  <w:alias w:val="Numeris"/>
                  <w:tag w:val="nr_c68b41afba584039be6c58f0cb0e5aec"/>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a9c35cb9873c429f8b6e8f97211efaaa"/>
            <w:lock w:val="sdtLocked"/>
            <w:richText/>
          </w:sdtPr>
          <w:sdtContent>
            <w:p>
              <w:pPr>
                <w:ind w:firstLine="720"/>
                <w:jc w:val="both"/>
                <w:rPr>
                  <w:lang w:eastAsia="lt-LT"/>
                </w:rPr>
              </w:pPr>
              <w:sdt>
                <w:sdtPr>
                  <w:alias w:val="Numeris"/>
                  <w:tag w:val="nr_a9c35cb9873c429f8b6e8f97211efaaa"/>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e32f16b621544f8acd879df6aca9be2"/>
            <w:lock w:val="sdtLocked"/>
            <w:richText/>
          </w:sdtPr>
          <w:sdtContent>
            <w:p>
              <w:pPr>
                <w:ind w:firstLine="720"/>
                <w:jc w:val="both"/>
                <w:rPr>
                  <w:lang w:eastAsia="lt-LT"/>
                </w:rPr>
              </w:pPr>
              <w:sdt>
                <w:sdtPr>
                  <w:alias w:val="Numeris"/>
                  <w:tag w:val="nr_1e32f16b621544f8acd879df6aca9be2"/>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13c1f1d903c49078c731a61a22daeda"/>
            <w:lock w:val="sdtLocked"/>
            <w:richText/>
          </w:sdtPr>
          <w:sdtContent>
            <w:p>
              <w:pPr>
                <w:ind w:firstLine="709"/>
                <w:jc w:val="both"/>
                <w:rPr>
                  <w:lang w:eastAsia="lt-LT"/>
                </w:rPr>
              </w:pPr>
              <w:sdt>
                <w:sdtPr>
                  <w:alias w:val="Numeris"/>
                  <w:tag w:val="nr_813c1f1d903c49078c731a61a22daeda"/>
                  <w:lock w:val="sdtLocked"/>
                  <w:richText/>
                </w:sdtPr>
                <w:sdtContent>
                  <w:r>
                    <w:rPr>
                      <w:lang w:eastAsia="lt-LT"/>
                    </w:rPr>
                    <w:t>16</w:t>
                  </w:r>
                </w:sdtContent>
              </w:sdt>
              <w:r>
                <w:rPr>
                  <w:lang w:eastAsia="lt-LT"/>
                </w:rPr>
                <w:t>. Paskyrus pensiją, pensijos gavėjui išduodamas pensijos gavėjo pažymėjimas, kurio formą nustato atitinkamos įstatymo 12 straipsnyje nurodytos pensiją skiriančios institucijos ar įstaigos vadovas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7 p."/>
            <w:tag w:val="part_a6bb5d293ff447d0a3e00868b87e1a31"/>
            <w:lock w:val="sdtLocked"/>
            <w:richText/>
          </w:sdtPr>
          <w:sdtContent>
            <w:p>
              <w:pPr>
                <w:overflowPunct w:val="0"/>
                <w:ind w:firstLine="709"/>
                <w:jc w:val="both"/>
                <w:textAlignment w:val="baseline"/>
                <w:rPr>
                  <w:lang w:eastAsia="lt-LT"/>
                </w:rPr>
              </w:pPr>
              <w:sdt>
                <w:sdtPr>
                  <w:alias w:val="Numeris"/>
                  <w:tag w:val="nr_a6bb5d293ff447d0a3e00868b87e1a31"/>
                  <w:lock w:val="sdtLocked"/>
                  <w:richText/>
                </w:sdtPr>
                <w:sdtContent>
                  <w:r>
                    <w:rPr>
                      <w:szCs w:val="24"/>
                      <w:lang w:eastAsia="lt-LT"/>
                    </w:rPr>
                    <w:t>17</w:t>
                  </w:r>
                </w:sdtContent>
              </w:sdt>
              <w:r>
                <w:rPr>
                  <w:szCs w:val="24"/>
                  <w:lang w:eastAsia="lt-LT"/>
                </w:rPr>
                <w:t>. Pensija ir priedas mokami už praėjusį mėnesį. Pensijų ir priedo pristatymo tvarką, terminus ir sąlygas, taip pat pensijų skirtumo, susidariusio nuo 2016 m. birželio 20 d., jeigu pensija buvo paskirta po šios datos, – nuo pensijos paskyrimo dienos, ir pensijų skirtumo susidariusio nuo 2020 liepos 1 d., jeigu pensija buvo paskirta po šios datos, – nuo pensijos paskyrimo dienos, dėl pensijos perskaičiavimo apskaičiavimo terminus ir išmokėjimo tvarką nustato Fondo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0095b0f10b11eaa12ad7c04a383ca0">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2020-09-02,
paskelbta TAR 2020-09-07, i. k. 2020-18851            </w:t>
              </w:r>
            </w:p>
            <w:p/>
          </w:sdtContent>
        </w:sdt>
        <w:sdt>
          <w:sdtPr>
            <w:alias w:val="18 p."/>
            <w:tag w:val="part_4a6294ac1cc449b3bb9a73177093a6fc"/>
            <w:lock w:val="sdtLocked"/>
            <w:richText/>
          </w:sdtPr>
          <w:sdtContent>
            <w:p>
              <w:pPr>
                <w:overflowPunct w:val="0"/>
                <w:ind w:firstLine="720"/>
                <w:jc w:val="both"/>
                <w:textAlignment w:val="baseline"/>
                <w:rPr>
                  <w:lang w:eastAsia="lt-LT"/>
                </w:rPr>
              </w:pPr>
              <w:sdt>
                <w:sdtPr>
                  <w:alias w:val="Numeris"/>
                  <w:tag w:val="nr_4a6294ac1cc449b3bb9a73177093a6fc"/>
                  <w:lock w:val="sdtLocked"/>
                  <w:richText/>
                </w:sdtPr>
                <w:sdtContent>
                  <w:r>
                    <w:rPr>
                      <w:szCs w:val="24"/>
                      <w:lang w:eastAsia="lt-LT"/>
                    </w:rPr>
                    <w:t>18</w:t>
                  </w:r>
                </w:sdtContent>
              </w:sdt>
              <w:r>
                <w:rPr>
                  <w:szCs w:val="24"/>
                  <w:lang w:eastAsia="lt-LT"/>
                </w:rPr>
                <w:t xml:space="preserve">. Specialiųjų tyrimų tarnybos, Valstybės saugumo departamento, Krašto apsaugos  ministerijos paskirtoms pensijoms ir priedui mokėti reikalingi dokumentai ir duomenys, taip pat sprendimai dėl pensijos perskaičiavimo Fondo administravimo įstaigai perduodami per 5 darbo dienas nuo sprendimo priėmimo dienos Fondo valdybos, suderinus su nurodytomis pensijas skiriančiomis institucijomis ir įstaigomis,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9 p."/>
            <w:tag w:val="part_5013c5a8619242548b8bf1538cbf617a"/>
            <w:lock w:val="sdtLocked"/>
            <w:richText/>
          </w:sdtPr>
          <w:sdtContent>
            <w:p>
              <w:pPr>
                <w:ind w:firstLine="720"/>
                <w:jc w:val="both"/>
                <w:rPr>
                  <w:lang w:eastAsia="lt-LT"/>
                </w:rPr>
              </w:pPr>
              <w:sdt>
                <w:sdtPr>
                  <w:alias w:val="Numeris"/>
                  <w:tag w:val="nr_5013c5a8619242548b8bf1538cbf617a"/>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87a88a4b19234853b263fef54b9f1e8c"/>
                <w:lock w:val="sdtLocked"/>
                <w:richText/>
              </w:sdtPr>
              <w:sdtContent>
                <w:p>
                  <w:pPr>
                    <w:ind w:firstLine="720"/>
                    <w:jc w:val="both"/>
                    <w:rPr>
                      <w:strike/>
                      <w:lang w:eastAsia="lt-LT"/>
                    </w:rPr>
                  </w:pPr>
                  <w:sdt>
                    <w:sdtPr>
                      <w:alias w:val="Numeris"/>
                      <w:tag w:val="nr_87a88a4b19234853b263fef54b9f1e8c"/>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361286ff12954049b50de756be6b8ab0"/>
                <w:lock w:val="sdtLocked"/>
                <w:richText/>
              </w:sdtPr>
              <w:sdtContent>
                <w:p>
                  <w:pPr>
                    <w:ind w:firstLine="720"/>
                    <w:jc w:val="both"/>
                    <w:rPr>
                      <w:lang w:eastAsia="lt-LT"/>
                    </w:rPr>
                  </w:pPr>
                  <w:sdt>
                    <w:sdtPr>
                      <w:alias w:val="Numeris"/>
                      <w:tag w:val="nr_361286ff12954049b50de756be6b8ab0"/>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713152ce60b4c81a1e6fbb2fe1e8aa5"/>
                <w:lock w:val="sdtLocked"/>
                <w:richText/>
              </w:sdtPr>
              <w:sdtContent>
                <w:p>
                  <w:pPr>
                    <w:ind w:firstLine="720"/>
                    <w:jc w:val="both"/>
                    <w:rPr>
                      <w:lang w:eastAsia="lt-LT"/>
                    </w:rPr>
                  </w:pPr>
                  <w:sdt>
                    <w:sdtPr>
                      <w:alias w:val="Numeris"/>
                      <w:tag w:val="nr_1713152ce60b4c81a1e6fbb2fe1e8aa5"/>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7d03a5688eb84c0ab92477b7d770d97d"/>
            <w:lock w:val="sdtLocked"/>
            <w:richText/>
          </w:sdtPr>
          <w:sdtContent>
            <w:p>
              <w:pPr>
                <w:ind w:firstLine="709"/>
                <w:jc w:val="both"/>
                <w:rPr>
                  <w:lang w:eastAsia="lt-LT"/>
                </w:rPr>
              </w:pPr>
              <w:sdt>
                <w:sdtPr>
                  <w:alias w:val="Numeris"/>
                  <w:tag w:val="nr_7d03a5688eb84c0ab92477b7d770d97d"/>
                  <w:lock w:val="sdtLocked"/>
                  <w:richText/>
                </w:sdtPr>
                <w:sdtContent>
                  <w:r>
                    <w:rPr>
                      <w:lang w:eastAsia="lt-LT"/>
                    </w:rPr>
                    <w:t>20</w:t>
                  </w:r>
                </w:sdtContent>
              </w:sdt>
              <w:r>
                <w:rPr>
                  <w:lang w:eastAsia="lt-LT"/>
                </w:rPr>
                <w:t>. Duomenys teikiami pagal Fondo valdybos pateiktus pensijų gavėjų sąrašus, laikantis Fondo valdybos ir Valstybinės mokesčių inspekcijos, valstybės įmonės Žemės ūkio informacijos ir kaimo verslo centro, Neįgalumo ir darbingumo nustatymo tarnybos pasirašytose duomenų teikimo sutartyse nustatytos tvarkos ir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1 p."/>
            <w:tag w:val="part_048ec0bff51342dfb8f3bc5a59de51a5"/>
            <w:lock w:val="sdtLocked"/>
            <w:richText/>
          </w:sdtPr>
          <w:sdtContent>
            <w:p>
              <w:pPr>
                <w:tabs>
                  <w:tab w:val="left" w:pos="993"/>
                </w:tabs>
                <w:ind w:firstLine="720"/>
                <w:jc w:val="both"/>
                <w:rPr>
                  <w:lang w:eastAsia="lt-LT"/>
                </w:rPr>
              </w:pPr>
              <w:sdt>
                <w:sdtPr>
                  <w:alias w:val="Numeris"/>
                  <w:tag w:val="nr_048ec0bff51342dfb8f3bc5a59de51a5"/>
                  <w:lock w:val="sdtLocked"/>
                  <w:richText/>
                </w:sdtPr>
                <w:sdtContent>
                  <w:r>
                    <w:rPr>
                      <w:szCs w:val="24"/>
                      <w:lang w:eastAsia="lt-LT"/>
                    </w:rPr>
                    <w:t>21</w:t>
                  </w:r>
                </w:sdtContent>
              </w:sdt>
              <w:r>
                <w:rPr>
                  <w:szCs w:val="24"/>
                  <w:lang w:eastAsia="lt-LT"/>
                </w:rPr>
                <w:t xml:space="preserve">. Asmens duomenų, pateiktų Nuostatų 5–11 punktuose nurodytuose dokumentuose, tvarkymo  tikslas – pareigūnų ir karių valstybinių pensijų ir priedų skyrimas bei mokėjimas ir finansų apskaita. Dokumentai saugomi Lietuvos vyriausiojo archyvaro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e5ae07ad111e9863cb9ed35b4647a">
                <w:r w:rsidRPr="00532B9F">
                  <w:rPr>
                    <w:rFonts w:ascii="Times New Roman" w:eastAsia="MS Mincho" w:hAnsi="Times New Roman"/>
                    <w:sz w:val="20"/>
                    <w:i/>
                    <w:iCs/>
                    <w:color w:val="0000FF" w:themeColor="hyperlink"/>
                    <w:u w:val="single"/>
                  </w:rPr>
                  <w:t>474</w:t>
                </w:r>
              </w:fldSimple>
              <w:r>
                <w:rPr>
                  <w:rFonts w:ascii="Times New Roman" w:eastAsia="MS Mincho" w:hAnsi="Times New Roman"/>
                  <w:sz w:val="20"/>
                  <w:i/>
                  <w:iCs/>
                </w:rPr>
                <w:t>,
2019-05-15,
paskelbta TAR 2019-05-20, i. k. 2019-07956        </w:t>
              </w:r>
            </w:p>
            <w:p/>
          </w:sdtContent>
        </w:sdt>
        <w:sdt>
          <w:sdtPr>
            <w:alias w:val="22 p."/>
            <w:tag w:val="part_5b5b5117ab424cbb81ce1a4b478cee8f"/>
            <w:lock w:val="sdtLocked"/>
            <w:richText/>
          </w:sdtPr>
          <w:sdtContent>
            <w:p>
              <w:pPr>
                <w:overflowPunct w:val="0"/>
                <w:ind w:firstLine="720"/>
                <w:jc w:val="both"/>
                <w:textAlignment w:val="baseline"/>
                <w:rPr>
                  <w:color w:val="000000"/>
                  <w:lang w:eastAsia="lt-LT"/>
                </w:rPr>
              </w:pPr>
              <w:sdt>
                <w:sdtPr>
                  <w:alias w:val="Numeris"/>
                  <w:tag w:val="nr_5b5b5117ab424cbb81ce1a4b478cee8f"/>
                  <w:lock w:val="sdtLocked"/>
                  <w:richText/>
                </w:sdtPr>
                <w:sdtContent>
                  <w:r>
                    <w:rPr>
                      <w:szCs w:val="24"/>
                      <w:lang w:eastAsia="lt-LT"/>
                    </w:rPr>
                    <w:t>22</w:t>
                  </w:r>
                </w:sdtContent>
              </w:sdt>
              <w:r>
                <w:rPr>
                  <w:szCs w:val="24"/>
                  <w:lang w:eastAsia="lt-LT"/>
                </w:rPr>
                <w:t>. Kiti pensijų skyrimo, mokėjimo, ginčų sprendimo klausimai, nenustatyti Nuostatuose, reguliuojami Lietuvos Respublikos socialinio draudimo pensijų įstatyme ir Socialinio draudimo pensijų skyrimo ir mokėjimo nuostatuose, patvirtintuose Lietuvos Respublikos socialinės apsaugos ir darbo 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e5ae07ad111e9863cb9ed35b4647a">
                <w:r w:rsidRPr="00532B9F">
                  <w:rPr>
                    <w:rFonts w:ascii="Times New Roman" w:eastAsia="MS Mincho" w:hAnsi="Times New Roman"/>
                    <w:sz w:val="20"/>
                    <w:i/>
                    <w:iCs/>
                    <w:color w:val="0000FF" w:themeColor="hyperlink"/>
                    <w:u w:val="single"/>
                  </w:rPr>
                  <w:t>474</w:t>
                </w:r>
              </w:fldSimple>
              <w:r>
                <w:rPr>
                  <w:rFonts w:ascii="Times New Roman" w:eastAsia="MS Mincho" w:hAnsi="Times New Roman"/>
                  <w:sz w:val="20"/>
                  <w:i/>
                  <w:iCs/>
                </w:rPr>
                <w:t>,
2019-05-15,
paskelbta TAR 2019-05-20, i. k. 2019-07956        </w:t>
              </w:r>
            </w:p>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af5b70c89511e8bf37fd1541d65f38">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2018-10-03,
paskelbta TAR 2018-10-05, i. k. 2018-15876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ae5ae07ad111e9863cb9ed35b4647a">
            <w:r w:rsidRPr="00532B9F">
              <w:rPr>
                <w:rFonts w:ascii="Times New Roman" w:eastAsia="MS Mincho" w:hAnsi="Times New Roman"/>
                <w:sz w:val="20"/>
                <w:iCs/>
                <w:color w:val="0000FF" w:themeColor="hyperlink"/>
                <w:u w:val="single"/>
              </w:rPr>
              <w:t>474</w:t>
            </w:r>
          </w:fldSimple>
          <w:r>
            <w:rPr>
              <w:rFonts w:ascii="Times New Roman" w:eastAsia="MS Mincho" w:hAnsi="Times New Roman"/>
              <w:sz w:val="20"/>
              <w:iCs/>
            </w:rPr>
            <w:t>,
2019-05-15,
paskelbta TAR 2019-05-20, i. k. 2019-07956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70095b0f10b11eaa12ad7c04a383ca0">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2020-09-02,
paskelbta TAR 2020-09-07, i. k. 2020-18851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426B5E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1dc66162aa8f49f8950d2cdef5527c28"/>
    <Part Type="punktas" Nr="1" Abbr="1 p." DocPartId="95ff82d798b344dc9ef12585ccb50a97" PartId="454fef90640144978328f1e57cd7f3c8"/>
    <Part Type="punktas" Nr="2" Abbr="2 p." DocPartId="b29270b756b444c387cea24f1f4cf7e0" PartId="62a4eadc21ff42ebb2e9e0c3c72ba4a9"/>
    <Part Type="punktas" Nr="3" Abbr="3 p." DocPartId="5298f2eebb564d2b9edb575bd3d3085b" PartId="604f7c5fbdc749b08ff439f0d7013156"/>
    <Part Type="signatura" DocPartId="3ad7f51e289f47fa8d83de210836a6ec" PartId="a042730b6b944e22a45a9562fd319c63"/>
  </Part>
  <Part Type="patvirtinta" Title="PAREIGŪNŲ IR KARIŲ VALSTYBINIŲ PENSIJŲ SKYRIMO IR MOKĖJIMO NUOSTATAI" DocPartId="0f4b9799bf5e47bf93f857c6b97474f9" PartId="c348f5a5fda946a3bc01f728b183acce">
    <Part Type="punktas" Nr="1" Abbr="1 p." DocPartId="ec641745ed204e6780998de9bb2bd4a5" PartId="4bc176c69ec7414ba6c49b89f82d77b5"/>
    <Part Type="punktas" Nr="2" Abbr="2 p." DocPartId="b1610922042c4812bb09525c3942d529" PartId="e4032e7d8f2f4f59bc2d74843e45dfd3"/>
    <Part Type="punktas" Nr="3" Abbr="3 p." DocPartId="8fe7518cef094d78bec0119448fc254e" PartId="e77533bc9df94880811b55e117b7b5bd"/>
    <Part Type="punktas" Nr="4" Abbr="4 p." DocPartId="55b86485d38d4f48a07a98184cf1ff22" PartId="2a64a4e3d7d247c2a937cafad45767c9"/>
    <Part Type="punktas" Nr="5" Abbr="5 p." DocPartId="0dc0ce8b10684ef79c10db5d4b7aee16" PartId="17e978c880194860aa0b144c38c4a979"/>
    <Part Type="punktas" Nr="6" Abbr="6 p." DocPartId="f011c156a3ab4929b0d6be54b02b469a" PartId="577000a8fe184938a53d458044109402">
      <Part Type="punktas" Nr="6.1" Abbr="6.1 p." DocPartId="7b8f376b69c84e699d495024117903d9" PartId="d8c2cdbd32bb411c97429baefae1df2f"/>
      <Part Type="punktas" Nr="6.2" Abbr="6.2 p." DocPartId="ba5a538f774e454490ee91809f7dc8dd" PartId="5d09660935664678916e7c834586de7a"/>
      <Part Type="punktas" Nr="6.3" Abbr="6.3 p." DocPartId="0696e9f615da42f4bc4fdc1f3013868c" PartId="e1baf59230fe4ef3b2e83b4660120a5c"/>
    </Part>
    <Part Type="punktas" Nr="7" Abbr="7 p." DocPartId="4de36c328d32494fab371ed52788885b" PartId="3b1536d38da34f50af45aa58f98fc8ab">
      <Part Type="punktas" Nr="7.1" Abbr="7.1 p." DocPartId="5089f7cdb3d64d35bf61bc21ef20e9bf" PartId="ab706b93084e4d14960b554dfeeb7bcb"/>
      <Part Type="punktas" Nr="7.2" Abbr="7.2 p." DocPartId="fcf49545ee6c4d85af68792b73e7920d" PartId="076cd52c791a4086a58f90cd38aa660a"/>
      <Part Type="punktas" Nr="7.3" Abbr="7.3 p." DocPartId="8bca2fdb0a624e21adc30238cdfe5e0e" PartId="d178d05883684e4aa2688e18dc5992e3"/>
      <Part Type="punktas" Nr="7.4" Abbr="7.4 p." DocPartId="1f55a078ccb0433781fb45788c6a336f" PartId="e5940e7449094f3e9eb0eac85c627c5f"/>
    </Part>
    <Part Type="punktas" Nr="8" Abbr="8 p." DocPartId="a053d2813b5c4f93b20f40886486eba8" PartId="93f1b140006f47a6bf318f53ac033e3e">
      <Part Type="punktas" Nr="8.1" Abbr="8.1 p." DocPartId="27a8df70f2ea459081d22b4135b034de" PartId="168cabdffddc4f96a25902bb8925239f"/>
      <Part Type="punktas" Nr="8.2" Abbr="8.2 p." DocPartId="fd03ccc9d34d42d4a570eebf03612c0c" PartId="d605167b1556412f8fca145a3ab4256b"/>
      <Part Type="punktas" Nr="8.3" Abbr="8.3 p." DocPartId="5222c1db09dd4d2e8e905537908fe446" PartId="14e82874f4154b108c02c2b21bd52a0c"/>
      <Part Type="punktas" Nr="8.4" Abbr="8.4 p." DocPartId="75f14ad152d44671b864cfed99a0ec73" PartId="73a8b5582a734ffd9401ba4a0c877338"/>
      <Part Type="punktas" Nr="8.5" Abbr="8.5 p." DocPartId="b050c5e8699f412a915e577acfe77d3a" PartId="8b846d5ee4624a0b9a2be9fe1e79f535"/>
      <Part Type="punktas" Nr="8.6" Abbr="8.6 p." DocPartId="6570be6d2f1f43858219904f21e0c369" PartId="80832755cabc41daaf2664fda40f0101"/>
      <Part Type="punktas" Nr="8.7" Abbr="8.7 p." DocPartId="d397e68bc91a49b6a3dac1d3f688e250" PartId="e15a843648b4410e8a61fa413d8b2327"/>
      <Part Type="punktas" Nr="8.8" Abbr="8.8 p." DocPartId="e41e67e87689477a84b7688048d46894" PartId="abbdcbc95c0e42f48eb1226fbf3f842a"/>
      <Part Type="punktas" Nr="8.9" Abbr="8.9 p." DocPartId="5ffe1ffd7dff40d79fd1e902de65c8d4" PartId="89d45232791041fdaf00488c573ca50c"/>
    </Part>
    <Part Type="punktas" Nr="9" Abbr="9 p." DocPartId="bbd52402dc9f4aa7936e4f6de6e5c1ff" PartId="1d390f3876c74b32b5255e576c46b0f6"/>
    <Part Type="punktas" Nr="10" Abbr="10 p." DocPartId="ee469fe8306a4925b6adb36d689424ff" PartId="812565c165b04c5da874aa621692dd81"/>
    <Part Type="punktas" Nr="11" Abbr="11 p." DocPartId="b331c7108e6b4e4f8bd765598e1cfbf3" PartId="a8ce4ce8c9c145d5b58e87e306f87c96"/>
    <Part Type="punktas" Nr="12" Abbr="12 p." DocPartId="750bae1a756249b8ab86fea852a8f3f4" PartId="07f4f8858a54470a9895ed56f030fbe5"/>
    <Part Type="punktas" Nr="13" Abbr="13 p." DocPartId="cdcf75ca266c47e98e6e1bc4d8658ca0" PartId="c68b41afba584039be6c58f0cb0e5aec"/>
    <Part Type="punktas" Nr="14" Abbr="14 p." DocPartId="71f6ece7815d4f80a92082f1d04c5307" PartId="a9c35cb9873c429f8b6e8f97211efaaa"/>
    <Part Type="punktas" Nr="15" Abbr="15 p." DocPartId="0d44aa307b894d1c82d31f18faad9c25" PartId="1e32f16b621544f8acd879df6aca9be2"/>
    <Part Type="punktas" Nr="16" Abbr="16 p." DocPartId="97248030bffd4ef6a646a560dc0f57b2" PartId="813c1f1d903c49078c731a61a22daeda"/>
    <Part Type="punktas" Nr="17" Abbr="17 p." DocPartId="9bd92edfe7494591943ea4c8c2d7cc09" PartId="a6bb5d293ff447d0a3e00868b87e1a31"/>
    <Part Type="punktas" Nr="18" Abbr="18 p." DocPartId="cbe8071e5c904ac3afcd3fbb4972e8d8" PartId="4a6294ac1cc449b3bb9a73177093a6fc"/>
    <Part Type="punktas" Nr="19" Abbr="19 p." DocPartId="fe83e8220edc44e399305f77360ad414" PartId="5013c5a8619242548b8bf1538cbf617a">
      <Part Type="punktas" Nr="19.1" Abbr="19.1 p." DocPartId="fab7032f56f04cefa85775bb4923fe2c" PartId="87a88a4b19234853b263fef54b9f1e8c"/>
      <Part Type="punktas" Nr="19.2" Abbr="19.2 p." DocPartId="5b57078891b042a3b589355eef0d1a01" PartId="361286ff12954049b50de756be6b8ab0"/>
      <Part Type="punktas" Nr="19.3" Abbr="19.3 p." DocPartId="823f496f1f954aaa827e4627ff32efae" PartId="1713152ce60b4c81a1e6fbb2fe1e8aa5"/>
    </Part>
    <Part Type="punktas" Nr="20" Abbr="20 p." DocPartId="8fd32dc51eb1413abf5f3a7b17d98c68" PartId="7d03a5688eb84c0ab92477b7d770d97d"/>
    <Part Type="punktas" Nr="21" Abbr="21 p." DocPartId="ff9642af25c743e3908754973a3ae67b" PartId="048ec0bff51342dfb8f3bc5a59de51a5"/>
    <Part Type="punktas" Nr="22" Abbr="22 p." DocPartId="e6e30ff8f22542c58a6b53c66ea1f42d" PartId="5b5b5117ab424cbb81ce1a4b478cee8f"/>
    <Part Type="pabaiga" DocPartId="eb9cc701a8764fe79033f54ba6609855" PartId="6756707371c74b60a924dd2f52daaae7"/>
  </Part>
</Parts>
</file>

<file path=customXml/itemProps1.xml><?xml version="1.0" encoding="utf-8"?>
<ds:datastoreItem xmlns:ds="http://schemas.openxmlformats.org/officeDocument/2006/customXml" ds:itemID="{6BEDB74D-DA8F-489D-BA5F-8ECD332FE38A}">
  <ds:schemaRefs>
    <ds:schemaRef ds:uri="http://lrs.lt/TAIS/DocParts"/>
  </ds:schemaRefs>
</ds:datastoreItem>
</file>

<file path=docProps/app.xml><?xml version="1.0" encoding="utf-8"?>
<Properties xmlns="http://schemas.openxmlformats.org/officeDocument/2006/extended-properties">
  <Template>Normal.dotm</Template>
  <TotalTime>10</TotalTime>
  <Pages>7</Pages>
  <Words>15160</Words>
  <Characters>8642</Characters>
  <Application>Microsoft Office Word</Application>
  <DocSecurity>0</DocSecurity>
  <Lines>72</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23755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2020-09-08T10:07:00Z</dcterms:modified>
  <revision>19</revision>
</coreProperties>
</file>