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2019-05-08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7401a6129e3c461d84365c338829f295"/>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bfb9b113c3f947dfb1a1e8b4e0228a81"/>
                        <w:lock w:val="sdtLocked"/>
                        <w:richText/>
                      </w:sdtPr>
                      <w:sdtContent>
                        <w:p>
                          <w:pPr>
                            <w:spacing w:line="360" w:lineRule="auto"/>
                            <w:ind w:firstLine="720"/>
                            <w:jc w:val="both"/>
                            <w:rPr>
                              <w:rFonts w:eastAsia="Helvetica Neue"/>
                              <w:szCs w:val="24"/>
                              <w:lang w:eastAsia="lt-LT"/>
                            </w:rPr>
                          </w:pPr>
                          <w:sdt>
                            <w:sdtPr>
                              <w:alias w:val="Numeris"/>
                              <w:tag w:val="nr_bfb9b113c3f947dfb1a1e8b4e0228a81"/>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p>
                          <w:pPr>
                            <w:spacing w:line="360" w:lineRule="auto"/>
                            <w:ind w:firstLine="720"/>
                            <w:jc w:val="both"/>
                            <w:rPr>
                              <w:rFonts w:eastAsia="Helvetica Neue"/>
                              <w:szCs w:val="24"/>
                              <w:lang w:eastAsia="lt-LT"/>
                            </w:rPr>
                          </w:pPr>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97866c89781f4430bf95033400774f17"/>
                        <w:lock w:val="sdtLocked"/>
                        <w:richText/>
                      </w:sdtPr>
                      <w:sdtContent>
                        <w:p>
                          <w:pPr>
                            <w:spacing w:line="360" w:lineRule="auto"/>
                            <w:ind w:firstLine="720"/>
                            <w:jc w:val="both"/>
                            <w:rPr>
                              <w:szCs w:val="24"/>
                              <w:lang w:eastAsia="lt-LT"/>
                            </w:rPr>
                          </w:pPr>
                          <w:sdt>
                            <w:sdtPr>
                              <w:alias w:val="Numeris"/>
                              <w:tag w:val="nr_97866c89781f4430bf95033400774f17"/>
                              <w:lock w:val="sdtLocked"/>
                              <w:richText/>
                            </w:sdtPr>
                            <w:sdtContent>
                              <w:r>
                                <w:rPr>
                                  <w:szCs w:val="24"/>
                                </w:rPr>
                                <w:t>4</w:t>
                              </w:r>
                            </w:sdtContent>
                          </w:sdt>
                          <w:r>
                            <w:rPr>
                              <w:szCs w:val="24"/>
                            </w:rPr>
                            <w:t xml:space="preserve">. Apie numatomą grupės darbuotojų atleidimą darbdavys privalo raštu pranešti Užimtumo tarnybai prie Lietuvos Respublikos socialinės apsaugos ir darbo ministerijos (toliau – </w:t>
                          </w:r>
                          <w:r>
                            <w:rPr>
                              <w:bCs/>
                              <w:szCs w:val="24"/>
                            </w:rPr>
                            <w:t>Užimtumo tarnyba</w:t>
                          </w:r>
                          <w:r>
                            <w:rPr>
                              <w:szCs w:val="24"/>
                            </w:rPr>
                            <w:t xml:space="preserve">)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pateikia darbo tarybai ar darbdavio lygmeniu veikiančiai profesinei sąjungai, kuri gali pateikti </w:t>
                          </w:r>
                          <w:r>
                            <w:rPr>
                              <w:bCs/>
                              <w:szCs w:val="24"/>
                            </w:rPr>
                            <w:t>Užimtumo tarnybai</w:t>
                          </w:r>
                          <w:r>
                            <w:rPr>
                              <w:szCs w:val="24"/>
                            </w:rPr>
                            <w:t xml:space="preserve"> savo pastabas ir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
                      <w:sdtPr>
                        <w:alias w:val="63 str. 5 d."/>
                        <w:tag w:val="part_6b1652fba9904e02ab7074ae180be442"/>
                        <w:lock w:val="sdtLocked"/>
                        <w:richText/>
                      </w:sdtPr>
                      <w:sdtContent>
                        <w:p>
                          <w:pPr>
                            <w:spacing w:line="360" w:lineRule="auto"/>
                            <w:ind w:firstLine="720"/>
                            <w:jc w:val="both"/>
                            <w:rPr>
                              <w:rFonts w:eastAsia="Helvetica Neue"/>
                              <w:szCs w:val="24"/>
                              <w:lang w:eastAsia="lt-LT"/>
                            </w:rPr>
                          </w:pPr>
                          <w:sdt>
                            <w:sdtPr>
                              <w:alias w:val="Numeris"/>
                              <w:tag w:val="nr_6b1652fba9904e02ab7074ae180be442"/>
                              <w:lock w:val="sdtLocked"/>
                              <w:richText/>
                            </w:sdtPr>
                            <w:sdtContent>
                              <w:r>
                                <w:rPr>
                                  <w:szCs w:val="24"/>
                                  <w:lang w:eastAsia="lt-LT"/>
                                </w:rPr>
                                <w:t>5</w:t>
                              </w:r>
                            </w:sdtContent>
                          </w:sdt>
                          <w:r>
                            <w:rPr>
                              <w:szCs w:val="24"/>
                              <w:lang w:eastAsia="lt-LT"/>
                            </w:rPr>
                            <w:t xml:space="preserve">. Darbo sutartis negali būti nutraukta pažeidus pareigą pranešti </w:t>
                          </w:r>
                          <w:r>
                            <w:rPr>
                              <w:bCs/>
                              <w:szCs w:val="24"/>
                              <w:lang w:eastAsia="lt-LT"/>
                            </w:rPr>
                            <w:t>Užimtumo tarnybai</w:t>
                          </w:r>
                          <w:r>
                            <w:rPr>
                              <w:szCs w:val="24"/>
                              <w:lang w:eastAsia="lt-LT"/>
                            </w:rPr>
                            <w:t xml:space="preserve"> apie numatomą grupės darbuotojų atleidimą ar pareigą konsultuotis su darbo taryba ar su darbdavio lygmeniu veikiančia profesine sąjunga.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a3a83b98ef1344659a3a57e930856b55"/>
                            <w:lock w:val="sdtLocked"/>
                            <w:richText/>
                          </w:sdtPr>
                          <w:sdtContent>
                            <w:p>
                              <w:pPr>
                                <w:spacing w:line="360" w:lineRule="auto"/>
                                <w:ind w:firstLine="720"/>
                                <w:jc w:val="both"/>
                                <w:rPr>
                                  <w:szCs w:val="24"/>
                                  <w:lang w:eastAsia="lt-LT"/>
                                </w:rPr>
                              </w:pPr>
                              <w:sdt>
                                <w:sdtPr>
                                  <w:alias w:val="Numeris"/>
                                  <w:tag w:val="nr_a3a83b98ef1344659a3a57e930856b55"/>
                                  <w:lock w:val="sdtLocked"/>
                                  <w:richText/>
                                </w:sdtPr>
                                <w:sdtContent>
                                  <w:r>
                                    <w:rPr>
                                      <w:szCs w:val="24"/>
                                      <w:lang w:eastAsia="lt-LT"/>
                                    </w:rPr>
                                    <w:t>1</w:t>
                                  </w:r>
                                </w:sdtContent>
                              </w:sdt>
                              <w:r>
                                <w:rPr>
                                  <w:szCs w:val="24"/>
                                  <w:lang w:eastAsia="lt-LT"/>
                                </w:rPr>
                                <w:t>) bazinis (tarifinis) darbo užmokestis (valandinis atlygis arba mėnesinė alga);</w:t>
                              </w:r>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7e57809a13254f92af53ce1a37a1f373"/>
                        <w:lock w:val="sdtLocked"/>
                        <w:richText/>
                      </w:sdtPr>
                      <w:sdtContent>
                        <w:p>
                          <w:pPr>
                            <w:spacing w:line="360" w:lineRule="auto"/>
                            <w:ind w:firstLine="720"/>
                            <w:jc w:val="both"/>
                            <w:rPr>
                              <w:rFonts w:eastAsia="Helvetica Neue"/>
                              <w:szCs w:val="24"/>
                              <w:u w:color="222222"/>
                              <w:lang w:eastAsia="lt-LT"/>
                            </w:rPr>
                          </w:pPr>
                          <w:sdt>
                            <w:sdtPr>
                              <w:alias w:val="Numeris"/>
                              <w:tag w:val="nr_7e57809a13254f92af53ce1a37a1f373"/>
                              <w:lock w:val="sdtLocked"/>
                              <w:richText/>
                            </w:sdtPr>
                            <w:sdtContent>
                              <w:r>
                                <w:rPr>
                                  <w:rFonts w:eastAsia="Helvetica Neue"/>
                                  <w:szCs w:val="24"/>
                                  <w:u w:color="222222"/>
                                  <w:lang w:eastAsia="lt-LT"/>
                                </w:rPr>
                                <w:t>1</w:t>
                              </w:r>
                            </w:sdtContent>
                          </w:sdt>
                          <w:r>
                            <w:rPr>
                              <w:rFonts w:eastAsia="Helvetica Neue"/>
                              <w:szCs w:val="24"/>
                              <w:u w:color="222222"/>
                              <w:lang w:eastAsia="lt-LT"/>
                            </w:rPr>
                            <w:t>. Profesinių sąjungų ir darbdavių organizacijų atstovai – darbo ginčų komisijos nariai – atleidžiami nuo darbo pareigų atlikimo laikotarpiui, per kurį jie dalyvauja darbo ginčų komisijos darbe. Jų atlygio dydžius, mokėjimo ir kelionės išlaidų apmokėjimo tvarką nustato Lietuvos Respublikos Vyriausybė ar jos įgaliota institucija.</w:t>
                          </w:r>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fec00a0cc70d49848895e05e646ae8f4"/>
                        <w:lock w:val="sdtLocked"/>
                        <w:richText/>
                      </w:sdtPr>
                      <w:sdtContent>
                        <w:p>
                          <w:pPr>
                            <w:spacing w:line="360" w:lineRule="auto"/>
                            <w:ind w:firstLine="720"/>
                            <w:jc w:val="both"/>
                            <w:rPr>
                              <w:rFonts w:eastAsia="Helvetica Neue"/>
                              <w:szCs w:val="24"/>
                              <w:u w:color="222222"/>
                              <w:lang w:eastAsia="lt-LT"/>
                            </w:rPr>
                          </w:pPr>
                          <w:sdt>
                            <w:sdtPr>
                              <w:alias w:val="Numeris"/>
                              <w:tag w:val="nr_fec00a0cc70d49848895e05e646ae8f4"/>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7736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4.xml"/>
  <Relationship Id="rId11" Type="http://schemas.openxmlformats.org/officeDocument/2006/relationships/header" Target="header35.xml"/>
  <Relationship Id="rId12" Type="http://schemas.openxmlformats.org/officeDocument/2006/relationships/footer" Target="footer34.xml"/>
  <Relationship Id="rId13" Type="http://schemas.openxmlformats.org/officeDocument/2006/relationships/footer" Target="footer35.xml"/>
  <Relationship Id="rId14" Type="http://schemas.openxmlformats.org/officeDocument/2006/relationships/header" Target="header36.xml"/>
  <Relationship Id="rId15" Type="http://schemas.openxmlformats.org/officeDocument/2006/relationships/footer" Target="footer3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7401a6129e3c461d84365c338829f295">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bfb9b113c3f947dfb1a1e8b4e0228a81"/>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97866c89781f4430bf95033400774f17"/>
          <Part Type="strDalis" Nr="5" Abbr="63 str. 5 d." DocPartId="b480db2effd0456db2976a1bcdeeab30" PartId="6b1652fba9904e02ab7074ae180be442"/>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a3a83b98ef1344659a3a57e930856b55"/>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7e57809a13254f92af53ce1a37a1f373"/>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fec00a0cc70d49848895e05e646ae8f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A59AE46D-3437-4BB7-83BF-31F9385F5BA0}">
  <ds:schemaRefs>
    <ds:schemaRef ds:uri="http://lrs.lt/TAIS/DocParts"/>
  </ds:schemaRefs>
</ds:datastoreItem>
</file>

<file path=docProps/app.xml><?xml version="1.0" encoding="utf-8"?>
<Properties xmlns="http://schemas.openxmlformats.org/officeDocument/2006/extended-properties">
  <Template>Normal.dotm</Template>
  <TotalTime>37</TotalTime>
  <Pages>143</Pages>
  <Words>222803</Words>
  <Characters>126999</Characters>
  <Application>Microsoft Office Word</Application>
  <DocSecurity>0</DocSecurity>
  <Lines>1058</Lines>
  <Paragraphs>698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349104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2019-05-08T07:01:00Z</dcterms:modified>
  <revision>29</revision>
</coreProperties>
</file>