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2020-07-01 iki 2020-07-29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ef6d99ea41ef4892ac114597836e3d1d"/>
                <w:lock w:val="sdtLocked"/>
                <w:richText/>
              </w:sdtPr>
              <w:sdtContent>
                <w:p>
                  <w:pPr>
                    <w:spacing w:line="360" w:lineRule="auto"/>
                    <w:ind w:firstLine="720"/>
                    <w:jc w:val="both"/>
                    <w:rPr>
                      <w:rFonts w:eastAsia="Calibri"/>
                      <w:szCs w:val="24"/>
                    </w:rPr>
                  </w:pPr>
                  <w:sdt>
                    <w:sdtPr>
                      <w:alias w:val="Numeris"/>
                      <w:tag w:val="nr_ef6d99ea41ef4892ac114597836e3d1d"/>
                      <w:lock w:val="sdtLocked"/>
                      <w:richText/>
                    </w:sdtPr>
                    <w:sdtContent>
                      <w:r>
                        <w:rPr>
                          <w:szCs w:val="24"/>
                          <w:lang w:eastAsia="lt-LT"/>
                        </w:rPr>
                        <w:t>13</w:t>
                      </w:r>
                    </w:sdtContent>
                  </w:sdt>
                  <w:r>
                    <w:rPr>
                      <w:szCs w:val="24"/>
                      <w:lang w:eastAsia="lt-LT"/>
                    </w:rPr>
                    <w:t>. Valstybinė darbo inspekcija prie Lietuvos Respublikos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ef1f348fa3d8478d9d916aaf9d35df6a"/>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edf480df77ae4c3c902a0eb7d1c0a794"/>
                        <w:lock w:val="sdtLocked"/>
                        <w:richText/>
                      </w:sdtPr>
                      <w:sdtContent>
                        <w:p>
                          <w:pPr>
                            <w:spacing w:line="360" w:lineRule="auto"/>
                            <w:ind w:left="2268" w:hanging="1548"/>
                            <w:jc w:val="both"/>
                            <w:outlineLvl w:val="2"/>
                            <w:rPr>
                              <w:rFonts w:eastAsia="Helvetica Neue"/>
                              <w:b/>
                              <w:szCs w:val="24"/>
                              <w:lang w:eastAsia="lt-LT"/>
                            </w:rPr>
                          </w:pPr>
                          <w:sdt>
                            <w:sdtPr>
                              <w:alias w:val="Numeris"/>
                              <w:tag w:val="nr_edf480df77ae4c3c902a0eb7d1c0a794"/>
                              <w:lock w:val="sdtLocked"/>
                              <w:richText/>
                            </w:sdtPr>
                            <w:sdtContent>
                              <w:r>
                                <w:rPr>
                                  <w:rFonts w:eastAsia="Helvetica Neue"/>
                                  <w:b/>
                                  <w:szCs w:val="24"/>
                                  <w:lang w:eastAsia="lt-LT"/>
                                </w:rPr>
                                <w:t>108</w:t>
                              </w:r>
                            </w:sdtContent>
                          </w:sdt>
                          <w:r>
                            <w:rPr>
                              <w:rFonts w:eastAsia="Helvetica Neue"/>
                              <w:b/>
                              <w:szCs w:val="24"/>
                              <w:lang w:eastAsia="lt-LT"/>
                            </w:rPr>
                            <w:t xml:space="preserve"> straipsnis. </w:t>
                          </w:r>
                          <w:sdt>
                            <w:sdtPr>
                              <w:alias w:val="Pavadinimas"/>
                              <w:tag w:val="title_edf480df77ae4c3c902a0eb7d1c0a794"/>
                              <w:lock w:val="sdtLocked"/>
                              <w:richText/>
                            </w:sdtPr>
                            <w:sdtContent>
                              <w:r>
                                <w:rPr>
                                  <w:rFonts w:eastAsia="Helvetica Neue"/>
                                  <w:b/>
                                  <w:szCs w:val="24"/>
                                  <w:lang w:eastAsia="lt-LT"/>
                                </w:rPr>
                                <w:t>Užsienio darbdavio darbuotojo komandiruotė į Lietuvos Respublikos teritoriją teikti paslaugų</w:t>
                              </w:r>
                            </w:sdtContent>
                          </w:sdt>
                        </w:p>
                        <w:sdt>
                          <w:sdtPr>
                            <w:alias w:val="108 str. 1 d."/>
                            <w:tag w:val="part_680a5f8d3b114de5ac7031ee6716290f"/>
                            <w:lock w:val="sdtLocked"/>
                            <w:richText/>
                          </w:sdtPr>
                          <w:sdtContent>
                            <w:p>
                              <w:pPr>
                                <w:spacing w:line="360" w:lineRule="auto"/>
                                <w:ind w:firstLine="720"/>
                                <w:jc w:val="both"/>
                                <w:rPr>
                                  <w:rFonts w:eastAsia="Helvetica Neue"/>
                                  <w:szCs w:val="24"/>
                                  <w:lang w:eastAsia="lt-LT"/>
                                </w:rPr>
                              </w:pPr>
                              <w:sdt>
                                <w:sdtPr>
                                  <w:alias w:val="Numeris"/>
                                  <w:tag w:val="nr_680a5f8d3b114de5ac7031ee6716290f"/>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fa8718bc16df43888e3b6d1048239faa"/>
                                <w:lock w:val="sdtLocked"/>
                                <w:richText/>
                              </w:sdtPr>
                              <w:sdtContent>
                                <w:p>
                                  <w:pPr>
                                    <w:spacing w:line="360" w:lineRule="auto"/>
                                    <w:ind w:firstLine="720"/>
                                    <w:jc w:val="both"/>
                                    <w:rPr>
                                      <w:rFonts w:eastAsia="Helvetica Neue"/>
                                      <w:szCs w:val="24"/>
                                      <w:lang w:eastAsia="lt-LT"/>
                                    </w:rPr>
                                  </w:pPr>
                                  <w:sdt>
                                    <w:sdtPr>
                                      <w:alias w:val="Numeris"/>
                                      <w:tag w:val="nr_fa8718bc16df43888e3b6d1048239faa"/>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cdaa39ce8a684ddba9bc874a88e883bd"/>
                                <w:lock w:val="sdtLocked"/>
                                <w:richText/>
                              </w:sdtPr>
                              <w:sdtContent>
                                <w:p>
                                  <w:pPr>
                                    <w:spacing w:line="360" w:lineRule="auto"/>
                                    <w:ind w:firstLine="720"/>
                                    <w:jc w:val="both"/>
                                    <w:rPr>
                                      <w:rFonts w:eastAsia="Helvetica Neue"/>
                                      <w:szCs w:val="24"/>
                                      <w:lang w:eastAsia="lt-LT"/>
                                    </w:rPr>
                                  </w:pPr>
                                  <w:sdt>
                                    <w:sdtPr>
                                      <w:alias w:val="Numeris"/>
                                      <w:tag w:val="nr_cdaa39ce8a684ddba9bc874a88e883bd"/>
                                      <w:lock w:val="sdtLocked"/>
                                      <w:richText/>
                                    </w:sdtPr>
                                    <w:sdtContent>
                                      <w:r>
                                        <w:rPr>
                                          <w:rFonts w:eastAsia="Helvetica Neue"/>
                                          <w:szCs w:val="24"/>
                                          <w:lang w:eastAsia="lt-LT"/>
                                        </w:rPr>
                                        <w:t>2</w:t>
                                      </w:r>
                                    </w:sdtContent>
                                  </w:sdt>
                                  <w:r>
                                    <w:rPr>
                                      <w:rFonts w:eastAsia="Helvetica Neue"/>
                                      <w:szCs w:val="24"/>
                                      <w:lang w:eastAsia="lt-LT"/>
                                    </w:rPr>
                                    <w:t xml:space="preserve">) dirbti </w:t>
                                  </w:r>
                                  <w:r>
                                    <w:rPr>
                                      <w:szCs w:val="24"/>
                                      <w:lang w:eastAsia="lt-LT"/>
                                    </w:rPr>
                                    <w:t>darbdavio juridinio asmens filiale, atstovybėje, grupės įmonėje ar kitoje darbovietėje;</w:t>
                                  </w:r>
                                </w:p>
                              </w:sdtContent>
                            </w:sdt>
                            <w:sdt>
                              <w:sdtPr>
                                <w:alias w:val="108 str. 1 d. 3 p."/>
                                <w:tag w:val="part_157d894666c84ae19d1fe64d35021c87"/>
                                <w:lock w:val="sdtLocked"/>
                                <w:richText/>
                              </w:sdtPr>
                              <w:sdtContent>
                                <w:p>
                                  <w:pPr>
                                    <w:spacing w:line="360" w:lineRule="auto"/>
                                    <w:ind w:firstLine="720"/>
                                    <w:jc w:val="both"/>
                                    <w:rPr>
                                      <w:rFonts w:eastAsia="Helvetica Neue"/>
                                      <w:szCs w:val="24"/>
                                      <w:lang w:eastAsia="lt-LT"/>
                                    </w:rPr>
                                  </w:pPr>
                                  <w:sdt>
                                    <w:sdtPr>
                                      <w:alias w:val="Numeris"/>
                                      <w:tag w:val="nr_157d894666c84ae19d1fe64d35021c87"/>
                                      <w:lock w:val="sdtLocked"/>
                                      <w:richText/>
                                    </w:sdtPr>
                                    <w:sdtContent>
                                      <w:r>
                                        <w:rPr>
                                          <w:rFonts w:eastAsia="Helvetica Neue"/>
                                          <w:szCs w:val="24"/>
                                          <w:lang w:eastAsia="lt-LT"/>
                                        </w:rPr>
                                        <w:t>3</w:t>
                                      </w:r>
                                    </w:sdtContent>
                                  </w:sdt>
                                  <w:r>
                                    <w:rPr>
                                      <w:rFonts w:eastAsia="Helvetica Neue"/>
                                      <w:szCs w:val="24"/>
                                      <w:lang w:eastAsia="lt-LT"/>
                                    </w:rPr>
                                    <w:t xml:space="preserve">) dirbti </w:t>
                                  </w:r>
                                  <w:r>
                                    <w:rPr>
                                      <w:szCs w:val="24"/>
                                      <w:lang w:eastAsia="lt-LT"/>
                                    </w:rPr>
                                    <w:t>kaip laikinasis darbuotojas.</w:t>
                                  </w:r>
                                </w:p>
                              </w:sdtContent>
                            </w:sdt>
                          </w:sdtContent>
                        </w:sdt>
                        <w:sdt>
                          <w:sdtPr>
                            <w:alias w:val="108 str. 2 d."/>
                            <w:tag w:val="part_28415a5e4e3f4c3fb39de8aee269798b"/>
                            <w:lock w:val="sdtLocked"/>
                            <w:richText/>
                          </w:sdtPr>
                          <w:sdtContent>
                            <w:p>
                              <w:pPr>
                                <w:spacing w:line="360" w:lineRule="auto"/>
                                <w:ind w:firstLine="720"/>
                                <w:jc w:val="both"/>
                                <w:rPr>
                                  <w:rFonts w:eastAsia="Helvetica Neue"/>
                                  <w:szCs w:val="24"/>
                                  <w:lang w:eastAsia="lt-LT"/>
                                </w:rPr>
                              </w:pPr>
                              <w:sdt>
                                <w:sdtPr>
                                  <w:alias w:val="Numeris"/>
                                  <w:tag w:val="nr_28415a5e4e3f4c3fb39de8aee269798b"/>
                                  <w:lock w:val="sdtLocked"/>
                                  <w:richText/>
                                </w:sdtPr>
                                <w:sdtContent>
                                  <w:r>
                                    <w:rPr>
                                      <w:szCs w:val="24"/>
                                      <w:lang w:eastAsia="lt-LT"/>
                                    </w:rPr>
                                    <w:t>2</w:t>
                                  </w:r>
                                </w:sdtContent>
                              </w:sdt>
                              <w:r>
                                <w:rPr>
                                  <w:szCs w:val="24"/>
                                  <w:lang w:eastAsia="lt-LT"/>
                                </w:rPr>
                                <w:t>. Šio straipsnio 1 dalyje nurodytam darbuotojui, neatsižvelgiant į teisę, taikytiną darbo sutarčiai ar darbo santykiams, turi būti taikomos šio kodekso ir kitos Lietuvos Respublikos darbo teisės normos, nustatančios:</w:t>
                              </w:r>
                            </w:p>
                            <w:sdt>
                              <w:sdtPr>
                                <w:alias w:val="108 str. 2 d. 1 p."/>
                                <w:tag w:val="part_42863d3c73764471af4ed292bb00a1b4"/>
                                <w:lock w:val="sdtLocked"/>
                                <w:richText/>
                              </w:sdtPr>
                              <w:sdtContent>
                                <w:p>
                                  <w:pPr>
                                    <w:spacing w:line="360" w:lineRule="auto"/>
                                    <w:ind w:firstLine="720"/>
                                    <w:jc w:val="both"/>
                                    <w:rPr>
                                      <w:rFonts w:eastAsia="Helvetica Neue"/>
                                      <w:szCs w:val="24"/>
                                      <w:lang w:eastAsia="lt-LT"/>
                                    </w:rPr>
                                  </w:pPr>
                                  <w:sdt>
                                    <w:sdtPr>
                                      <w:alias w:val="Numeris"/>
                                      <w:tag w:val="nr_42863d3c73764471af4ed292bb00a1b4"/>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c96e2a9882f844269c19cc42cc4a2455"/>
                                <w:lock w:val="sdtLocked"/>
                                <w:richText/>
                              </w:sdtPr>
                              <w:sdtContent>
                                <w:p>
                                  <w:pPr>
                                    <w:spacing w:line="360" w:lineRule="auto"/>
                                    <w:ind w:firstLine="720"/>
                                    <w:jc w:val="both"/>
                                    <w:rPr>
                                      <w:rFonts w:eastAsia="Helvetica Neue"/>
                                      <w:szCs w:val="24"/>
                                      <w:lang w:eastAsia="lt-LT"/>
                                    </w:rPr>
                                  </w:pPr>
                                  <w:sdt>
                                    <w:sdtPr>
                                      <w:alias w:val="Numeris"/>
                                      <w:tag w:val="nr_c96e2a9882f844269c19cc42cc4a2455"/>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c2f91974fd6b4fe4be30e17f592e634e"/>
                                <w:lock w:val="sdtLocked"/>
                                <w:richText/>
                              </w:sdtPr>
                              <w:sdtContent>
                                <w:p>
                                  <w:pPr>
                                    <w:spacing w:line="360" w:lineRule="auto"/>
                                    <w:ind w:firstLine="720"/>
                                    <w:jc w:val="both"/>
                                    <w:rPr>
                                      <w:rFonts w:eastAsia="Helvetica Neue"/>
                                      <w:szCs w:val="24"/>
                                      <w:lang w:eastAsia="lt-LT"/>
                                    </w:rPr>
                                  </w:pPr>
                                  <w:sdt>
                                    <w:sdtPr>
                                      <w:alias w:val="Numeris"/>
                                      <w:tag w:val="nr_c2f91974fd6b4fe4be30e17f592e634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minimalųjį darbo užmokestį, įskaitant padidintą apmokėjimą už viršvalandinį darbą, darbą naktį, darbą poilsio ir švenčių dienomis;</w:t>
                                  </w:r>
                                </w:p>
                              </w:sdtContent>
                            </w:sdt>
                            <w:sdt>
                              <w:sdtPr>
                                <w:alias w:val="108 str. 2 d. 4 p."/>
                                <w:tag w:val="part_c485d3f2821940d6809ad3f8cee5efe6"/>
                                <w:lock w:val="sdtLocked"/>
                                <w:richText/>
                              </w:sdtPr>
                              <w:sdtContent>
                                <w:p>
                                  <w:pPr>
                                    <w:spacing w:line="360" w:lineRule="auto"/>
                                    <w:ind w:firstLine="720"/>
                                    <w:jc w:val="both"/>
                                    <w:rPr>
                                      <w:rFonts w:eastAsia="Helvetica Neue"/>
                                      <w:szCs w:val="24"/>
                                      <w:lang w:eastAsia="lt-LT"/>
                                    </w:rPr>
                                  </w:pPr>
                                  <w:sdt>
                                    <w:sdtPr>
                                      <w:alias w:val="Numeris"/>
                                      <w:tag w:val="nr_c485d3f2821940d6809ad3f8cee5efe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laikinųjų darbuotojų darbo sąlygas;</w:t>
                                  </w:r>
                                </w:p>
                              </w:sdtContent>
                            </w:sdt>
                            <w:sdt>
                              <w:sdtPr>
                                <w:alias w:val="108 str. 2 d. 5 p."/>
                                <w:tag w:val="part_cba933a67df34351a065a8e629b7f70d"/>
                                <w:lock w:val="sdtLocked"/>
                                <w:richText/>
                              </w:sdtPr>
                              <w:sdtContent>
                                <w:p>
                                  <w:pPr>
                                    <w:spacing w:line="360" w:lineRule="auto"/>
                                    <w:ind w:firstLine="720"/>
                                    <w:jc w:val="both"/>
                                    <w:rPr>
                                      <w:rFonts w:eastAsia="Helvetica Neue"/>
                                      <w:szCs w:val="24"/>
                                      <w:lang w:eastAsia="lt-LT"/>
                                    </w:rPr>
                                  </w:pPr>
                                  <w:sdt>
                                    <w:sdtPr>
                                      <w:alias w:val="Numeris"/>
                                      <w:tag w:val="nr_cba933a67df34351a065a8e629b7f70d"/>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6f7c109e5af346ba959f93b08489a93d"/>
                                <w:lock w:val="sdtLocked"/>
                                <w:richText/>
                              </w:sdtPr>
                              <w:sdtContent>
                                <w:p>
                                  <w:pPr>
                                    <w:spacing w:line="360" w:lineRule="auto"/>
                                    <w:ind w:firstLine="720"/>
                                    <w:jc w:val="both"/>
                                    <w:rPr>
                                      <w:rFonts w:eastAsia="Helvetica Neue"/>
                                      <w:szCs w:val="24"/>
                                      <w:lang w:eastAsia="lt-LT"/>
                                    </w:rPr>
                                  </w:pPr>
                                  <w:sdt>
                                    <w:sdtPr>
                                      <w:alias w:val="Numeris"/>
                                      <w:tag w:val="nr_6f7c109e5af346ba959f93b08489a93d"/>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asmenų iki aštuoniolikos metų, nėščių, neseniai pagimdžiusių ir krūtimi maitinančių darbuotojų saugą darbe;</w:t>
                                  </w:r>
                                </w:p>
                              </w:sdtContent>
                            </w:sdt>
                            <w:sdt>
                              <w:sdtPr>
                                <w:alias w:val="108 str. 2 d. 7 p."/>
                                <w:tag w:val="part_7c91377809934f359cfb50c401e51f59"/>
                                <w:lock w:val="sdtLocked"/>
                                <w:richText/>
                              </w:sdtPr>
                              <w:sdtContent>
                                <w:p>
                                  <w:pPr>
                                    <w:spacing w:line="360" w:lineRule="auto"/>
                                    <w:ind w:firstLine="720"/>
                                    <w:jc w:val="both"/>
                                    <w:rPr>
                                      <w:szCs w:val="24"/>
                                      <w:lang w:eastAsia="lt-LT"/>
                                    </w:rPr>
                                  </w:pPr>
                                  <w:sdt>
                                    <w:sdtPr>
                                      <w:alias w:val="Numeris"/>
                                      <w:tag w:val="nr_7c91377809934f359cfb50c401e51f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draudimą diskriminuoti darbe;</w:t>
                                  </w:r>
                                </w:p>
                              </w:sdtContent>
                            </w:sdt>
                            <w:sdt>
                              <w:sdtPr>
                                <w:alias w:val="108 str. 2 d. 8 p."/>
                                <w:tag w:val="part_00a539de763344bfb42447f2a0ff72e6"/>
                                <w:lock w:val="sdtLocked"/>
                                <w:richText/>
                              </w:sdtPr>
                              <w:sdtContent>
                                <w:p>
                                  <w:pPr>
                                    <w:spacing w:line="360" w:lineRule="auto"/>
                                    <w:ind w:firstLine="720"/>
                                    <w:jc w:val="both"/>
                                    <w:rPr>
                                      <w:rFonts w:eastAsia="Helvetica Neue"/>
                                      <w:szCs w:val="24"/>
                                      <w:lang w:eastAsia="lt-LT"/>
                                    </w:rPr>
                                  </w:pPr>
                                  <w:sdt>
                                    <w:sdtPr>
                                      <w:alias w:val="Numeris"/>
                                      <w:tag w:val="nr_00a539de763344bfb42447f2a0ff72e6"/>
                                      <w:lock w:val="sdtLocked"/>
                                      <w:richText/>
                                    </w:sdtPr>
                                    <w:sdtContent>
                                      <w:r>
                                        <w:rPr>
                                          <w:szCs w:val="24"/>
                                          <w:lang w:eastAsia="lt-LT"/>
                                        </w:rPr>
                                        <w:t>8</w:t>
                                      </w:r>
                                    </w:sdtContent>
                                  </w:sdt>
                                  <w:r>
                                    <w:rPr>
                                      <w:szCs w:val="24"/>
                                      <w:lang w:eastAsia="lt-LT"/>
                                    </w:rPr>
                                    <w:t>) nuostatas, nurodytas šio kodekso 107 straipsnio 6 dalyje.</w:t>
                                  </w:r>
                                </w:p>
                              </w:sdtContent>
                            </w:sdt>
                          </w:sdtContent>
                        </w:sdt>
                        <w:sdt>
                          <w:sdtPr>
                            <w:alias w:val="108 str. 3 d."/>
                            <w:tag w:val="part_358a0789bd2c48dd99c92aa23b4a11a5"/>
                            <w:lock w:val="sdtLocked"/>
                            <w:richText/>
                          </w:sdtPr>
                          <w:sdtContent>
                            <w:p>
                              <w:pPr>
                                <w:spacing w:line="360" w:lineRule="auto"/>
                                <w:ind w:firstLine="720"/>
                                <w:jc w:val="both"/>
                                <w:rPr>
                                  <w:rFonts w:eastAsia="Helvetica Neue"/>
                                  <w:szCs w:val="24"/>
                                  <w:lang w:eastAsia="lt-LT"/>
                                </w:rPr>
                              </w:pPr>
                              <w:sdt>
                                <w:sdtPr>
                                  <w:alias w:val="Numeris"/>
                                  <w:tag w:val="nr_358a0789bd2c48dd99c92aa23b4a11a5"/>
                                  <w:lock w:val="sdtLocked"/>
                                  <w:richText/>
                                </w:sdtPr>
                                <w:sdtContent>
                                  <w:r>
                                    <w:rPr>
                                      <w:szCs w:val="24"/>
                                      <w:lang w:eastAsia="lt-LT"/>
                                    </w:rPr>
                                    <w:t>3</w:t>
                                  </w:r>
                                </w:sdtContent>
                              </w:sdt>
                              <w:r>
                                <w:rPr>
                                  <w:szCs w:val="24"/>
                                  <w:lang w:eastAsia="lt-LT"/>
                                </w:rPr>
                                <w:t>. Šio straipsnio 1 dalyje nurodytam darbuotojui mokami dienpinigiai ir kitos išmokos, išskyrus išmokas, skirtas su komandiruote susijusioms faktinėms kelionės, nakvynės ir maitinimo išlaidoms kompensuoti, laikomi darbo užmokesčio dalimi.</w:t>
                              </w:r>
                            </w:p>
                          </w:sdtContent>
                        </w:sdt>
                        <w:sdt>
                          <w:sdtPr>
                            <w:alias w:val="108 str. 4 d."/>
                            <w:tag w:val="part_590292563e644048b9462a7bb094cbf9"/>
                            <w:lock w:val="sdtLocked"/>
                            <w:richText/>
                          </w:sdtPr>
                          <w:sdtContent>
                            <w:p>
                              <w:pPr>
                                <w:spacing w:line="360" w:lineRule="auto"/>
                                <w:ind w:firstLine="720"/>
                                <w:jc w:val="both"/>
                                <w:rPr>
                                  <w:rFonts w:eastAsia="Helvetica Neue"/>
                                  <w:szCs w:val="24"/>
                                  <w:lang w:eastAsia="lt-LT"/>
                                </w:rPr>
                              </w:pPr>
                              <w:sdt>
                                <w:sdtPr>
                                  <w:alias w:val="Numeris"/>
                                  <w:tag w:val="nr_590292563e644048b9462a7bb094cbf9"/>
                                  <w:lock w:val="sdtLocked"/>
                                  <w:richText/>
                                </w:sdtPr>
                                <w:sdtContent>
                                  <w:r>
                                    <w:rPr>
                                      <w:szCs w:val="24"/>
                                      <w:lang w:eastAsia="lt-LT"/>
                                    </w:rPr>
                                    <w:t>4</w:t>
                                  </w:r>
                                </w:sdtContent>
                              </w:sdt>
                              <w:r>
                                <w:rPr>
                                  <w:szCs w:val="24"/>
                                  <w:lang w:eastAsia="lt-LT"/>
                                </w:rPr>
                                <w:t xml:space="preserve">. </w:t>
                              </w:r>
                              <w:r>
                                <w:rPr>
                                  <w:rFonts w:eastAsia="Calibri"/>
                                  <w:szCs w:val="24"/>
                                  <w:lang w:eastAsia="lt-LT"/>
                                </w:rPr>
                                <w:t>Jeigu į Lietuvos Respublikos teritoriją komandiruotas valstybės, nepriklausančios Europos ekonominės erdvės valstybėms, darbdavio darbuotojas, jis turi gauti leidimą Lietuvos Respublikos įstatymų nustatyta tvarka.</w:t>
                              </w:r>
                            </w:p>
                          </w:sdtContent>
                        </w:sdt>
                        <w:sdt>
                          <w:sdtPr>
                            <w:alias w:val="108 str. 5 d."/>
                            <w:tag w:val="part_edaa413eebbf4969a4bb1da6b98ff97a"/>
                            <w:lock w:val="sdtLocked"/>
                            <w:richText/>
                          </w:sdtPr>
                          <w:sdtContent>
                            <w:p>
                              <w:pPr>
                                <w:spacing w:line="360" w:lineRule="auto"/>
                                <w:ind w:firstLine="720"/>
                                <w:jc w:val="both"/>
                                <w:rPr>
                                  <w:rFonts w:eastAsia="Helvetica Neue"/>
                                  <w:szCs w:val="24"/>
                                  <w:lang w:eastAsia="lt-LT"/>
                                </w:rPr>
                              </w:pPr>
                              <w:sdt>
                                <w:sdtPr>
                                  <w:alias w:val="Numeris"/>
                                  <w:tag w:val="nr_edaa413eebbf4969a4bb1da6b98ff97a"/>
                                  <w:lock w:val="sdtLocked"/>
                                  <w:richText/>
                                </w:sdtPr>
                                <w:sdtContent>
                                  <w:r>
                                    <w:rPr>
                                      <w:szCs w:val="24"/>
                                      <w:lang w:eastAsia="lt-LT"/>
                                    </w:rPr>
                                    <w:t>5</w:t>
                                  </w:r>
                                </w:sdtContent>
                              </w:sdt>
                              <w:r>
                                <w:rPr>
                                  <w:szCs w:val="24"/>
                                  <w:lang w:eastAsia="lt-LT"/>
                                </w:rPr>
                                <w:t xml:space="preserve">. </w:t>
                              </w:r>
                              <w:r>
                                <w:rPr>
                                  <w:rFonts w:eastAsia="Calibri"/>
                                  <w:szCs w:val="24"/>
                                  <w:lang w:eastAsia="lt-LT"/>
                                </w:rPr>
                                <w:t>Šio straipsnio 1 dalies 1 ir 2 punktuose nustatytais atvejais nuostatos, susijusios su minimaliuoju darbo užmokesčiu, įskaitant padidintą apmokėjimą už viršvalandinį darbą, darbą naktį, darbą poilsio ir švenčių dienomis, netaikomos, jeigu komandiruotės trukmė neviršija trisdešimt dienų</w:t>
                              </w:r>
                              <w:r>
                                <w:rPr>
                                  <w:szCs w:val="24"/>
                                  <w:lang w:eastAsia="lt-LT"/>
                                </w:rPr>
                                <w:t>.</w:t>
                              </w:r>
                            </w:p>
                          </w:sdtContent>
                        </w:sdt>
                        <w:sdt>
                          <w:sdtPr>
                            <w:alias w:val="108 str. 6 d."/>
                            <w:tag w:val="part_1c8899e9902540ff99d33a7027b3b4aa"/>
                            <w:lock w:val="sdtLocked"/>
                            <w:richText/>
                          </w:sdtPr>
                          <w:sdtContent>
                            <w:p>
                              <w:pPr>
                                <w:spacing w:line="360" w:lineRule="auto"/>
                                <w:ind w:firstLine="720"/>
                                <w:jc w:val="both"/>
                                <w:rPr>
                                  <w:rFonts w:eastAsia="Helvetica Neue"/>
                                  <w:szCs w:val="24"/>
                                  <w:lang w:eastAsia="lt-LT"/>
                                </w:rPr>
                              </w:pPr>
                              <w:sdt>
                                <w:sdtPr>
                                  <w:alias w:val="Numeris"/>
                                  <w:tag w:val="nr_1c8899e9902540ff99d33a7027b3b4aa"/>
                                  <w:lock w:val="sdtLocked"/>
                                  <w:richText/>
                                </w:sdtPr>
                                <w:sdtContent>
                                  <w:r>
                                    <w:rPr>
                                      <w:szCs w:val="24"/>
                                      <w:lang w:eastAsia="lt-LT"/>
                                    </w:rPr>
                                    <w:t>6</w:t>
                                  </w:r>
                                </w:sdtContent>
                              </w:sdt>
                              <w:r>
                                <w:rPr>
                                  <w:szCs w:val="24"/>
                                  <w:lang w:eastAsia="lt-LT"/>
                                </w:rPr>
                                <w:t>. Šio straipsnio 2 dalies 2 ir 3 punktų nuostatos, susijusios su minimaliąja kasmetinių atostogų trukme, minimaliuoju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7 d."/>
                            <w:tag w:val="part_5f1806b4c0474f5db8e6c0b3b6172e44"/>
                            <w:lock w:val="sdtLocked"/>
                            <w:richText/>
                          </w:sdtPr>
                          <w:sdtContent>
                            <w:p>
                              <w:pPr>
                                <w:spacing w:line="360" w:lineRule="auto"/>
                                <w:ind w:firstLine="720"/>
                                <w:jc w:val="both"/>
                                <w:rPr>
                                  <w:rFonts w:eastAsia="Helvetica Neue"/>
                                  <w:szCs w:val="24"/>
                                  <w:lang w:eastAsia="lt-LT"/>
                                </w:rPr>
                              </w:pPr>
                              <w:sdt>
                                <w:sdtPr>
                                  <w:alias w:val="Numeris"/>
                                  <w:tag w:val="nr_5f1806b4c0474f5db8e6c0b3b6172e44"/>
                                  <w:lock w:val="sdtLocked"/>
                                  <w:richText/>
                                </w:sdtPr>
                                <w:sdtContent>
                                  <w:r>
                                    <w:rPr>
                                      <w:szCs w:val="24"/>
                                      <w:lang w:eastAsia="lt-LT"/>
                                    </w:rPr>
                                    <w:t>7</w:t>
                                  </w:r>
                                </w:sdtContent>
                              </w:sdt>
                              <w:r>
                                <w:rPr>
                                  <w:szCs w:val="24"/>
                                  <w:lang w:eastAsia="lt-LT"/>
                                </w:rPr>
                                <w:t>. Šiam straipsniui taikyti komandiruotės trukmė skaičiuojama sudedant visas komandiruotės ar komandiruočių kalendorines dienas per vienų metų laikotarpį nuo pirmosios komandiruotės pradžios</w:t>
                              </w:r>
                              <w:r>
                                <w:rPr>
                                  <w:rFonts w:eastAsia="Helvetica Neue"/>
                                  <w:szCs w:val="24"/>
                                  <w:lang w:eastAsia="lt-LT"/>
                                </w:rPr>
                                <w:t>.</w:t>
                              </w:r>
                            </w:p>
                          </w:sdtContent>
                        </w:sdt>
                        <w:sdt>
                          <w:sdtPr>
                            <w:alias w:val="108 str. 8 d."/>
                            <w:tag w:val="part_1b2e2d652b634655b48b7fb1ba457f05"/>
                            <w:lock w:val="sdtLocked"/>
                            <w:richText/>
                          </w:sdtPr>
                          <w:sdtContent>
                            <w:p>
                              <w:pPr>
                                <w:spacing w:line="360" w:lineRule="auto"/>
                                <w:ind w:firstLine="720"/>
                                <w:jc w:val="both"/>
                                <w:rPr>
                                  <w:rFonts w:eastAsia="Calibri"/>
                                  <w:szCs w:val="24"/>
                                </w:rPr>
                              </w:pPr>
                              <w:sdt>
                                <w:sdtPr>
                                  <w:alias w:val="Numeris"/>
                                  <w:tag w:val="nr_1b2e2d652b634655b48b7fb1ba457f05"/>
                                  <w:lock w:val="sdtLocked"/>
                                  <w:richText/>
                                </w:sdtPr>
                                <w:sdtContent>
                                  <w:r>
                                    <w:rPr>
                                      <w:rFonts w:eastAsia="Calibri"/>
                                      <w:szCs w:val="24"/>
                                    </w:rPr>
                                    <w:t>8</w:t>
                                  </w:r>
                                </w:sdtContent>
                              </w:sdt>
                              <w:r>
                                <w:rPr>
                                  <w:rFonts w:eastAsia="Calibri"/>
                                  <w:szCs w:val="24"/>
                                </w:rPr>
                                <w:t>. Rangovas, kai darbdavys yra subrangovas, atsako subsidiariai už šio straipsnio 2 dalies 3 punkte nustatytų piniginių įpareigojimų, susijusių su minimaliuoju darbo užmokesčiu, įvykdymą šio straipsnio 1 dalyje nurodytam darbuotojui, kai jis dirba darbus, nustatytus Lietuvos Respublikos statybos įstatyme.</w:t>
                              </w:r>
                            </w:p>
                          </w:sdtContent>
                        </w:sdt>
                        <w:sdt>
                          <w:sdtPr>
                            <w:alias w:val="108 str. 9 d."/>
                            <w:tag w:val="part_0d177b7ce7da4ce796bc8215646e136b"/>
                            <w:lock w:val="sdtLocked"/>
                            <w:richText/>
                          </w:sdtPr>
                          <w:sdtContent>
                            <w:p>
                              <w:pPr>
                                <w:spacing w:line="360" w:lineRule="auto"/>
                                <w:ind w:firstLine="720"/>
                                <w:jc w:val="both"/>
                                <w:rPr>
                                  <w:rFonts w:eastAsia="Calibri"/>
                                  <w:szCs w:val="24"/>
                                </w:rPr>
                              </w:pPr>
                              <w:sdt>
                                <w:sdtPr>
                                  <w:alias w:val="Numeris"/>
                                  <w:tag w:val="nr_0d177b7ce7da4ce796bc8215646e136b"/>
                                  <w:lock w:val="sdtLocked"/>
                                  <w:richText/>
                                </w:sdtPr>
                                <w:sdtContent>
                                  <w:r>
                                    <w:rPr>
                                      <w:rFonts w:eastAsia="Calibri"/>
                                      <w:szCs w:val="24"/>
                                    </w:rPr>
                                    <w:t>9</w:t>
                                  </w:r>
                                </w:sdtContent>
                              </w:sdt>
                              <w:r>
                                <w:rPr>
                                  <w:rFonts w:eastAsia="Calibri"/>
                                  <w:szCs w:val="24"/>
                                </w:rPr>
                                <w:t>. Subsidiari rangovo, kai darbdavys yra subrangovas, atsakomybė kyla iš teisių ir pareigų, nustatytų subrangos sutartyje.</w:t>
                              </w:r>
                            </w:p>
                            <w:p>
                              <w:pPr>
                                <w:spacing w:line="360" w:lineRule="auto"/>
                                <w:ind w:firstLine="720"/>
                                <w:jc w:val="both"/>
                                <w:rPr>
                                  <w:rFonts w:eastAsia="Helvetica Neue"/>
                                  <w:szCs w:val="24"/>
                                  <w:lang w:eastAsia="lt-LT"/>
                                </w:rPr>
                              </w:pPr>
                            </w:p>
                          </w:sdtContent>
                        </w:sdt>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43e9ad64cc3043eb9b6a6f257998f366"/>
                            <w:lock w:val="sdtLocked"/>
                            <w:richText/>
                          </w:sdtPr>
                          <w:sdtContent>
                            <w:p>
                              <w:pPr>
                                <w:spacing w:line="360" w:lineRule="auto"/>
                                <w:ind w:firstLine="720"/>
                                <w:jc w:val="both"/>
                                <w:rPr>
                                  <w:rFonts w:eastAsia="Helvetica Neue"/>
                                  <w:szCs w:val="24"/>
                                  <w:lang w:eastAsia="lt-LT"/>
                                </w:rPr>
                              </w:pPr>
                              <w:sdt>
                                <w:sdtPr>
                                  <w:alias w:val="Numeris"/>
                                  <w:tag w:val="nr_43e9ad64cc3043eb9b6a6f257998f366"/>
                                  <w:lock w:val="sdtLocked"/>
                                  <w:richText/>
                                </w:sdtPr>
                                <w:sdtContent>
                                  <w:r>
                                    <w:rPr>
                                      <w:rFonts w:eastAsia="Helvetica Neue"/>
                                      <w:szCs w:val="24"/>
                                      <w:lang w:eastAsia="lt-LT"/>
                                    </w:rPr>
                                    <w:t>1</w:t>
                                  </w:r>
                                </w:sdtContent>
                              </w:sdt>
                              <w:r>
                                <w:rPr>
                                  <w:rFonts w:eastAsia="Helvetica Neue"/>
                                  <w:szCs w:val="24"/>
                                  <w:lang w:eastAsia="lt-LT"/>
                                </w:rPr>
                                <w:t xml:space="preserve">. </w:t>
                              </w:r>
                              <w:r>
                                <w:rPr>
                                  <w:szCs w:val="24"/>
                                  <w:lang w:eastAsia="lt-LT"/>
                                </w:rPr>
                                <w:t>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1–7 punktuose nustatytas sąlygas.</w:t>
                              </w:r>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1840c31673d4985a5d23d4654a41fdf"/>
                            <w:lock w:val="sdtLocked"/>
                            <w:richText/>
                          </w:sdtPr>
                          <w:sdtContent>
                            <w:p>
                              <w:pPr>
                                <w:spacing w:line="360" w:lineRule="auto"/>
                                <w:ind w:firstLine="720"/>
                                <w:jc w:val="both"/>
                                <w:rPr>
                                  <w:rFonts w:eastAsia="Helvetica Neue"/>
                                  <w:szCs w:val="24"/>
                                  <w:lang w:eastAsia="lt-LT"/>
                                </w:rPr>
                              </w:pPr>
                              <w:sdt>
                                <w:sdtPr>
                                  <w:alias w:val="Numeris"/>
                                  <w:tag w:val="nr_51840c31673d4985a5d23d4654a41fdf"/>
                                  <w:lock w:val="sdtLocked"/>
                                  <w:richText/>
                                </w:sdtPr>
                                <w:sdtContent>
                                  <w:r>
                                    <w:rPr>
                                      <w:szCs w:val="24"/>
                                      <w:lang w:eastAsia="lt-LT"/>
                                    </w:rPr>
                                    <w:t>3</w:t>
                                  </w:r>
                                </w:sdtContent>
                              </w:sdt>
                              <w:r>
                                <w:rPr>
                                  <w:szCs w:val="24"/>
                                  <w:lang w:eastAsia="lt-LT"/>
                                </w:rPr>
                                <w:t xml:space="preserve">. Valstybinė darbo inspekcija nemokamai </w:t>
                              </w:r>
                              <w:r>
                                <w:rPr>
                                  <w:rFonts w:eastAsia="Calibri"/>
                                  <w:szCs w:val="24"/>
                                </w:rPr>
                                <w:t xml:space="preserve">ir nedelsdama </w:t>
                              </w:r>
                              <w:r>
                                <w:rPr>
                                  <w:szCs w:val="24"/>
                                  <w:lang w:eastAsia="lt-LT"/>
                                </w:rPr>
                                <w:t xml:space="preserve">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teisės norminių aktų, įskaitant praplėstas kolektyvines šakos ir teritorines sutartis, nuostatas dėl komandiruotam darbuotojui taikomų sąlygų būtų prieinama Europos Sąjungos valstybių narių darbdaviams </w:t>
                              </w:r>
                              <w:r>
                                <w:rPr>
                                  <w:rFonts w:eastAsia="Calibri"/>
                                  <w:szCs w:val="24"/>
                                </w:rPr>
                                <w:t>nemokamai, aiškiai, skaidriai, išsamiai, nuotoliniu būdu ir elektroninėmis priemonėmis prieigos prie interneto formatu ir standartais užtikrinant neįgaliųjų asmenų prieigą.</w:t>
                              </w:r>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pr. 3 p."/>
            <w:tag w:val="part_bd0f575eb41743c2a5ce688aa3c5c907"/>
            <w:lock w:val="sdtLocked"/>
            <w:richText/>
          </w:sdtPr>
          <w:sdtContent>
            <w:p>
              <w:pPr>
                <w:shd w:val="clear" w:color="auto" w:fill="FFFFFF"/>
                <w:spacing w:line="360" w:lineRule="auto"/>
                <w:ind w:firstLine="720"/>
                <w:jc w:val="both"/>
                <w:rPr>
                  <w:szCs w:val="24"/>
                </w:rPr>
              </w:pPr>
              <w:sdt>
                <w:sdtPr>
                  <w:alias w:val="Numeris"/>
                  <w:tag w:val="nr_bd0f575eb41743c2a5ce688aa3c5c907"/>
                  <w:lock w:val="sdtLocked"/>
                  <w:richText/>
                </w:sdtPr>
                <w:sdtContent>
                  <w:r>
                    <w:rPr>
                      <w:szCs w:val="24"/>
                    </w:rPr>
                    <w:t>3</w:t>
                  </w:r>
                </w:sdtContent>
              </w:sdt>
              <w:r>
                <w:rPr>
                  <w:szCs w:val="24"/>
                </w:rPr>
                <w:t xml:space="preserve">. 1996 m. gruodžio 16 d. Europos Parlamento ir Tarybos direktyva 96/71/EB dėl darbuotojų komandiravimo paslaugų teikimo sistemoje (OL </w:t>
              </w:r>
              <w:r>
                <w:rPr>
                  <w:i/>
                  <w:szCs w:val="24"/>
                </w:rPr>
                <w:t>2004 m. specialusis leidimas</w:t>
              </w:r>
              <w:r>
                <w:rPr>
                  <w:szCs w:val="24"/>
                </w:rPr>
                <w:t>, 5 skyrius, 2 tomas, p. 431).</w:t>
              </w:r>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00B59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5.xml"/>
  <Relationship Id="rId11" Type="http://schemas.openxmlformats.org/officeDocument/2006/relationships/header" Target="header56.xml"/>
  <Relationship Id="rId12" Type="http://schemas.openxmlformats.org/officeDocument/2006/relationships/footer" Target="footer55.xml"/>
  <Relationship Id="rId13" Type="http://schemas.openxmlformats.org/officeDocument/2006/relationships/footer" Target="footer56.xml"/>
  <Relationship Id="rId14" Type="http://schemas.openxmlformats.org/officeDocument/2006/relationships/header" Target="header57.xml"/>
  <Relationship Id="rId15" Type="http://schemas.openxmlformats.org/officeDocument/2006/relationships/footer" Target="footer57.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ef6d99ea41ef4892ac114597836e3d1d"/>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ef1f348fa3d8478d9d916aaf9d35df6a">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edf480df77ae4c3c902a0eb7d1c0a794">
            <Part Type="strDalis" Nr="1" Abbr="108 str. 1 d." DocPartId="759e837a1f864762876813e51b78bef0" PartId="680a5f8d3b114de5ac7031ee6716290f">
              <Part Type="strPunktas" Nr="1" Abbr="108 str. 1 d. 1 p." DocPartId="7cc4895d8dc34d2c8d2d77299292de4e" PartId="fa8718bc16df43888e3b6d1048239faa"/>
              <Part Type="strPunktas" Nr="2" Abbr="108 str. 1 d. 2 p." DocPartId="7bdc58a6bb6f42dd9a44a00f15596413" PartId="cdaa39ce8a684ddba9bc874a88e883bd"/>
              <Part Type="strPunktas" Nr="3" Abbr="108 str. 1 d. 3 p." DocPartId="5c047f0ba66347548a177c4bde05f5a4" PartId="157d894666c84ae19d1fe64d35021c87"/>
            </Part>
            <Part Type="strDalis" Nr="2" Abbr="108 str. 2 d." DocPartId="77f440cea4f1488dacda573771309ebf" PartId="28415a5e4e3f4c3fb39de8aee269798b">
              <Part Type="strPunktas" Nr="1" Abbr="108 str. 2 d. 1 p." DocPartId="ed51cacb3aa24655987f0e4b1fda4e1c" PartId="42863d3c73764471af4ed292bb00a1b4"/>
              <Part Type="strPunktas" Nr="2" Abbr="108 str. 2 d. 2 p." DocPartId="6716df982ddd4c06993197f56de6557e" PartId="c96e2a9882f844269c19cc42cc4a2455"/>
              <Part Type="strPunktas" Nr="3" Abbr="108 str. 2 d. 3 p." DocPartId="2316e0136a444e448f1616be6d464461" PartId="c2f91974fd6b4fe4be30e17f592e634e"/>
              <Part Type="strPunktas" Nr="4" Abbr="108 str. 2 d. 4 p." DocPartId="efa539fd1c6b448fb45b995a0cddcb78" PartId="c485d3f2821940d6809ad3f8cee5efe6"/>
              <Part Type="strPunktas" Nr="5" Abbr="108 str. 2 d. 5 p." DocPartId="d77656952cca4eb7bf39592629bd8327" PartId="cba933a67df34351a065a8e629b7f70d"/>
              <Part Type="strPunktas" Nr="6" Abbr="108 str. 2 d. 6 p." DocPartId="7325dbb4baa64300b22bb0a0fbcf57bb" PartId="6f7c109e5af346ba959f93b08489a93d"/>
              <Part Type="strPunktas" Nr="7" Abbr="108 str. 2 d. 7 p." DocPartId="f92dbea360bd4efca59466b796e9a6f2" PartId="7c91377809934f359cfb50c401e51f59"/>
              <Part Type="strPunktas" Nr="8" Abbr="108 str. 2 d. 8 p." DocPartId="546f30b5e5c54b7ab538eaf61f093ff8" PartId="00a539de763344bfb42447f2a0ff72e6"/>
            </Part>
            <Part Type="strDalis" Nr="3" Abbr="108 str. 3 d." DocPartId="e34d818f7c6f4b1391f4e9c562960ee6" PartId="358a0789bd2c48dd99c92aa23b4a11a5"/>
            <Part Type="strDalis" Nr="4" Abbr="108 str. 4 d." DocPartId="68f9d4dbaef341d4b6f6550a1a145fce" PartId="590292563e644048b9462a7bb094cbf9"/>
            <Part Type="strDalis" Nr="5" Abbr="108 str. 5 d." DocPartId="bb4337413b70482cb62ce019cbe9afdd" PartId="edaa413eebbf4969a4bb1da6b98ff97a"/>
            <Part Type="strDalis" Nr="6" Abbr="108 str. 6 d." DocPartId="0e29e96fce6847afb3d7db039cb2d0bd" PartId="1c8899e9902540ff99d33a7027b3b4aa"/>
            <Part Type="strDalis" Nr="7" Abbr="108 str. 7 d." DocPartId="97ca58515a2b47a6b1fea5192c705374" PartId="5f1806b4c0474f5db8e6c0b3b6172e44"/>
            <Part Type="strDalis" Nr="8" Abbr="108 str. 8 d." DocPartId="b53ca275e6d2435e8cf2828c131fbdb8" PartId="1b2e2d652b634655b48b7fb1ba457f05"/>
            <Part Type="strDalis" Nr="9" Abbr="108 str. 9 d." DocPartId="78d609a66ce846f2aaec636d03b64bb6" PartId="0d177b7ce7da4ce796bc8215646e136b"/>
          </Part>
          <Part Type="straipsnis" Nr="109" Abbr="109 str." Title="Užsienio darbdavio darbuotojų darbo sąlygų užtikrinimas" DocPartId="688a720abd0c4ce387a6ae6061d353f5" PartId="80f579ba510d41d2976a669058bbe9da">
            <Part Type="strDalis" Nr="1" Abbr="109 str. 1 d." DocPartId="2b6f468620614490aa3e15e8242bd2d3" PartId="43e9ad64cc3043eb9b6a6f257998f366"/>
            <Part Type="strDalis" Nr="2" Abbr="109 str. 2 d." DocPartId="2092eb202ca94c9b94ad61d955c3b30c" PartId="a5fafe0fb3fa4fee85ad18b791bf3ea2"/>
            <Part Type="strDalis" Nr="3" Abbr="109 str. 3 d." DocPartId="2ffa927b07be47868454a5f3ef303d7a" PartId="51840c31673d4985a5d23d4654a41fdf"/>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pr. 3 p." DocPartId="9a86225a77284d0e9235cc7b135bdbc8" PartId="bd0f575eb41743c2a5ce688aa3c5c907"/>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E95D7110-6786-461C-B0ED-A8A246664EE9}">
  <ds:schemaRefs>
    <ds:schemaRef ds:uri="http://lrs.lt/TAIS/DocParts"/>
  </ds:schemaRefs>
</ds:datastoreItem>
</file>

<file path=docProps/app.xml><?xml version="1.0" encoding="utf-8"?>
<Properties xmlns="http://schemas.openxmlformats.org/officeDocument/2006/extended-properties">
  <Template>Normal.dotm</Template>
  <TotalTime>49</TotalTime>
  <Pages>145</Pages>
  <Words>226910</Words>
  <Characters>129339</Characters>
  <Application>Microsoft Office Word</Application>
  <DocSecurity>0</DocSecurity>
  <Lines>1077</Lines>
  <Paragraphs>711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355538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2020-04-08T06:57:00Z</dcterms:modified>
  <revision>46</revision>
</coreProperties>
</file>