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2021-07-15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ae67035948804904b00f47ea787e4b29"/>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e907d0c32ede49fabacd9896b5e7b28d"/>
                            <w:lock w:val="sdtLocked"/>
                            <w:richText/>
                          </w:sdtPr>
                          <w:sdtContent>
                            <w:p>
                              <w:pPr>
                                <w:spacing w:line="360" w:lineRule="auto"/>
                                <w:ind w:firstLine="720"/>
                                <w:jc w:val="both"/>
                                <w:rPr>
                                  <w:szCs w:val="24"/>
                                  <w:lang w:eastAsia="lt-LT"/>
                                </w:rPr>
                              </w:pPr>
                              <w:sdt>
                                <w:sdtPr>
                                  <w:alias w:val="Numeris"/>
                                  <w:tag w:val="nr_e907d0c32ede49fabacd9896b5e7b28d"/>
                                  <w:lock w:val="sdtLocked"/>
                                  <w:richText/>
                                </w:sdtPr>
                                <w:sdtContent>
                                  <w:r>
                                    <w:rPr>
                                      <w:color w:val="000000"/>
                                      <w:szCs w:val="24"/>
                                    </w:rPr>
                                    <w:t>5</w:t>
                                  </w:r>
                                </w:sdtContent>
                              </w:sdt>
                              <w:r>
                                <w:rPr>
                                  <w:color w:val="000000"/>
                                  <w:szCs w:val="24"/>
                                </w:rPr>
                                <w:t xml:space="preserve">. </w:t>
                              </w:r>
                              <w:r>
                                <w:rPr>
                                  <w:szCs w:val="24"/>
                                  <w:lang w:eastAsia="lt-LT"/>
                                </w:rPr>
                                <w:t xml:space="preserve">Jeigu užsienio valstybės jurisdikcijai priklausantis darbdavys Lietuvos Respublikos socialinės apsaugos ir darbo ministro nustatyta tvarka pateikia Valstybinės darbo inspekcijos teritoriniam skyriui motyvuotą pranešimą dėl šio straipsnio 4 dalyje numatyto laikotarpio pratęsimo, kol faktinė komandiruotės trukmė neviršija 12 mėnesių, šis laikotarpis pratęsiamas, tačiau neviršijant 18 mėnesių faktinės komandiruotės trukmės. </w:t>
                              </w:r>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31591004e394d45b51fb10f9ff1cca7"/>
                            <w:lock w:val="sdtLocked"/>
                            <w:richText/>
                          </w:sdtPr>
                          <w:sdtContent>
                            <w:p>
                              <w:pPr>
                                <w:spacing w:line="360" w:lineRule="auto"/>
                                <w:ind w:firstLine="720"/>
                                <w:jc w:val="both"/>
                                <w:rPr>
                                  <w:szCs w:val="24"/>
                                </w:rPr>
                              </w:pPr>
                              <w:sdt>
                                <w:sdtPr>
                                  <w:alias w:val="Numeris"/>
                                  <w:tag w:val="nr_f31591004e394d45b51fb10f9ff1cca7"/>
                                  <w:lock w:val="sdtLocked"/>
                                  <w:richText/>
                                </w:sdtPr>
                                <w:sdtContent>
                                  <w:r>
                                    <w:rPr>
                                      <w:szCs w:val="24"/>
                                    </w:rPr>
                                    <w:t>13</w:t>
                                  </w:r>
                                </w:sdtContent>
                              </w:sdt>
                              <w:r>
                                <w:rPr>
                                  <w:szCs w:val="24"/>
                                </w:rPr>
                                <w:t>. Rangovas, kai darbdavys yra subrangovas, atsako subsidiariai už šio straipsnio 2 dalies 3 punkte nustatytų piniginių įpareigojimų, susijusių su darbo užmokesčiu, įvykdymą šio straipsnio 1 dalyje nurodytam darbuotojui, kai jis dirba darbus, nustatytus Lietuvos Respublikos statybos įstatyme.</w:t>
                              </w:r>
                            </w:p>
                          </w:sdtContent>
                        </w:sdt>
                        <w:sdt>
                          <w:sdtPr>
                            <w:alias w:val="108 str. 14 d."/>
                            <w:tag w:val="part_2c08184e71db46d4a74e0e978046ce5d"/>
                            <w:lock w:val="sdtLocked"/>
                            <w:richText/>
                          </w:sdtPr>
                          <w:sdtContent>
                            <w:p>
                              <w:pPr>
                                <w:spacing w:line="360" w:lineRule="auto"/>
                                <w:ind w:firstLine="720"/>
                                <w:jc w:val="both"/>
                                <w:rPr>
                                  <w:szCs w:val="24"/>
                                </w:rPr>
                              </w:pPr>
                              <w:sdt>
                                <w:sdtPr>
                                  <w:alias w:val="Numeris"/>
                                  <w:tag w:val="nr_2c08184e71db46d4a74e0e978046ce5d"/>
                                  <w:lock w:val="sdtLocked"/>
                                  <w:richText/>
                                </w:sdtPr>
                                <w:sdtContent>
                                  <w:r>
                                    <w:rPr>
                                      <w:szCs w:val="24"/>
                                    </w:rPr>
                                    <w:t>14</w:t>
                                  </w:r>
                                </w:sdtContent>
                              </w:sdt>
                              <w:r>
                                <w:rPr>
                                  <w:szCs w:val="24"/>
                                </w:rPr>
                                <w:t>. Subsidiari rangovo, kai darbdavys yra subrangovas, atsakomybė kyla iš teisių ir pareigų, nustatytų subrangos sutartyje.</w:t>
                              </w:r>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78c8b6db76da45608529ce06c3aaae4e"/>
                            <w:lock w:val="sdtLocked"/>
                            <w:richText/>
                          </w:sdtPr>
                          <w:sdtContent>
                            <w:p>
                              <w:pPr>
                                <w:tabs>
                                  <w:tab w:val="left" w:pos="0"/>
                                </w:tabs>
                                <w:spacing w:line="360" w:lineRule="auto"/>
                                <w:ind w:firstLine="720"/>
                                <w:jc w:val="both"/>
                                <w:outlineLvl w:val="2"/>
                                <w:rPr>
                                  <w:rFonts w:eastAsia="Helvetica Neue"/>
                                  <w:szCs w:val="24"/>
                                  <w:lang w:eastAsia="lt-LT"/>
                                </w:rPr>
                              </w:pPr>
                              <w:sdt>
                                <w:sdtPr>
                                  <w:alias w:val="Numeris"/>
                                  <w:tag w:val="nr_78c8b6db76da45608529ce06c3aaae4e"/>
                                  <w:lock w:val="sdtLocked"/>
                                  <w:richText/>
                                </w:sdtPr>
                                <w:sdtContent>
                                  <w:r>
                                    <w:rPr>
                                      <w:szCs w:val="24"/>
                                      <w:lang w:eastAsia="lt-LT"/>
                                    </w:rPr>
                                    <w:t>1</w:t>
                                  </w:r>
                                </w:sdtContent>
                              </w:sdt>
                              <w:r>
                                <w:rPr>
                                  <w:szCs w:val="24"/>
                                  <w:lang w:eastAsia="lt-LT"/>
                                </w:rPr>
                                <w:t>. 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1–9 punktuose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3 p."/>
            <w:tag w:val="part_70be70b774f5490a9b3b23f7d3566b83"/>
            <w:lock w:val="sdtLocked"/>
            <w:richText/>
          </w:sdtPr>
          <w:sdtContent>
            <w:p>
              <w:pPr>
                <w:spacing w:line="360" w:lineRule="auto"/>
                <w:ind w:firstLine="720"/>
                <w:jc w:val="both"/>
                <w:rPr>
                  <w:szCs w:val="24"/>
                </w:rPr>
              </w:pPr>
              <w:sdt>
                <w:sdtPr>
                  <w:alias w:val="Numeris"/>
                  <w:tag w:val="nr_70be70b774f5490a9b3b23f7d3566b83"/>
                  <w:lock w:val="sdtLocked"/>
                  <w:richText/>
                </w:sdtPr>
                <w:sdtContent>
                  <w:r>
                    <w:t>3</w:t>
                  </w:r>
                </w:sdtContent>
              </w:sdt>
              <w:r>
                <w:t xml:space="preserve">. 1996 m. gruodžio 16 d. Europos Parlamento ir Tarybos direktyva 96/71/EB dėl darbuotojų komandiravimo paslaugų teikimo sistemoje (OL </w:t>
              </w:r>
              <w:r>
                <w:rPr>
                  <w:i/>
                  <w:iCs/>
                </w:rPr>
                <w:t>2004 m. specialusis leidimas</w:t>
              </w:r>
              <w:r>
                <w:t xml:space="preserve">, 5 skyrius, 2 tomas, p. 431) su paskutiniais pakeitimais, padarytais </w:t>
              </w:r>
              <w:r>
                <w:rPr>
                  <w:color w:val="000000"/>
                </w:rPr>
                <w:t xml:space="preserve">2018 m. birželio 28 d. Europos Parlamento ir Tarybos direktyva (ES) 2018/957 </w:t>
              </w:r>
              <w:r>
                <w:t>(OL 2018</w:t>
              </w:r>
              <w:r>
                <w:rPr>
                  <w:bCs/>
                </w:rPr>
                <w:t xml:space="preserve"> </w:t>
              </w:r>
              <w:r>
                <w:t>L 173, p. 16)</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3.xml"/>
  <Relationship Id="rId11" Type="http://schemas.openxmlformats.org/officeDocument/2006/relationships/header" Target="header74.xml"/>
  <Relationship Id="rId12" Type="http://schemas.openxmlformats.org/officeDocument/2006/relationships/footer" Target="footer73.xml"/>
  <Relationship Id="rId13" Type="http://schemas.openxmlformats.org/officeDocument/2006/relationships/footer" Target="footer74.xml"/>
  <Relationship Id="rId14" Type="http://schemas.openxmlformats.org/officeDocument/2006/relationships/header" Target="header75.xml"/>
  <Relationship Id="rId15" Type="http://schemas.openxmlformats.org/officeDocument/2006/relationships/footer" Target="footer7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ae67035948804904b00f47ea787e4b29">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e907d0c32ede49fabacd9896b5e7b28d"/>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31591004e394d45b51fb10f9ff1cca7"/>
            <Part Type="strDalis" Nr="14" Abbr="108 str. 14 d." DocPartId="522105eb3d4c4816bc59186baa83a081" PartId="2c08184e71db46d4a74e0e978046ce5d"/>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78c8b6db76da45608529ce06c3aaae4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3 p." DocPartId="9a86225a77284d0e9235cc7b135bdbc8" PartId="70be70b774f5490a9b3b23f7d3566b83"/>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E6903B80-C338-4B91-BF4E-93B5FBEC678C}">
  <ds:schemaRefs>
    <ds:schemaRef ds:uri="http://lrs.lt/TAIS/DocParts"/>
  </ds:schemaRefs>
</ds:datastoreItem>
</file>

<file path=docProps/app.xml><?xml version="1.0" encoding="utf-8"?>
<Properties xmlns="http://schemas.openxmlformats.org/officeDocument/2006/extended-properties">
  <Template>Normal.dotm</Template>
  <TotalTime>61</TotalTime>
  <Pages>150</Pages>
  <Words>46363</Words>
  <Characters>326744</Characters>
  <Application>Microsoft Office Word</Application>
  <DocSecurity>0</DocSecurity>
  <Lines>2722</Lines>
  <Paragraphs>744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372363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2021-07-09T06:53:00Z</dcterms:modified>
  <revision>62</revision>
</coreProperties>
</file>